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before="120" w:after="120"/>
        <w:rPr>
          <w:rFonts w:asciiTheme="minorHAnsi" w:hAnsiTheme="minorHAnsi"/>
          <w:b/>
          <w:snapToGrid w:val="0"/>
        </w:rPr>
      </w:pPr>
      <w:bookmarkStart w:id="0" w:name="_Hlk503380606"/>
      <w:bookmarkEnd w:id="0"/>
      <w:r>
        <w:rPr>
          <w:lang w:val="sr-Latn-CS" w:eastAsia="sr-Latn-CS"/>
        </w:rPr>
        <w:drawing>
          <wp:anchor distT="0" distB="0" distL="114300" distR="114300" simplePos="0" relativeHeight="251671552" behindDoc="1" locked="0" layoutInCell="1" allowOverlap="1">
            <wp:simplePos x="0" y="0"/>
            <wp:positionH relativeFrom="margin">
              <wp:posOffset>2209800</wp:posOffset>
            </wp:positionH>
            <wp:positionV relativeFrom="margin">
              <wp:posOffset>323850</wp:posOffset>
            </wp:positionV>
            <wp:extent cx="1362075" cy="1504950"/>
            <wp:effectExtent l="19050" t="0" r="9525" b="0"/>
            <wp:wrapTopAndBottom/>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1504950"/>
                    </a:xfrm>
                    <a:prstGeom prst="rect">
                      <a:avLst/>
                    </a:prstGeom>
                  </pic:spPr>
                </pic:pic>
              </a:graphicData>
            </a:graphic>
          </wp:anchor>
        </w:drawing>
      </w:r>
    </w:p>
    <w:p>
      <w:pPr>
        <w:pStyle w:val="18"/>
        <w:jc w:val="center"/>
        <w:rPr>
          <w:rFonts w:ascii="Times New Roman" w:hAnsi="Times New Roman"/>
          <w:b/>
          <w:sz w:val="24"/>
        </w:rPr>
      </w:pPr>
    </w:p>
    <w:p>
      <w:pPr>
        <w:pStyle w:val="18"/>
        <w:jc w:val="center"/>
        <w:rPr>
          <w:rFonts w:ascii="Times New Roman" w:hAnsi="Times New Roman"/>
          <w:b/>
          <w:sz w:val="24"/>
        </w:rPr>
      </w:pPr>
      <w:r>
        <w:rPr>
          <w:rFonts w:ascii="Times New Roman" w:hAnsi="Times New Roman"/>
          <w:b/>
          <w:sz w:val="24"/>
        </w:rPr>
        <w:t>ГРАД БАЊА ЛУКА</w:t>
      </w:r>
    </w:p>
    <w:p>
      <w:pPr>
        <w:spacing w:before="120" w:after="120"/>
        <w:jc w:val="center"/>
        <w:rPr>
          <w:rFonts w:asciiTheme="minorHAnsi" w:hAnsiTheme="minorHAnsi"/>
          <w:b/>
          <w:snapToGrid w:val="0"/>
          <w:lang w:val="sr-Latn-RS"/>
        </w:rPr>
      </w:pPr>
      <w:r>
        <w:rPr>
          <w:rFonts w:ascii="Times New Roman" w:hAnsi="Times New Roman"/>
          <w:b/>
          <w:sz w:val="24"/>
        </w:rPr>
        <w:t>ГРАДОНАЧЕЛНИК</w:t>
      </w:r>
    </w:p>
    <w:p>
      <w:pPr>
        <w:spacing w:before="120" w:after="120"/>
        <w:jc w:val="center"/>
        <w:rPr>
          <w:rFonts w:asciiTheme="minorHAnsi" w:hAnsiTheme="minorHAnsi"/>
          <w:b/>
          <w:snapToGrid w:val="0"/>
          <w:lang w:val="hr-HR"/>
        </w:rPr>
      </w:pPr>
    </w:p>
    <w:p>
      <w:pPr>
        <w:spacing w:before="120" w:after="120"/>
        <w:jc w:val="center"/>
        <w:rPr>
          <w:rFonts w:asciiTheme="minorHAnsi" w:hAnsiTheme="minorHAnsi"/>
          <w:b/>
          <w:snapToGrid w:val="0"/>
          <w:lang w:val="hr-HR"/>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sz w:val="36"/>
          <w:szCs w:val="36"/>
        </w:rPr>
      </w:pPr>
      <w:r>
        <w:rPr>
          <w:rFonts w:asciiTheme="minorHAnsi" w:hAnsiTheme="minorHAnsi"/>
          <w:b/>
          <w:snapToGrid w:val="0"/>
          <w:sz w:val="36"/>
          <w:szCs w:val="36"/>
        </w:rPr>
        <w:t>СТРАТЕГИЈА</w:t>
      </w:r>
      <w:r>
        <w:rPr>
          <w:rFonts w:asciiTheme="minorHAnsi" w:hAnsiTheme="minorHAnsi"/>
          <w:b/>
          <w:snapToGrid w:val="0"/>
          <w:sz w:val="36"/>
          <w:szCs w:val="36"/>
          <w:lang w:val="sr-Latn-BA"/>
        </w:rPr>
        <w:t xml:space="preserve"> </w:t>
      </w:r>
      <w:r>
        <w:rPr>
          <w:rFonts w:asciiTheme="minorHAnsi" w:hAnsiTheme="minorHAnsi"/>
          <w:b/>
          <w:snapToGrid w:val="0"/>
          <w:sz w:val="36"/>
          <w:szCs w:val="36"/>
        </w:rPr>
        <w:t>РАЗВОЈА</w:t>
      </w:r>
      <w:r>
        <w:rPr>
          <w:rFonts w:asciiTheme="minorHAnsi" w:hAnsiTheme="minorHAnsi"/>
          <w:b/>
          <w:snapToGrid w:val="0"/>
          <w:sz w:val="36"/>
          <w:szCs w:val="36"/>
          <w:lang w:val="sr-Latn-BA"/>
        </w:rPr>
        <w:t xml:space="preserve"> </w:t>
      </w:r>
      <w:r>
        <w:rPr>
          <w:rFonts w:asciiTheme="minorHAnsi" w:hAnsiTheme="minorHAnsi"/>
          <w:b/>
          <w:snapToGrid w:val="0"/>
          <w:sz w:val="36"/>
          <w:szCs w:val="36"/>
        </w:rPr>
        <w:t>ГРАДА</w:t>
      </w:r>
      <w:r>
        <w:rPr>
          <w:rFonts w:asciiTheme="minorHAnsi" w:hAnsiTheme="minorHAnsi"/>
          <w:b/>
          <w:snapToGrid w:val="0"/>
          <w:sz w:val="36"/>
          <w:szCs w:val="36"/>
          <w:lang w:val="sr-Latn-BA"/>
        </w:rPr>
        <w:t xml:space="preserve"> </w:t>
      </w:r>
      <w:r>
        <w:rPr>
          <w:rFonts w:asciiTheme="minorHAnsi" w:hAnsiTheme="minorHAnsi"/>
          <w:b/>
          <w:snapToGrid w:val="0"/>
          <w:sz w:val="36"/>
          <w:szCs w:val="36"/>
        </w:rPr>
        <w:t xml:space="preserve">БАЊА ЛУКА </w:t>
      </w:r>
    </w:p>
    <w:p>
      <w:pPr>
        <w:spacing w:before="120" w:after="120"/>
        <w:jc w:val="center"/>
        <w:rPr>
          <w:rFonts w:asciiTheme="minorHAnsi" w:hAnsiTheme="minorHAnsi"/>
          <w:b/>
          <w:snapToGrid w:val="0"/>
          <w:sz w:val="36"/>
          <w:szCs w:val="36"/>
          <w:lang w:val="sr-Cyrl-RS"/>
        </w:rPr>
      </w:pPr>
      <w:r>
        <w:rPr>
          <w:rFonts w:asciiTheme="minorHAnsi" w:hAnsiTheme="minorHAnsi"/>
          <w:b/>
          <w:snapToGrid w:val="0"/>
          <w:sz w:val="36"/>
          <w:szCs w:val="36"/>
          <w:lang w:val="sr-Cyrl-RS"/>
        </w:rPr>
        <w:t xml:space="preserve">У ПЕРИОДУ </w:t>
      </w:r>
      <w:r>
        <w:rPr>
          <w:rFonts w:asciiTheme="minorHAnsi" w:hAnsiTheme="minorHAnsi"/>
          <w:b/>
          <w:snapToGrid w:val="0"/>
          <w:sz w:val="36"/>
          <w:szCs w:val="36"/>
        </w:rPr>
        <w:t>2018–2027.</w:t>
      </w:r>
      <w:r>
        <w:rPr>
          <w:rFonts w:asciiTheme="minorHAnsi" w:hAnsiTheme="minorHAnsi"/>
          <w:b/>
          <w:snapToGrid w:val="0"/>
          <w:sz w:val="36"/>
          <w:szCs w:val="36"/>
          <w:lang w:val="sr-Cyrl-RS"/>
        </w:rPr>
        <w:t xml:space="preserve"> ГОДИНЕ</w:t>
      </w:r>
    </w:p>
    <w:p>
      <w:pPr>
        <w:spacing w:after="120"/>
        <w:ind w:left="360"/>
        <w:jc w:val="center"/>
        <w:rPr>
          <w:rFonts w:asciiTheme="minorHAnsi" w:hAnsiTheme="minorHAnsi"/>
          <w:b/>
          <w:snapToGrid w:val="0"/>
          <w:sz w:val="36"/>
          <w:szCs w:val="36"/>
        </w:rPr>
      </w:pPr>
      <w:r>
        <w:rPr>
          <w:rFonts w:asciiTheme="minorHAnsi" w:hAnsiTheme="minorHAnsi"/>
          <w:b/>
          <w:snapToGrid w:val="0"/>
          <w:sz w:val="36"/>
          <w:szCs w:val="36"/>
        </w:rPr>
        <w:t xml:space="preserve">- </w:t>
      </w:r>
      <w:r>
        <w:rPr>
          <w:rFonts w:asciiTheme="minorHAnsi" w:hAnsiTheme="minorHAnsi"/>
          <w:b/>
          <w:snapToGrid w:val="0"/>
          <w:sz w:val="36"/>
          <w:szCs w:val="36"/>
          <w:lang w:val="sr-Cyrl-CS"/>
        </w:rPr>
        <w:t>ПРИЈЕДЛОГ</w:t>
      </w:r>
      <w:r>
        <w:rPr>
          <w:rFonts w:asciiTheme="minorHAnsi" w:hAnsiTheme="minorHAnsi"/>
          <w:b/>
          <w:snapToGrid w:val="0"/>
          <w:sz w:val="36"/>
          <w:szCs w:val="36"/>
        </w:rPr>
        <w:t xml:space="preserve"> -</w:t>
      </w: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tabs>
          <w:tab w:val="left" w:pos="1755"/>
        </w:tabs>
        <w:spacing w:before="120" w:after="120"/>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rPr>
      </w:pPr>
    </w:p>
    <w:p>
      <w:pPr>
        <w:spacing w:before="120" w:after="120"/>
        <w:jc w:val="center"/>
        <w:rPr>
          <w:rFonts w:asciiTheme="minorHAnsi" w:hAnsiTheme="minorHAnsi"/>
          <w:b/>
          <w:snapToGrid w:val="0"/>
          <w:lang w:val="sr-Cyrl-CS"/>
        </w:rPr>
      </w:pPr>
    </w:p>
    <w:p>
      <w:pPr>
        <w:spacing w:before="120" w:after="120"/>
        <w:jc w:val="center"/>
        <w:rPr>
          <w:rFonts w:asciiTheme="minorHAnsi" w:hAnsiTheme="minorHAnsi"/>
          <w:b/>
          <w:snapToGrid w:val="0"/>
          <w:lang w:val="sr-Cyrl-CS"/>
        </w:rPr>
      </w:pPr>
    </w:p>
    <w:p>
      <w:pPr>
        <w:spacing w:before="120" w:after="120"/>
        <w:jc w:val="center"/>
        <w:rPr>
          <w:rFonts w:asciiTheme="minorHAnsi" w:hAnsiTheme="minorHAnsi"/>
          <w:b/>
          <w:snapToGrid w:val="0"/>
          <w:lang w:val="sr-Cyrl-CS"/>
        </w:rPr>
      </w:pPr>
    </w:p>
    <w:p>
      <w:pPr>
        <w:spacing w:before="120" w:after="120"/>
        <w:jc w:val="center"/>
        <w:rPr>
          <w:rFonts w:asciiTheme="minorHAnsi" w:hAnsiTheme="minorHAnsi"/>
          <w:b/>
          <w:snapToGrid w:val="0"/>
        </w:rPr>
        <w:sectPr>
          <w:footerReference r:id="rId5" w:type="first"/>
          <w:footerReference r:id="rId4" w:type="default"/>
          <w:pgSz w:w="12240" w:h="15840"/>
          <w:pgMar w:top="1440" w:right="1440" w:bottom="1440" w:left="1440" w:header="720" w:footer="720" w:gutter="0"/>
          <w:cols w:space="720" w:num="1"/>
          <w:titlePg/>
          <w:docGrid w:linePitch="299" w:charSpace="0"/>
        </w:sectPr>
      </w:pPr>
      <w:r>
        <w:rPr>
          <w:rFonts w:asciiTheme="minorHAnsi" w:hAnsiTheme="minorHAnsi"/>
          <w:b/>
          <w:snapToGrid w:val="0"/>
          <w:lang w:val="sr-Cyrl-RS"/>
        </w:rPr>
        <w:t>Децембар,</w:t>
      </w:r>
      <w:r>
        <w:rPr>
          <w:rFonts w:asciiTheme="minorHAnsi" w:hAnsiTheme="minorHAnsi"/>
          <w:b/>
          <w:snapToGrid w:val="0"/>
        </w:rPr>
        <w:t xml:space="preserve"> 201</w:t>
      </w:r>
      <w:r>
        <w:rPr>
          <w:rFonts w:asciiTheme="minorHAnsi" w:hAnsiTheme="minorHAnsi"/>
          <w:b/>
          <w:snapToGrid w:val="0"/>
          <w:lang w:val="sr-Cyrl-RS"/>
        </w:rPr>
        <w:t>8</w:t>
      </w:r>
      <w:r>
        <w:rPr>
          <w:rFonts w:asciiTheme="minorHAnsi" w:hAnsiTheme="minorHAnsi"/>
          <w:b/>
          <w:snapToGrid w:val="0"/>
        </w:rPr>
        <w:t>. године</w:t>
      </w:r>
    </w:p>
    <w:p>
      <w:pPr>
        <w:pStyle w:val="2"/>
        <w:spacing w:before="120" w:after="120" w:line="240" w:lineRule="auto"/>
        <w:rPr>
          <w:rFonts w:asciiTheme="minorHAnsi" w:hAnsiTheme="minorHAnsi"/>
          <w:b w:val="0"/>
          <w:caps/>
          <w:sz w:val="22"/>
          <w:szCs w:val="22"/>
          <w:lang w:val="sr-Cyrl-RS"/>
        </w:rPr>
      </w:pPr>
      <w:bookmarkStart w:id="1" w:name="_Toc526170569"/>
      <w:r>
        <w:rPr>
          <w:rFonts w:asciiTheme="minorHAnsi" w:hAnsiTheme="minorHAnsi"/>
          <w:b w:val="0"/>
          <w:caps/>
          <w:sz w:val="22"/>
          <w:szCs w:val="22"/>
          <w:lang w:val="sr-Cyrl-RS"/>
        </w:rPr>
        <w:t xml:space="preserve">   </w:t>
      </w:r>
      <w:r>
        <w:rPr>
          <w:rFonts w:asciiTheme="minorHAnsi" w:hAnsiTheme="minorHAnsi"/>
          <w:b w:val="0"/>
          <w:caps/>
          <w:sz w:val="22"/>
          <w:szCs w:val="22"/>
          <w:lang w:val="sr-Latn-CS"/>
        </w:rPr>
        <w:t xml:space="preserve">I    </w:t>
      </w:r>
      <w:r>
        <w:rPr>
          <w:rFonts w:asciiTheme="minorHAnsi" w:hAnsiTheme="minorHAnsi"/>
          <w:b w:val="0"/>
          <w:caps/>
          <w:sz w:val="22"/>
          <w:szCs w:val="22"/>
          <w:lang w:val="sr-Cyrl-RS"/>
        </w:rPr>
        <w:t>Садржај</w:t>
      </w:r>
      <w:bookmarkEnd w:id="1"/>
    </w:p>
    <w:p>
      <w:pPr>
        <w:spacing w:after="160" w:line="259" w:lineRule="auto"/>
        <w:rPr>
          <w:rFonts w:asciiTheme="minorHAnsi" w:hAnsiTheme="minorHAnsi"/>
          <w:bCs/>
          <w:lang w:val="sr-Cyrl-RS"/>
        </w:rPr>
      </w:pPr>
    </w:p>
    <w:p>
      <w:pPr>
        <w:pStyle w:val="22"/>
        <w:tabs>
          <w:tab w:val="left" w:pos="440"/>
          <w:tab w:val="right" w:leader="dot" w:pos="9350"/>
        </w:tabs>
        <w:rPr>
          <w:rFonts w:asciiTheme="minorHAnsi" w:hAnsiTheme="minorHAnsi" w:eastAsiaTheme="minorEastAsia" w:cstheme="minorBidi"/>
          <w:lang w:val="en-US"/>
        </w:rPr>
      </w:pPr>
      <w:r>
        <w:rPr>
          <w:rFonts w:asciiTheme="minorHAnsi" w:hAnsiTheme="minorHAnsi"/>
          <w:bCs/>
        </w:rPr>
        <w:fldChar w:fldCharType="begin"/>
      </w:r>
      <w:r>
        <w:rPr>
          <w:rFonts w:asciiTheme="minorHAnsi" w:hAnsiTheme="minorHAnsi"/>
          <w:bCs/>
        </w:rPr>
        <w:instrText xml:space="preserve"> TOC \o "1-4" \h \z \u </w:instrText>
      </w:r>
      <w:r>
        <w:rPr>
          <w:rFonts w:asciiTheme="minorHAnsi" w:hAnsiTheme="minorHAnsi"/>
          <w:bCs/>
        </w:rPr>
        <w:fldChar w:fldCharType="separate"/>
      </w:r>
      <w:r>
        <w:fldChar w:fldCharType="begin"/>
      </w:r>
      <w:r>
        <w:instrText xml:space="preserve"> HYPERLINK \l "_Toc526170569" </w:instrText>
      </w:r>
      <w:r>
        <w:fldChar w:fldCharType="separate"/>
      </w:r>
      <w:r>
        <w:rPr>
          <w:rStyle w:val="33"/>
          <w:caps/>
          <w:lang w:val="hr-HR"/>
        </w:rPr>
        <w:t>I</w:t>
      </w:r>
      <w:r>
        <w:rPr>
          <w:rFonts w:asciiTheme="minorHAnsi" w:hAnsiTheme="minorHAnsi" w:eastAsiaTheme="minorEastAsia" w:cstheme="minorBidi"/>
          <w:lang w:val="en-US"/>
        </w:rPr>
        <w:tab/>
      </w:r>
      <w:r>
        <w:rPr>
          <w:rStyle w:val="33"/>
          <w:caps/>
          <w:lang w:val="sr-Cyrl-RS"/>
        </w:rPr>
        <w:t>Садржај</w:t>
      </w:r>
      <w:r>
        <w:tab/>
      </w:r>
      <w:r>
        <w:fldChar w:fldCharType="begin"/>
      </w:r>
      <w:r>
        <w:instrText xml:space="preserve"> PAGEREF _Toc526170569 \h </w:instrText>
      </w:r>
      <w:r>
        <w:fldChar w:fldCharType="separate"/>
      </w:r>
      <w:r>
        <w:t>i</w:t>
      </w:r>
      <w:r>
        <w:fldChar w:fldCharType="end"/>
      </w:r>
      <w:r>
        <w:fldChar w:fldCharType="end"/>
      </w:r>
    </w:p>
    <w:p>
      <w:pPr>
        <w:pStyle w:val="22"/>
        <w:tabs>
          <w:tab w:val="left" w:pos="440"/>
          <w:tab w:val="right" w:leader="dot" w:pos="9350"/>
        </w:tabs>
        <w:rPr>
          <w:rFonts w:asciiTheme="minorHAnsi" w:hAnsiTheme="minorHAnsi" w:eastAsiaTheme="minorEastAsia" w:cstheme="minorBidi"/>
          <w:lang w:val="en-US"/>
        </w:rPr>
      </w:pPr>
      <w:r>
        <w:fldChar w:fldCharType="begin"/>
      </w:r>
      <w:r>
        <w:instrText xml:space="preserve"> HYPERLINK \l "_Toc526170570" </w:instrText>
      </w:r>
      <w:r>
        <w:fldChar w:fldCharType="separate"/>
      </w:r>
      <w:r>
        <w:rPr>
          <w:rStyle w:val="33"/>
          <w:caps/>
          <w:lang w:val="hr-HR"/>
        </w:rPr>
        <w:t>II</w:t>
      </w:r>
      <w:r>
        <w:rPr>
          <w:rFonts w:asciiTheme="minorHAnsi" w:hAnsiTheme="minorHAnsi" w:eastAsiaTheme="minorEastAsia" w:cstheme="minorBidi"/>
          <w:lang w:val="en-US"/>
        </w:rPr>
        <w:tab/>
      </w:r>
      <w:r>
        <w:rPr>
          <w:rStyle w:val="33"/>
          <w:caps/>
        </w:rPr>
        <w:t>Увод</w:t>
      </w:r>
      <w:r>
        <w:tab/>
      </w:r>
      <w:r>
        <w:fldChar w:fldCharType="begin"/>
      </w:r>
      <w:r>
        <w:instrText xml:space="preserve"> PAGEREF _Toc526170570 \h </w:instrText>
      </w:r>
      <w:r>
        <w:fldChar w:fldCharType="separate"/>
      </w:r>
      <w:r>
        <w:t>1</w:t>
      </w:r>
      <w:r>
        <w:fldChar w:fldCharType="end"/>
      </w:r>
      <w:r>
        <w:fldChar w:fldCharType="end"/>
      </w:r>
    </w:p>
    <w:p>
      <w:pPr>
        <w:pStyle w:val="22"/>
        <w:tabs>
          <w:tab w:val="left" w:pos="440"/>
          <w:tab w:val="right" w:leader="dot" w:pos="9350"/>
        </w:tabs>
        <w:rPr>
          <w:rFonts w:asciiTheme="minorHAnsi" w:hAnsiTheme="minorHAnsi" w:eastAsiaTheme="minorEastAsia" w:cstheme="minorBidi"/>
          <w:lang w:val="en-US"/>
        </w:rPr>
      </w:pPr>
      <w:r>
        <w:fldChar w:fldCharType="begin"/>
      </w:r>
      <w:r>
        <w:instrText xml:space="preserve"> HYPERLINK \l "_Toc526170571" </w:instrText>
      </w:r>
      <w:r>
        <w:fldChar w:fldCharType="separate"/>
      </w:r>
      <w:r>
        <w:rPr>
          <w:rStyle w:val="33"/>
          <w:caps/>
          <w:lang w:val="hr-HR"/>
        </w:rPr>
        <w:t>III</w:t>
      </w:r>
      <w:r>
        <w:rPr>
          <w:rFonts w:asciiTheme="minorHAnsi" w:hAnsiTheme="minorHAnsi" w:eastAsiaTheme="minorEastAsia" w:cstheme="minorBidi"/>
          <w:lang w:val="en-US"/>
        </w:rPr>
        <w:tab/>
      </w:r>
      <w:r>
        <w:rPr>
          <w:rStyle w:val="33"/>
          <w:caps/>
        </w:rPr>
        <w:t>Методологија креирања стратегије локалног развоја</w:t>
      </w:r>
      <w:r>
        <w:tab/>
      </w:r>
      <w:r>
        <w:fldChar w:fldCharType="begin"/>
      </w:r>
      <w:r>
        <w:instrText xml:space="preserve"> PAGEREF _Toc526170571 \h </w:instrText>
      </w:r>
      <w:r>
        <w:fldChar w:fldCharType="separate"/>
      </w:r>
      <w:r>
        <w:t>2</w:t>
      </w:r>
      <w:r>
        <w:fldChar w:fldCharType="end"/>
      </w:r>
      <w:r>
        <w:fldChar w:fldCharType="end"/>
      </w:r>
    </w:p>
    <w:p>
      <w:pPr>
        <w:pStyle w:val="22"/>
        <w:tabs>
          <w:tab w:val="left" w:pos="440"/>
          <w:tab w:val="right" w:leader="dot" w:pos="9350"/>
        </w:tabs>
        <w:rPr>
          <w:rFonts w:asciiTheme="minorHAnsi" w:hAnsiTheme="minorHAnsi" w:eastAsiaTheme="minorEastAsia" w:cstheme="minorBidi"/>
          <w:lang w:val="en-US"/>
        </w:rPr>
      </w:pPr>
      <w:r>
        <w:fldChar w:fldCharType="begin"/>
      </w:r>
      <w:r>
        <w:instrText xml:space="preserve"> HYPERLINK \l "_Toc526170572" </w:instrText>
      </w:r>
      <w:r>
        <w:fldChar w:fldCharType="separate"/>
      </w:r>
      <w:r>
        <w:rPr>
          <w:rStyle w:val="33"/>
          <w:caps/>
        </w:rPr>
        <w:t>IV</w:t>
      </w:r>
      <w:r>
        <w:rPr>
          <w:rFonts w:asciiTheme="minorHAnsi" w:hAnsiTheme="minorHAnsi" w:eastAsiaTheme="minorEastAsia" w:cstheme="minorBidi"/>
          <w:lang w:val="en-US"/>
        </w:rPr>
        <w:tab/>
      </w:r>
      <w:r>
        <w:rPr>
          <w:rStyle w:val="33"/>
          <w:caps/>
        </w:rPr>
        <w:t>Стратешка пла</w:t>
      </w:r>
      <w:r>
        <w:rPr>
          <w:rStyle w:val="33"/>
          <w:caps/>
          <w:lang w:val="sr-Cyrl-RS"/>
        </w:rPr>
        <w:t>Т</w:t>
      </w:r>
      <w:r>
        <w:rPr>
          <w:rStyle w:val="33"/>
          <w:caps/>
        </w:rPr>
        <w:t>форма</w:t>
      </w:r>
      <w:r>
        <w:tab/>
      </w:r>
      <w:r>
        <w:fldChar w:fldCharType="begin"/>
      </w:r>
      <w:r>
        <w:instrText xml:space="preserve"> PAGEREF _Toc526170572 \h </w:instrText>
      </w:r>
      <w:r>
        <w:fldChar w:fldCharType="separate"/>
      </w:r>
      <w:r>
        <w:t>4</w:t>
      </w:r>
      <w:r>
        <w:fldChar w:fldCharType="end"/>
      </w:r>
      <w:r>
        <w:fldChar w:fldCharType="end"/>
      </w:r>
    </w:p>
    <w:p>
      <w:pPr>
        <w:pStyle w:val="23"/>
        <w:tabs>
          <w:tab w:val="left" w:pos="880"/>
          <w:tab w:val="right" w:leader="dot" w:pos="9350"/>
        </w:tabs>
        <w:rPr>
          <w:rFonts w:asciiTheme="minorHAnsi" w:hAnsiTheme="minorHAnsi" w:eastAsiaTheme="minorEastAsia" w:cstheme="minorBidi"/>
          <w:lang w:val="en-US"/>
        </w:rPr>
      </w:pPr>
      <w:r>
        <w:fldChar w:fldCharType="begin"/>
      </w:r>
      <w:r>
        <w:instrText xml:space="preserve"> HYPERLINK \l "_Toc526170573" </w:instrText>
      </w:r>
      <w:r>
        <w:fldChar w:fldCharType="separate"/>
      </w:r>
      <w:r>
        <w:rPr>
          <w:rStyle w:val="33"/>
        </w:rPr>
        <w:t>IV.1.</w:t>
      </w:r>
      <w:r>
        <w:rPr>
          <w:rFonts w:asciiTheme="minorHAnsi" w:hAnsiTheme="minorHAnsi" w:eastAsiaTheme="minorEastAsia" w:cstheme="minorBidi"/>
          <w:lang w:val="en-US"/>
        </w:rPr>
        <w:tab/>
      </w:r>
      <w:r>
        <w:rPr>
          <w:rStyle w:val="33"/>
        </w:rPr>
        <w:t>Социо-економска анализа</w:t>
      </w:r>
      <w:r>
        <w:tab/>
      </w:r>
      <w:r>
        <w:fldChar w:fldCharType="begin"/>
      </w:r>
      <w:r>
        <w:instrText xml:space="preserve"> PAGEREF _Toc526170573 \h </w:instrText>
      </w:r>
      <w:r>
        <w:fldChar w:fldCharType="separate"/>
      </w:r>
      <w:r>
        <w:t>4</w:t>
      </w:r>
      <w:r>
        <w:fldChar w:fldCharType="end"/>
      </w:r>
      <w:r>
        <w:fldChar w:fldCharType="end"/>
      </w:r>
    </w:p>
    <w:p>
      <w:pPr>
        <w:pStyle w:val="24"/>
        <w:tabs>
          <w:tab w:val="right" w:leader="dot" w:pos="9350"/>
        </w:tabs>
        <w:rPr>
          <w:rFonts w:asciiTheme="minorHAnsi" w:hAnsiTheme="minorHAnsi" w:eastAsiaTheme="minorEastAsia" w:cstheme="minorBidi"/>
          <w:lang w:val="en-US"/>
        </w:rPr>
      </w:pPr>
      <w:r>
        <w:fldChar w:fldCharType="begin"/>
      </w:r>
      <w:r>
        <w:instrText xml:space="preserve"> HYPERLINK \l "_Toc526170574" </w:instrText>
      </w:r>
      <w:r>
        <w:fldChar w:fldCharType="separate"/>
      </w:r>
      <w:r>
        <w:rPr>
          <w:rStyle w:val="33"/>
        </w:rPr>
        <w:t>IV.1.</w:t>
      </w:r>
      <w:r>
        <w:rPr>
          <w:rStyle w:val="33"/>
          <w:lang w:val="sr-Cyrl-RS"/>
        </w:rPr>
        <w:t>1</w:t>
      </w:r>
      <w:r>
        <w:rPr>
          <w:rStyle w:val="33"/>
        </w:rPr>
        <w:t>.</w:t>
      </w:r>
      <w:r>
        <w:rPr>
          <w:rStyle w:val="33"/>
          <w:lang w:val="sr-Cyrl-RS"/>
        </w:rPr>
        <w:t xml:space="preserve"> Геостратешки положај и карактеристике</w:t>
      </w:r>
      <w:r>
        <w:tab/>
      </w:r>
      <w:r>
        <w:fldChar w:fldCharType="begin"/>
      </w:r>
      <w:r>
        <w:instrText xml:space="preserve"> PAGEREF _Toc526170574 \h </w:instrText>
      </w:r>
      <w:r>
        <w:fldChar w:fldCharType="separate"/>
      </w:r>
      <w:r>
        <w:t>4</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"_Toc526170575" </w:instrText>
      </w:r>
      <w:r>
        <w:fldChar w:fldCharType="separate"/>
      </w:r>
      <w:r>
        <w:rPr>
          <w:rStyle w:val="33"/>
        </w:rPr>
        <w:t>IV.1.1.</w:t>
      </w:r>
      <w:r>
        <w:rPr>
          <w:rStyle w:val="33"/>
          <w:lang w:val="sr-Cyrl-RS"/>
        </w:rPr>
        <w:t>1</w:t>
      </w:r>
      <w:r>
        <w:rPr>
          <w:rStyle w:val="33"/>
        </w:rPr>
        <w:t xml:space="preserve"> </w:t>
      </w:r>
      <w:r>
        <w:rPr>
          <w:rStyle w:val="33"/>
          <w:lang w:val="sr-Cyrl-RS"/>
        </w:rPr>
        <w:t xml:space="preserve"> </w:t>
      </w:r>
      <w:r>
        <w:rPr>
          <w:rStyle w:val="33"/>
        </w:rPr>
        <w:t>Географск</w:t>
      </w:r>
      <w:r>
        <w:rPr>
          <w:rStyle w:val="33"/>
          <w:lang w:val="sr-Cyrl-RS"/>
        </w:rPr>
        <w:t>е</w:t>
      </w:r>
      <w:r>
        <w:rPr>
          <w:rStyle w:val="33"/>
        </w:rPr>
        <w:t xml:space="preserve"> карактеристике</w:t>
      </w:r>
      <w:r>
        <w:rPr>
          <w:rStyle w:val="33"/>
          <w:lang w:val="sr-Cyrl-RS"/>
        </w:rPr>
        <w:t xml:space="preserve"> и историјски развој</w:t>
      </w:r>
      <w:r>
        <w:tab/>
      </w:r>
      <w:r>
        <w:fldChar w:fldCharType="begin"/>
      </w:r>
      <w:r>
        <w:instrText xml:space="preserve"> PAGEREF _Toc526170575 \h </w:instrText>
      </w:r>
      <w:r>
        <w:fldChar w:fldCharType="separate"/>
      </w:r>
      <w:r>
        <w:t>4</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"_Toc526170576" </w:instrText>
      </w:r>
      <w:r>
        <w:fldChar w:fldCharType="separate"/>
      </w:r>
      <w:r>
        <w:rPr>
          <w:rStyle w:val="33"/>
        </w:rPr>
        <w:t>IV.1.2 Стратешки положај и административне карактеристике Града</w:t>
      </w:r>
      <w:r>
        <w:tab/>
      </w:r>
      <w:r>
        <w:fldChar w:fldCharType="begin"/>
      </w:r>
      <w:r>
        <w:instrText xml:space="preserve"> PAGEREF _Toc526170576 \h </w:instrText>
      </w:r>
      <w:r>
        <w:fldChar w:fldCharType="separate"/>
      </w:r>
      <w:r>
        <w:t>6</w:t>
      </w:r>
      <w:r>
        <w:fldChar w:fldCharType="end"/>
      </w:r>
      <w:r>
        <w:fldChar w:fldCharType="end"/>
      </w:r>
    </w:p>
    <w:p>
      <w:pPr>
        <w:pStyle w:val="24"/>
        <w:tabs>
          <w:tab w:val="right" w:leader="dot" w:pos="9350"/>
        </w:tabs>
        <w:rPr>
          <w:rFonts w:asciiTheme="minorHAnsi" w:hAnsiTheme="minorHAnsi" w:eastAsiaTheme="minorEastAsia" w:cstheme="minorBidi"/>
          <w:lang w:val="en-US"/>
        </w:rPr>
      </w:pPr>
      <w:r>
        <w:fldChar w:fldCharType="begin"/>
      </w:r>
      <w:r>
        <w:instrText xml:space="preserve"> HYPERLINK \l "_Toc526170577" </w:instrText>
      </w:r>
      <w:r>
        <w:fldChar w:fldCharType="separate"/>
      </w:r>
      <w:r>
        <w:rPr>
          <w:rStyle w:val="33"/>
        </w:rPr>
        <w:t>IV.1.2. Демографске карактеристике и кретања</w:t>
      </w:r>
      <w:r>
        <w:tab/>
      </w:r>
      <w:r>
        <w:fldChar w:fldCharType="begin"/>
      </w:r>
      <w:r>
        <w:instrText xml:space="preserve"> PAGEREF _Toc526170577 \h </w:instrText>
      </w:r>
      <w:r>
        <w:fldChar w:fldCharType="separate"/>
      </w:r>
      <w:r>
        <w:t>7</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"_Toc526170578" </w:instrText>
      </w:r>
      <w:r>
        <w:fldChar w:fldCharType="separate"/>
      </w:r>
      <w:r>
        <w:rPr>
          <w:rStyle w:val="33"/>
        </w:rPr>
        <w:t>IV.1.2.1. Број становника и природни прираштај</w:t>
      </w:r>
      <w:r>
        <w:tab/>
      </w:r>
      <w:r>
        <w:fldChar w:fldCharType="begin"/>
      </w:r>
      <w:r>
        <w:instrText xml:space="preserve"> PAGEREF _Toc526170578 \h </w:instrText>
      </w:r>
      <w:r>
        <w:fldChar w:fldCharType="separate"/>
      </w:r>
      <w:r>
        <w:t>7</w:t>
      </w:r>
      <w:r>
        <w:fldChar w:fldCharType="end"/>
      </w:r>
      <w:r>
        <w:fldChar w:fldCharType="end"/>
      </w:r>
    </w:p>
    <w:p>
      <w:pPr>
        <w:pStyle w:val="24"/>
        <w:tabs>
          <w:tab w:val="right" w:leader="dot" w:pos="9350"/>
        </w:tabs>
        <w:rPr>
          <w:rFonts w:asciiTheme="minorHAnsi" w:hAnsiTheme="minorHAnsi" w:eastAsiaTheme="minorEastAsia" w:cstheme="minorBidi"/>
          <w:lang w:val="en-US"/>
        </w:rPr>
      </w:pPr>
      <w:r>
        <w:fldChar w:fldCharType="begin"/>
      </w:r>
      <w:r>
        <w:instrText xml:space="preserve"> HYPERLINK \l "_Toc526170580" </w:instrText>
      </w:r>
      <w:r>
        <w:fldChar w:fldCharType="separate"/>
      </w:r>
      <w:r>
        <w:rPr>
          <w:rStyle w:val="33"/>
          <w:lang w:val="hr-HR"/>
        </w:rPr>
        <w:t>IV.1.3. Преглед</w:t>
      </w:r>
      <w:r>
        <w:rPr>
          <w:rStyle w:val="33"/>
          <w:lang w:val="sr-Cyrl-RS"/>
        </w:rPr>
        <w:t xml:space="preserve"> </w:t>
      </w:r>
      <w:r>
        <w:rPr>
          <w:rStyle w:val="33"/>
          <w:lang w:val="hr-HR"/>
        </w:rPr>
        <w:t>стања</w:t>
      </w:r>
      <w:r>
        <w:rPr>
          <w:rStyle w:val="33"/>
          <w:lang w:val="sr-Cyrl-RS"/>
        </w:rPr>
        <w:t xml:space="preserve"> </w:t>
      </w:r>
      <w:r>
        <w:rPr>
          <w:rStyle w:val="33"/>
          <w:lang w:val="hr-HR"/>
        </w:rPr>
        <w:t>и</w:t>
      </w:r>
      <w:r>
        <w:rPr>
          <w:rStyle w:val="33"/>
          <w:lang w:val="sr-Cyrl-RS"/>
        </w:rPr>
        <w:t xml:space="preserve"> </w:t>
      </w:r>
      <w:r>
        <w:rPr>
          <w:rStyle w:val="33"/>
          <w:lang w:val="hr-HR"/>
        </w:rPr>
        <w:t>кретања</w:t>
      </w:r>
      <w:r>
        <w:rPr>
          <w:rStyle w:val="33"/>
          <w:lang w:val="sr-Cyrl-RS"/>
        </w:rPr>
        <w:t xml:space="preserve"> </w:t>
      </w:r>
      <w:r>
        <w:rPr>
          <w:rStyle w:val="33"/>
          <w:lang w:val="hr-HR"/>
        </w:rPr>
        <w:t>у</w:t>
      </w:r>
      <w:r>
        <w:rPr>
          <w:rStyle w:val="33"/>
          <w:lang w:val="sr-Cyrl-RS"/>
        </w:rPr>
        <w:t xml:space="preserve"> </w:t>
      </w:r>
      <w:r>
        <w:rPr>
          <w:rStyle w:val="33"/>
          <w:lang w:val="hr-HR"/>
        </w:rPr>
        <w:t>локалној</w:t>
      </w:r>
      <w:r>
        <w:rPr>
          <w:rStyle w:val="33"/>
          <w:lang w:val="sr-Cyrl-RS"/>
        </w:rPr>
        <w:t xml:space="preserve"> </w:t>
      </w:r>
      <w:r>
        <w:rPr>
          <w:rStyle w:val="33"/>
          <w:lang w:val="hr-HR"/>
        </w:rPr>
        <w:t>економији</w:t>
      </w:r>
      <w:r>
        <w:tab/>
      </w:r>
      <w:r>
        <w:fldChar w:fldCharType="begin"/>
      </w:r>
      <w:r>
        <w:instrText xml:space="preserve"> PAGEREF _Toc526170580 \h </w:instrText>
      </w:r>
      <w:r>
        <w:fldChar w:fldCharType="separate"/>
      </w:r>
      <w:r>
        <w:t>11</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"_Toc526170581" </w:instrText>
      </w:r>
      <w:r>
        <w:fldChar w:fldCharType="separate"/>
      </w:r>
      <w:r>
        <w:rPr>
          <w:rStyle w:val="33"/>
        </w:rPr>
        <w:t>IV.1.3.1. Основни економски показатељи</w:t>
      </w:r>
      <w:r>
        <w:tab/>
      </w:r>
      <w:r>
        <w:fldChar w:fldCharType="begin"/>
      </w:r>
      <w:r>
        <w:instrText xml:space="preserve"> PAGEREF _Toc526170581 \h </w:instrText>
      </w:r>
      <w:r>
        <w:fldChar w:fldCharType="separate"/>
      </w:r>
      <w:r>
        <w:t>11</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"_Toc526170582" </w:instrText>
      </w:r>
      <w:r>
        <w:fldChar w:fldCharType="separate"/>
      </w:r>
      <w:r>
        <w:rPr>
          <w:rStyle w:val="33"/>
        </w:rPr>
        <w:t xml:space="preserve">IV. 1.3.2. </w:t>
      </w:r>
      <w:r>
        <w:rPr>
          <w:rStyle w:val="33"/>
          <w:lang w:val="sr-Cyrl-RS"/>
        </w:rPr>
        <w:t>Активности</w:t>
      </w:r>
      <w:r>
        <w:rPr>
          <w:rStyle w:val="33"/>
        </w:rPr>
        <w:t xml:space="preserve"> и мјере Града за подстицање привредног развоја и побољшање услова </w:t>
      </w:r>
      <w:r>
        <w:rPr>
          <w:rStyle w:val="33"/>
          <w:lang w:val="sr-Cyrl-RS"/>
        </w:rPr>
        <w:t>привређивања</w:t>
      </w:r>
      <w:r>
        <w:tab/>
      </w:r>
      <w:r>
        <w:fldChar w:fldCharType="begin"/>
      </w:r>
      <w:r>
        <w:instrText xml:space="preserve"> PAGEREF _Toc526170582 \h </w:instrText>
      </w:r>
      <w:r>
        <w:fldChar w:fldCharType="separate"/>
      </w:r>
      <w:r>
        <w:t>24</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"_Toc526170583" </w:instrText>
      </w:r>
      <w:r>
        <w:fldChar w:fldCharType="separate"/>
      </w:r>
      <w:r>
        <w:rPr>
          <w:rStyle w:val="33"/>
        </w:rPr>
        <w:t>IV.1.3.3. Локације за инвестирање</w:t>
      </w:r>
      <w:r>
        <w:tab/>
      </w:r>
      <w:r>
        <w:fldChar w:fldCharType="begin"/>
      </w:r>
      <w:r>
        <w:instrText xml:space="preserve"> PAGEREF _Toc526170583 \h </w:instrText>
      </w:r>
      <w:r>
        <w:fldChar w:fldCharType="separate"/>
      </w:r>
      <w:r>
        <w:t>25</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"_Toc526170584" </w:instrText>
      </w:r>
      <w:r>
        <w:fldChar w:fldCharType="separate"/>
      </w:r>
      <w:r>
        <w:rPr>
          <w:rStyle w:val="33"/>
        </w:rPr>
        <w:t>IV.1.3.4. Спољнотрговинска размјена</w:t>
      </w:r>
      <w:r>
        <w:tab/>
      </w:r>
      <w:r>
        <w:fldChar w:fldCharType="begin"/>
      </w:r>
      <w:r>
        <w:instrText xml:space="preserve"> PAGEREF _Toc526170584 \h </w:instrText>
      </w:r>
      <w:r>
        <w:fldChar w:fldCharType="separate"/>
      </w:r>
      <w:r>
        <w:t>28</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"_Toc526170585" </w:instrText>
      </w:r>
      <w:r>
        <w:fldChar w:fldCharType="separate"/>
      </w:r>
      <w:r>
        <w:rPr>
          <w:rStyle w:val="33"/>
        </w:rPr>
        <w:t>IV.1.3.5. Просјечне плате</w:t>
      </w:r>
      <w:r>
        <w:rPr>
          <w:rStyle w:val="33"/>
          <w:lang w:val="sr-Cyrl-RS"/>
        </w:rPr>
        <w:t xml:space="preserve"> и пензије</w:t>
      </w:r>
      <w:r>
        <w:tab/>
      </w:r>
      <w:r>
        <w:fldChar w:fldCharType="begin"/>
      </w:r>
      <w:r>
        <w:instrText xml:space="preserve"> PAGEREF _Toc526170585 \h </w:instrText>
      </w:r>
      <w:r>
        <w:fldChar w:fldCharType="separate"/>
      </w:r>
      <w:r>
        <w:t>31</w:t>
      </w:r>
      <w:r>
        <w:fldChar w:fldCharType="end"/>
      </w:r>
      <w:r>
        <w:fldChar w:fldCharType="end"/>
      </w:r>
    </w:p>
    <w:p>
      <w:pPr>
        <w:pStyle w:val="25"/>
      </w:pPr>
      <w:r>
        <w:fldChar w:fldCharType="begin"/>
      </w:r>
      <w:r>
        <w:instrText xml:space="preserve"> HYPERLINK \l "_Toc526170586" </w:instrText>
      </w:r>
      <w:r>
        <w:fldChar w:fldCharType="separate"/>
      </w:r>
      <w:r>
        <w:rPr>
          <w:rStyle w:val="33"/>
        </w:rPr>
        <w:t>IV.1.3.6. Туризам</w:t>
      </w:r>
      <w:r>
        <w:tab/>
      </w:r>
      <w:r>
        <w:fldChar w:fldCharType="begin"/>
      </w:r>
      <w:r>
        <w:instrText xml:space="preserve"> PAGEREF _Toc526170586 \h </w:instrText>
      </w:r>
      <w:r>
        <w:fldChar w:fldCharType="separate"/>
      </w:r>
      <w:r>
        <w:t>32</w:t>
      </w:r>
      <w:r>
        <w:fldChar w:fldCharType="end"/>
      </w:r>
      <w:r>
        <w:fldChar w:fldCharType="end"/>
      </w:r>
    </w:p>
    <w:p>
      <w:pPr>
        <w:rPr>
          <w:lang w:val="sr-Cyrl-CS"/>
        </w:rPr>
      </w:pPr>
      <w:r>
        <w:rPr>
          <w:lang w:val="sr-Cyrl-CS"/>
        </w:rPr>
        <w:t xml:space="preserve">           </w:t>
      </w:r>
      <w:r>
        <w:t xml:space="preserve">IV 1.3.7. </w:t>
      </w:r>
      <w:r>
        <w:rPr>
          <w:lang w:val="sr-Cyrl-CS"/>
        </w:rPr>
        <w:t>Пољопривреда, шумарство и лов....................................................................................36</w:t>
      </w:r>
    </w:p>
    <w:p>
      <w:pPr>
        <w:pStyle w:val="24"/>
        <w:tabs>
          <w:tab w:val="right" w:leader="dot" w:pos="9350"/>
        </w:tabs>
        <w:rPr>
          <w:rFonts w:asciiTheme="minorHAnsi" w:hAnsiTheme="minorHAnsi" w:eastAsiaTheme="minorEastAsia" w:cstheme="minorBidi"/>
          <w:lang w:val="en-US"/>
        </w:rPr>
      </w:pPr>
      <w:r>
        <w:fldChar w:fldCharType="begin"/>
      </w:r>
      <w:r>
        <w:instrText xml:space="preserve"> HYPERLINK \l "_Toc526170587" </w:instrText>
      </w:r>
      <w:r>
        <w:fldChar w:fldCharType="separate"/>
      </w:r>
      <w:r>
        <w:rPr>
          <w:rStyle w:val="33"/>
          <w:lang w:val="hr-HR"/>
        </w:rPr>
        <w:t>IV.1.4. Преглед</w:t>
      </w:r>
      <w:r>
        <w:rPr>
          <w:rStyle w:val="33"/>
          <w:lang w:val="sr-Cyrl-RS"/>
        </w:rPr>
        <w:t xml:space="preserve"> </w:t>
      </w:r>
      <w:r>
        <w:rPr>
          <w:rStyle w:val="33"/>
          <w:lang w:val="hr-HR"/>
        </w:rPr>
        <w:t>стања</w:t>
      </w:r>
      <w:r>
        <w:rPr>
          <w:rStyle w:val="33"/>
          <w:lang w:val="sr-Cyrl-RS"/>
        </w:rPr>
        <w:t xml:space="preserve"> </w:t>
      </w:r>
      <w:r>
        <w:rPr>
          <w:rStyle w:val="33"/>
          <w:lang w:val="hr-HR"/>
        </w:rPr>
        <w:t>и</w:t>
      </w:r>
      <w:r>
        <w:rPr>
          <w:rStyle w:val="33"/>
          <w:lang w:val="sr-Cyrl-RS"/>
        </w:rPr>
        <w:t xml:space="preserve"> </w:t>
      </w:r>
      <w:r>
        <w:rPr>
          <w:rStyle w:val="33"/>
          <w:lang w:val="hr-HR"/>
        </w:rPr>
        <w:t>кретања</w:t>
      </w:r>
      <w:r>
        <w:rPr>
          <w:rStyle w:val="33"/>
          <w:lang w:val="sr-Cyrl-RS"/>
        </w:rPr>
        <w:t xml:space="preserve"> </w:t>
      </w:r>
      <w:r>
        <w:rPr>
          <w:rStyle w:val="33"/>
          <w:lang w:val="hr-HR"/>
        </w:rPr>
        <w:t>на</w:t>
      </w:r>
      <w:r>
        <w:rPr>
          <w:rStyle w:val="33"/>
          <w:lang w:val="sr-Cyrl-RS"/>
        </w:rPr>
        <w:t xml:space="preserve"> </w:t>
      </w:r>
      <w:r>
        <w:rPr>
          <w:rStyle w:val="33"/>
          <w:lang w:val="hr-HR"/>
        </w:rPr>
        <w:t>тржишту</w:t>
      </w:r>
      <w:r>
        <w:rPr>
          <w:rStyle w:val="33"/>
          <w:lang w:val="sr-Cyrl-RS"/>
        </w:rPr>
        <w:t xml:space="preserve"> </w:t>
      </w:r>
      <w:r>
        <w:rPr>
          <w:rStyle w:val="33"/>
          <w:lang w:val="hr-HR"/>
        </w:rPr>
        <w:t>рада</w:t>
      </w:r>
      <w:r>
        <w:tab/>
      </w:r>
      <w:r>
        <w:fldChar w:fldCharType="begin"/>
      </w:r>
      <w:r>
        <w:instrText xml:space="preserve"> PAGEREF _Toc526170587 \h </w:instrText>
      </w:r>
      <w:r>
        <w:fldChar w:fldCharType="separate"/>
      </w:r>
      <w:r>
        <w:t>37</w:t>
      </w:r>
      <w:r>
        <w:fldChar w:fldCharType="end"/>
      </w:r>
      <w:r>
        <w:fldChar w:fldCharType="end"/>
      </w:r>
    </w:p>
    <w:p>
      <w:pPr>
        <w:pStyle w:val="24"/>
        <w:tabs>
          <w:tab w:val="right" w:leader="dot" w:pos="9350"/>
        </w:tabs>
        <w:rPr>
          <w:rFonts w:asciiTheme="minorHAnsi" w:hAnsiTheme="minorHAnsi" w:eastAsiaTheme="minorEastAsia" w:cstheme="minorBidi"/>
          <w:lang w:val="en-US"/>
        </w:rPr>
      </w:pPr>
      <w:r>
        <w:fldChar w:fldCharType="begin"/>
      </w:r>
      <w:r>
        <w:instrText xml:space="preserve"> HYPERLINK \l "_Toc526170588" </w:instrText>
      </w:r>
      <w:r>
        <w:fldChar w:fldCharType="separate"/>
      </w:r>
      <w:r>
        <w:rPr>
          <w:rStyle w:val="33"/>
          <w:lang w:val="hr-HR"/>
        </w:rPr>
        <w:t>IV.1.5. Преглед</w:t>
      </w:r>
      <w:r>
        <w:rPr>
          <w:rStyle w:val="33"/>
          <w:lang w:val="sr-Cyrl-RS"/>
        </w:rPr>
        <w:t xml:space="preserve"> </w:t>
      </w:r>
      <w:r>
        <w:rPr>
          <w:rStyle w:val="33"/>
          <w:lang w:val="hr-HR"/>
        </w:rPr>
        <w:t>стања</w:t>
      </w:r>
      <w:r>
        <w:rPr>
          <w:rStyle w:val="33"/>
          <w:lang w:val="sr-Cyrl-RS"/>
        </w:rPr>
        <w:t xml:space="preserve"> </w:t>
      </w:r>
      <w:r>
        <w:rPr>
          <w:rStyle w:val="33"/>
          <w:lang w:val="hr-HR"/>
        </w:rPr>
        <w:t>и</w:t>
      </w:r>
      <w:r>
        <w:rPr>
          <w:rStyle w:val="33"/>
          <w:lang w:val="sr-Cyrl-RS"/>
        </w:rPr>
        <w:t xml:space="preserve"> </w:t>
      </w:r>
      <w:r>
        <w:rPr>
          <w:rStyle w:val="33"/>
          <w:lang w:val="hr-HR"/>
        </w:rPr>
        <w:t>кретања</w:t>
      </w:r>
      <w:r>
        <w:rPr>
          <w:rStyle w:val="33"/>
          <w:lang w:val="sr-Cyrl-RS"/>
        </w:rPr>
        <w:t xml:space="preserve"> </w:t>
      </w:r>
      <w:r>
        <w:rPr>
          <w:rStyle w:val="33"/>
          <w:lang w:val="hr-HR"/>
        </w:rPr>
        <w:t>у</w:t>
      </w:r>
      <w:r>
        <w:rPr>
          <w:rStyle w:val="33"/>
          <w:lang w:val="sr-Cyrl-RS"/>
        </w:rPr>
        <w:t xml:space="preserve"> </w:t>
      </w:r>
      <w:r>
        <w:rPr>
          <w:rStyle w:val="33"/>
          <w:lang w:val="hr-HR"/>
        </w:rPr>
        <w:t>области</w:t>
      </w:r>
      <w:r>
        <w:rPr>
          <w:rStyle w:val="33"/>
          <w:lang w:val="sr-Cyrl-RS"/>
        </w:rPr>
        <w:t xml:space="preserve"> </w:t>
      </w:r>
      <w:r>
        <w:rPr>
          <w:rStyle w:val="33"/>
          <w:lang w:val="hr-HR"/>
        </w:rPr>
        <w:t>друштвеног</w:t>
      </w:r>
      <w:r>
        <w:rPr>
          <w:rStyle w:val="33"/>
          <w:lang w:val="sr-Cyrl-RS"/>
        </w:rPr>
        <w:t xml:space="preserve"> </w:t>
      </w:r>
      <w:r>
        <w:rPr>
          <w:rStyle w:val="33"/>
          <w:lang w:val="hr-HR"/>
        </w:rPr>
        <w:t>развоја</w:t>
      </w:r>
      <w:r>
        <w:tab/>
      </w:r>
      <w:r>
        <w:fldChar w:fldCharType="begin"/>
      </w:r>
      <w:r>
        <w:instrText xml:space="preserve"> PAGEREF _Toc526170588 \h </w:instrText>
      </w:r>
      <w:r>
        <w:fldChar w:fldCharType="separate"/>
      </w:r>
      <w:r>
        <w:t>40</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"_Toc526170589" </w:instrText>
      </w:r>
      <w:r>
        <w:fldChar w:fldCharType="separate"/>
      </w:r>
      <w:r>
        <w:rPr>
          <w:rStyle w:val="33"/>
        </w:rPr>
        <w:t>IV.1.5.1. Образовање</w:t>
      </w:r>
      <w:r>
        <w:tab/>
      </w:r>
      <w:r>
        <w:fldChar w:fldCharType="begin"/>
      </w:r>
      <w:r>
        <w:instrText xml:space="preserve"> PAGEREF _Toc526170589 \h </w:instrText>
      </w:r>
      <w:r>
        <w:fldChar w:fldCharType="separate"/>
      </w:r>
      <w:r>
        <w:t>40</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"_Toc526170590" </w:instrText>
      </w:r>
      <w:r>
        <w:fldChar w:fldCharType="separate"/>
      </w:r>
      <w:r>
        <w:rPr>
          <w:rStyle w:val="33"/>
        </w:rPr>
        <w:t>IV.1.5.2. Култура</w:t>
      </w:r>
      <w:r>
        <w:tab/>
      </w:r>
      <w:r>
        <w:fldChar w:fldCharType="begin"/>
      </w:r>
      <w:r>
        <w:instrText xml:space="preserve"> PAGEREF _Toc526170590 \h </w:instrText>
      </w:r>
      <w:r>
        <w:fldChar w:fldCharType="separate"/>
      </w:r>
      <w:r>
        <w:t>50</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"_Toc526170591" </w:instrText>
      </w:r>
      <w:r>
        <w:fldChar w:fldCharType="separate"/>
      </w:r>
      <w:r>
        <w:rPr>
          <w:rStyle w:val="33"/>
        </w:rPr>
        <w:t>IV.1.5.3. Спорт</w:t>
      </w:r>
      <w:r>
        <w:tab/>
      </w:r>
      <w:r>
        <w:fldChar w:fldCharType="begin"/>
      </w:r>
      <w:r>
        <w:instrText xml:space="preserve"> PAGEREF _Toc526170591 \h </w:instrText>
      </w:r>
      <w:r>
        <w:fldChar w:fldCharType="separate"/>
      </w:r>
      <w:r>
        <w:t>55</w:t>
      </w:r>
      <w:r>
        <w:fldChar w:fldCharType="end"/>
      </w:r>
      <w:r>
        <w:fldChar w:fldCharType="end"/>
      </w:r>
    </w:p>
    <w:p>
      <w:pPr>
        <w:pStyle w:val="25"/>
        <w:rPr>
          <w:rFonts w:asciiTheme="minorHAnsi" w:hAnsiTheme="minorHAnsi" w:eastAsiaTheme="minorEastAsia" w:cstheme="minorBidi"/>
          <w:lang w:val="en-US"/>
        </w:rPr>
      </w:pPr>
      <w:r>
        <w:fldChar w:fldCharType="begin"/>
      </w:r>
      <w:r>
        <w:instrText xml:space="preserve"> HYPERLINK \l "_Toc526170592" </w:instrText>
      </w:r>
      <w:r>
        <w:fldChar w:fldCharType="separate"/>
      </w:r>
      <w:r>
        <w:rPr>
          <w:rStyle w:val="33"/>
        </w:rPr>
        <w:t>IV.1.5.4. Здравство</w:t>
      </w:r>
      <w:r>
        <w:tab/>
      </w:r>
      <w:r>
        <w:fldChar w:fldCharType="begin"/>
      </w:r>
      <w:r>
        <w:instrText xml:space="preserve"> PAGEREF _Toc526170592 \h </w:instrText>
      </w:r>
      <w:r>
        <w:fldChar w:fldCharType="separate"/>
      </w:r>
      <w:r>
        <w:t>60</w:t>
      </w:r>
      <w:r>
        <w:fldChar w:fldCharType="end"/>
      </w:r>
      <w:r>
        <w:fldChar w:fldCharType="end"/>
      </w:r>
    </w:p>
    <w:p>
      <w:pPr>
        <w:pStyle w:val="25"/>
        <w:rPr>
          <w:rFonts w:eastAsiaTheme="minorEastAsia"/>
        </w:rPr>
      </w:pPr>
      <w:r>
        <w:fldChar w:fldCharType="begin"/>
      </w:r>
      <w:r>
        <w:instrText xml:space="preserve"> HYPERLINK \l "_Toc526170593" </w:instrText>
      </w:r>
      <w:r>
        <w:fldChar w:fldCharType="separate"/>
      </w:r>
      <w:r>
        <w:rPr>
          <w:rStyle w:val="33"/>
        </w:rPr>
        <w:t>IV.1.5.5. Социјална заштита</w:t>
      </w:r>
      <w:r>
        <w:tab/>
      </w:r>
      <w:r>
        <w:fldChar w:fldCharType="end"/>
      </w:r>
      <w:r>
        <w:t>65</w:t>
      </w:r>
    </w:p>
    <w:p>
      <w:pPr>
        <w:pStyle w:val="25"/>
        <w:rPr>
          <w:rFonts w:asciiTheme="minorHAnsi" w:hAnsiTheme="minorHAnsi" w:eastAsiaTheme="minorEastAsia" w:cstheme="minorBidi"/>
          <w:lang w:val="en-US"/>
        </w:rPr>
      </w:pPr>
      <w:r>
        <w:fldChar w:fldCharType="begin"/>
      </w:r>
      <w:r>
        <w:instrText xml:space="preserve"> HYPERLINK \l "_Toc526170594" </w:instrText>
      </w:r>
      <w:r>
        <w:fldChar w:fldCharType="separate"/>
      </w:r>
      <w:r>
        <w:rPr>
          <w:rStyle w:val="33"/>
          <w:rFonts w:cstheme="minorHAnsi"/>
          <w:bCs/>
          <w:iCs/>
        </w:rPr>
        <w:t>IV.1.5.6. Цивилна заштита, имовинска и лична сигурност грађана</w:t>
      </w:r>
      <w:r>
        <w:tab/>
      </w:r>
      <w:r>
        <w:fldChar w:fldCharType="end"/>
      </w:r>
      <w:r>
        <w:t>71</w:t>
      </w:r>
    </w:p>
    <w:p>
      <w:pPr>
        <w:pStyle w:val="25"/>
        <w:rPr>
          <w:rFonts w:asciiTheme="minorHAnsi" w:hAnsiTheme="minorHAnsi" w:eastAsiaTheme="minorEastAsia" w:cstheme="minorBidi"/>
          <w:lang w:val="en-US"/>
        </w:rPr>
      </w:pPr>
      <w:r>
        <w:fldChar w:fldCharType="begin"/>
      </w:r>
      <w:r>
        <w:instrText xml:space="preserve"> HYPERLINK \l "_Toc526170595" </w:instrText>
      </w:r>
      <w:r>
        <w:fldChar w:fldCharType="separate"/>
      </w:r>
      <w:r>
        <w:rPr>
          <w:rStyle w:val="33"/>
          <w:bCs/>
          <w:iCs/>
        </w:rPr>
        <w:t>IV.1.5.7.</w:t>
      </w:r>
      <w:r>
        <w:rPr>
          <w:rStyle w:val="33"/>
          <w:bCs/>
          <w:iCs/>
          <w:lang w:val="sr-Cyrl-RS"/>
        </w:rPr>
        <w:t xml:space="preserve"> </w:t>
      </w:r>
      <w:r>
        <w:rPr>
          <w:rStyle w:val="33"/>
          <w:bCs/>
          <w:iCs/>
        </w:rPr>
        <w:t>Рањиве групе</w:t>
      </w:r>
      <w:r>
        <w:tab/>
      </w:r>
      <w:r>
        <w:fldChar w:fldCharType="end"/>
      </w:r>
      <w:r>
        <w:t>73</w:t>
      </w:r>
    </w:p>
    <w:p>
      <w:pPr>
        <w:pStyle w:val="25"/>
        <w:rPr>
          <w:rFonts w:asciiTheme="minorHAnsi" w:hAnsiTheme="minorHAnsi" w:eastAsiaTheme="minorEastAsia" w:cstheme="minorBidi"/>
          <w:lang w:val="sr-Cyrl-CS"/>
        </w:rPr>
      </w:pPr>
      <w:r>
        <w:fldChar w:fldCharType="begin"/>
      </w:r>
      <w:r>
        <w:instrText xml:space="preserve"> HYPERLINK \l "_Toc526170596" </w:instrText>
      </w:r>
      <w:r>
        <w:fldChar w:fldCharType="separate"/>
      </w:r>
      <w:r>
        <w:rPr>
          <w:rStyle w:val="33"/>
          <w:bCs/>
          <w:iCs/>
        </w:rPr>
        <w:t>IV.1.5.8. Цивилно друштво</w:t>
      </w:r>
      <w:r>
        <w:tab/>
      </w:r>
      <w:r>
        <w:t>7</w:t>
      </w:r>
      <w:r>
        <w:fldChar w:fldCharType="end"/>
      </w:r>
      <w:r>
        <w:rPr>
          <w:lang w:val="sr-Cyrl-CS"/>
        </w:rPr>
        <w:t>6</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"_Toc526170597" </w:instrText>
      </w:r>
      <w:r>
        <w:fldChar w:fldCharType="separate"/>
      </w:r>
      <w:r>
        <w:rPr>
          <w:rStyle w:val="33"/>
          <w:lang w:val="hr-HR"/>
        </w:rPr>
        <w:t>IV</w:t>
      </w:r>
      <w:r>
        <w:rPr>
          <w:rStyle w:val="33"/>
          <w:lang w:val="sr-Latn-CS"/>
        </w:rPr>
        <w:t>.1.6. Стање</w:t>
      </w:r>
      <w:r>
        <w:rPr>
          <w:rStyle w:val="33"/>
          <w:lang w:val="sr-Cyrl-RS"/>
        </w:rPr>
        <w:t xml:space="preserve"> </w:t>
      </w:r>
      <w:r>
        <w:rPr>
          <w:rStyle w:val="33"/>
          <w:lang w:val="sr-Latn-CS"/>
        </w:rPr>
        <w:t>јавне</w:t>
      </w:r>
      <w:r>
        <w:rPr>
          <w:rStyle w:val="33"/>
          <w:lang w:val="sr-Cyrl-RS"/>
        </w:rPr>
        <w:t xml:space="preserve"> </w:t>
      </w:r>
      <w:r>
        <w:rPr>
          <w:rStyle w:val="33"/>
          <w:lang w:val="sr-Latn-CS"/>
        </w:rPr>
        <w:t>инфраструктуре</w:t>
      </w:r>
      <w:r>
        <w:rPr>
          <w:rStyle w:val="33"/>
          <w:lang w:val="sr-Cyrl-RS"/>
        </w:rPr>
        <w:t xml:space="preserve"> </w:t>
      </w:r>
      <w:r>
        <w:rPr>
          <w:rStyle w:val="33"/>
          <w:lang w:val="sr-Latn-CS"/>
        </w:rPr>
        <w:t>и</w:t>
      </w:r>
      <w:r>
        <w:rPr>
          <w:rStyle w:val="33"/>
          <w:lang w:val="sr-Cyrl-RS"/>
        </w:rPr>
        <w:t xml:space="preserve"> </w:t>
      </w:r>
      <w:r>
        <w:rPr>
          <w:rStyle w:val="33"/>
          <w:lang w:val="sr-Latn-CS"/>
        </w:rPr>
        <w:t>јавних</w:t>
      </w:r>
      <w:r>
        <w:rPr>
          <w:rStyle w:val="33"/>
          <w:lang w:val="sr-Cyrl-RS"/>
        </w:rPr>
        <w:t xml:space="preserve"> </w:t>
      </w:r>
      <w:r>
        <w:rPr>
          <w:rStyle w:val="33"/>
          <w:lang w:val="sr-Latn-CS"/>
        </w:rPr>
        <w:t>услуга</w:t>
      </w:r>
      <w:r>
        <w:tab/>
      </w:r>
      <w:r>
        <w:fldChar w:fldCharType="end"/>
      </w:r>
      <w:r>
        <w:t>7</w:t>
      </w:r>
      <w:r>
        <w:rPr>
          <w:lang w:val="sr-Cyrl-CS"/>
        </w:rPr>
        <w:t>9</w:t>
      </w:r>
    </w:p>
    <w:p>
      <w:pPr>
        <w:pStyle w:val="25"/>
        <w:rPr>
          <w:rFonts w:asciiTheme="minorHAnsi" w:hAnsiTheme="minorHAnsi" w:eastAsiaTheme="minorEastAsia" w:cstheme="minorBidi"/>
          <w:lang w:val="sr-Cyrl-CS"/>
        </w:rPr>
      </w:pPr>
      <w:r>
        <w:fldChar w:fldCharType="begin"/>
      </w:r>
      <w:r>
        <w:instrText xml:space="preserve"> HYPERLINK \l "_Toc526170598" </w:instrText>
      </w:r>
      <w:r>
        <w:fldChar w:fldCharType="separate"/>
      </w:r>
      <w:r>
        <w:rPr>
          <w:rStyle w:val="33"/>
          <w:rFonts w:asciiTheme="majorHAnsi" w:hAnsiTheme="majorHAnsi" w:cstheme="majorBidi"/>
          <w:bCs/>
          <w:iCs/>
          <w:lang w:val="hr-HR"/>
        </w:rPr>
        <w:t>IV.1.6.1. Саобраћајн</w:t>
      </w:r>
      <w:r>
        <w:rPr>
          <w:rStyle w:val="33"/>
          <w:rFonts w:asciiTheme="majorHAnsi" w:hAnsiTheme="majorHAnsi" w:cstheme="majorBidi"/>
          <w:bCs/>
          <w:iCs/>
        </w:rPr>
        <w:t>а</w:t>
      </w:r>
      <w:r>
        <w:rPr>
          <w:rStyle w:val="33"/>
          <w:rFonts w:asciiTheme="majorHAnsi" w:hAnsiTheme="majorHAnsi" w:cstheme="majorBidi"/>
          <w:bCs/>
          <w:iCs/>
          <w:lang w:val="hr-HR"/>
        </w:rPr>
        <w:t xml:space="preserve"> инфраструктур</w:t>
      </w:r>
      <w:r>
        <w:rPr>
          <w:rStyle w:val="33"/>
          <w:rFonts w:asciiTheme="majorHAnsi" w:hAnsiTheme="majorHAnsi" w:cstheme="majorBidi"/>
          <w:bCs/>
          <w:iCs/>
        </w:rPr>
        <w:t>а</w:t>
      </w:r>
      <w:r>
        <w:tab/>
      </w:r>
      <w:r>
        <w:fldChar w:fldCharType="end"/>
      </w:r>
      <w:r>
        <w:t>7</w:t>
      </w:r>
      <w:r>
        <w:rPr>
          <w:lang w:val="sr-Cyrl-CS"/>
        </w:rPr>
        <w:t>9</w:t>
      </w:r>
    </w:p>
    <w:p>
      <w:pPr>
        <w:pStyle w:val="25"/>
        <w:rPr>
          <w:rFonts w:asciiTheme="minorHAnsi" w:hAnsiTheme="minorHAnsi" w:eastAsiaTheme="minorEastAsia" w:cstheme="minorBidi"/>
          <w:lang w:val="sr-Cyrl-CS"/>
        </w:rPr>
      </w:pPr>
      <w:r>
        <w:fldChar w:fldCharType="begin"/>
      </w:r>
      <w:r>
        <w:instrText xml:space="preserve"> HYPERLINK \l "_Toc526170599" </w:instrText>
      </w:r>
      <w:r>
        <w:fldChar w:fldCharType="separate"/>
      </w:r>
      <w:r>
        <w:rPr>
          <w:rStyle w:val="33"/>
          <w:rFonts w:cstheme="minorHAnsi"/>
          <w:bCs/>
          <w:iCs/>
          <w:lang w:val="hr-HR"/>
        </w:rPr>
        <w:t xml:space="preserve">IV.1.6.2. </w:t>
      </w:r>
      <w:r>
        <w:rPr>
          <w:rStyle w:val="33"/>
          <w:rFonts w:cstheme="minorHAnsi"/>
          <w:bCs/>
          <w:iCs/>
        </w:rPr>
        <w:t>Е</w:t>
      </w:r>
      <w:r>
        <w:rPr>
          <w:rStyle w:val="33"/>
          <w:rFonts w:cstheme="minorHAnsi"/>
          <w:bCs/>
          <w:iCs/>
          <w:lang w:val="hr-HR"/>
        </w:rPr>
        <w:t>нергетск</w:t>
      </w:r>
      <w:r>
        <w:rPr>
          <w:rStyle w:val="33"/>
          <w:rFonts w:cstheme="minorHAnsi"/>
          <w:bCs/>
          <w:iCs/>
        </w:rPr>
        <w:t>а</w:t>
      </w:r>
      <w:r>
        <w:rPr>
          <w:rStyle w:val="33"/>
          <w:rFonts w:cstheme="minorHAnsi"/>
          <w:bCs/>
          <w:iCs/>
          <w:lang w:val="hr-HR"/>
        </w:rPr>
        <w:t xml:space="preserve"> инфраструктур</w:t>
      </w:r>
      <w:r>
        <w:rPr>
          <w:rStyle w:val="33"/>
          <w:rFonts w:cstheme="minorHAnsi"/>
          <w:bCs/>
          <w:iCs/>
        </w:rPr>
        <w:t>а</w:t>
      </w:r>
      <w:r>
        <w:tab/>
      </w:r>
      <w:r>
        <w:fldChar w:fldCharType="end"/>
      </w:r>
      <w:r>
        <w:t>8</w:t>
      </w:r>
      <w:r>
        <w:rPr>
          <w:lang w:val="sr-Cyrl-CS"/>
        </w:rPr>
        <w:t>1</w:t>
      </w:r>
    </w:p>
    <w:p>
      <w:pPr>
        <w:pStyle w:val="25"/>
        <w:rPr>
          <w:rFonts w:asciiTheme="minorHAnsi" w:hAnsiTheme="minorHAnsi" w:eastAsiaTheme="minorEastAsia" w:cstheme="minorBidi"/>
          <w:lang w:val="sr-Cyrl-CS"/>
        </w:rPr>
      </w:pPr>
      <w:r>
        <w:fldChar w:fldCharType="begin"/>
      </w:r>
      <w:r>
        <w:instrText xml:space="preserve"> HYPERLINK \l "_Toc526170600" </w:instrText>
      </w:r>
      <w:r>
        <w:fldChar w:fldCharType="separate"/>
      </w:r>
      <w:r>
        <w:rPr>
          <w:rStyle w:val="33"/>
          <w:rFonts w:cstheme="majorBidi"/>
          <w:bCs/>
          <w:iCs/>
          <w:lang w:val="hr-HR"/>
        </w:rPr>
        <w:t>IV.1.6.3. Топлификација</w:t>
      </w:r>
      <w:r>
        <w:tab/>
      </w:r>
      <w:r>
        <w:fldChar w:fldCharType="end"/>
      </w:r>
      <w:r>
        <w:t>8</w:t>
      </w:r>
      <w:r>
        <w:rPr>
          <w:lang w:val="sr-Cyrl-CS"/>
        </w:rPr>
        <w:t>1</w:t>
      </w:r>
    </w:p>
    <w:p>
      <w:pPr>
        <w:pStyle w:val="25"/>
        <w:rPr>
          <w:rFonts w:asciiTheme="minorHAnsi" w:hAnsiTheme="minorHAnsi" w:eastAsiaTheme="minorEastAsia" w:cstheme="minorBidi"/>
          <w:lang w:val="sr-Cyrl-CS"/>
        </w:rPr>
      </w:pPr>
      <w:r>
        <w:fldChar w:fldCharType="begin"/>
      </w:r>
      <w:r>
        <w:instrText xml:space="preserve"> HYPERLINK \l "_Toc526170601" </w:instrText>
      </w:r>
      <w:r>
        <w:fldChar w:fldCharType="separate"/>
      </w:r>
      <w:r>
        <w:rPr>
          <w:rStyle w:val="33"/>
          <w:rFonts w:cstheme="majorBidi"/>
          <w:bCs/>
          <w:iCs/>
          <w:lang w:val="hr-HR"/>
        </w:rPr>
        <w:t xml:space="preserve">IV.1.6.4. </w:t>
      </w:r>
      <w:r>
        <w:rPr>
          <w:rStyle w:val="33"/>
          <w:rFonts w:cstheme="majorBidi"/>
          <w:bCs/>
          <w:iCs/>
        </w:rPr>
        <w:t>К</w:t>
      </w:r>
      <w:r>
        <w:rPr>
          <w:rStyle w:val="33"/>
          <w:rFonts w:cstheme="majorBidi"/>
          <w:bCs/>
          <w:iCs/>
          <w:lang w:val="hr-HR"/>
        </w:rPr>
        <w:t>омуналн</w:t>
      </w:r>
      <w:r>
        <w:rPr>
          <w:rStyle w:val="33"/>
          <w:rFonts w:cstheme="majorBidi"/>
          <w:bCs/>
          <w:iCs/>
        </w:rPr>
        <w:t>а</w:t>
      </w:r>
      <w:r>
        <w:rPr>
          <w:rStyle w:val="33"/>
          <w:rFonts w:cstheme="majorBidi"/>
          <w:bCs/>
          <w:iCs/>
          <w:lang w:val="hr-HR"/>
        </w:rPr>
        <w:t xml:space="preserve"> инфраструктур</w:t>
      </w:r>
      <w:r>
        <w:rPr>
          <w:rStyle w:val="33"/>
          <w:rFonts w:cstheme="majorBidi"/>
          <w:bCs/>
          <w:iCs/>
        </w:rPr>
        <w:t>а</w:t>
      </w:r>
      <w:r>
        <w:tab/>
      </w:r>
      <w:r>
        <w:fldChar w:fldCharType="end"/>
      </w:r>
      <w:r>
        <w:t>8</w:t>
      </w:r>
      <w:r>
        <w:rPr>
          <w:lang w:val="sr-Cyrl-CS"/>
        </w:rPr>
        <w:t>2</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"_Toc526170602" </w:instrText>
      </w:r>
      <w:r>
        <w:fldChar w:fldCharType="separate"/>
      </w:r>
      <w:r>
        <w:rPr>
          <w:rStyle w:val="33"/>
          <w:rFonts w:eastAsia="Times New Roman"/>
          <w:bCs/>
          <w:lang w:val="hr-HR"/>
        </w:rPr>
        <w:t>IV.1.7. Стање</w:t>
      </w:r>
      <w:r>
        <w:rPr>
          <w:rStyle w:val="33"/>
          <w:rFonts w:eastAsia="Times New Roman"/>
          <w:bCs/>
          <w:lang w:val="sr-Cyrl-RS"/>
        </w:rPr>
        <w:t xml:space="preserve"> </w:t>
      </w:r>
      <w:r>
        <w:rPr>
          <w:rStyle w:val="33"/>
          <w:rFonts w:eastAsia="Times New Roman"/>
          <w:bCs/>
          <w:lang w:val="hr-HR"/>
        </w:rPr>
        <w:t>животне</w:t>
      </w:r>
      <w:r>
        <w:rPr>
          <w:rStyle w:val="33"/>
          <w:rFonts w:eastAsia="Times New Roman"/>
          <w:bCs/>
          <w:lang w:val="sr-Cyrl-RS"/>
        </w:rPr>
        <w:t xml:space="preserve"> </w:t>
      </w:r>
      <w:r>
        <w:rPr>
          <w:rStyle w:val="33"/>
          <w:rFonts w:eastAsia="Times New Roman"/>
          <w:bCs/>
          <w:lang w:val="hr-HR"/>
        </w:rPr>
        <w:t>средине</w:t>
      </w:r>
      <w:r>
        <w:tab/>
      </w:r>
      <w:r>
        <w:fldChar w:fldCharType="end"/>
      </w:r>
      <w:r>
        <w:t>8</w:t>
      </w:r>
      <w:r>
        <w:rPr>
          <w:lang w:val="sr-Cyrl-CS"/>
        </w:rPr>
        <w:t>8</w:t>
      </w:r>
    </w:p>
    <w:p>
      <w:pPr>
        <w:pStyle w:val="25"/>
        <w:rPr>
          <w:rFonts w:asciiTheme="minorHAnsi" w:hAnsiTheme="minorHAnsi" w:eastAsiaTheme="minorEastAsia" w:cstheme="minorBidi"/>
          <w:lang w:val="sr-Cyrl-CS"/>
        </w:rPr>
      </w:pPr>
      <w:r>
        <w:fldChar w:fldCharType="begin"/>
      </w:r>
      <w:r>
        <w:instrText xml:space="preserve"> HYPERLINK \l "_Toc526170603" </w:instrText>
      </w:r>
      <w:r>
        <w:fldChar w:fldCharType="separate"/>
      </w:r>
      <w:r>
        <w:rPr>
          <w:rStyle w:val="33"/>
          <w:rFonts w:asciiTheme="majorHAnsi" w:hAnsiTheme="majorHAnsi" w:cstheme="majorBidi"/>
          <w:bCs/>
          <w:iCs/>
          <w:lang w:val="hr-HR"/>
        </w:rPr>
        <w:t>IV.1.7.1. Ваздух</w:t>
      </w:r>
      <w:r>
        <w:tab/>
      </w:r>
      <w:r>
        <w:fldChar w:fldCharType="end"/>
      </w:r>
      <w:r>
        <w:rPr>
          <w:lang w:val="sr-Cyrl-CS"/>
        </w:rPr>
        <w:t>88</w:t>
      </w:r>
    </w:p>
    <w:p>
      <w:pPr>
        <w:pStyle w:val="25"/>
        <w:rPr>
          <w:rFonts w:asciiTheme="minorHAnsi" w:hAnsiTheme="minorHAnsi" w:eastAsiaTheme="minorEastAsia" w:cstheme="minorBidi"/>
          <w:lang w:val="sr-Cyrl-CS"/>
        </w:rPr>
      </w:pPr>
      <w:r>
        <w:fldChar w:fldCharType="begin"/>
      </w:r>
      <w:r>
        <w:instrText xml:space="preserve"> HYPERLINK \l "_Toc526170604" </w:instrText>
      </w:r>
      <w:r>
        <w:fldChar w:fldCharType="separate"/>
      </w:r>
      <w:r>
        <w:rPr>
          <w:rStyle w:val="33"/>
          <w:rFonts w:asciiTheme="majorHAnsi" w:hAnsiTheme="majorHAnsi" w:cstheme="majorBidi"/>
          <w:bCs/>
          <w:iCs/>
          <w:lang w:val="hr-HR"/>
        </w:rPr>
        <w:t>IV.1.7.2. Водни</w:t>
      </w:r>
      <w:r>
        <w:rPr>
          <w:rStyle w:val="33"/>
          <w:rFonts w:asciiTheme="majorHAnsi" w:hAnsiTheme="majorHAnsi" w:cstheme="majorBidi"/>
          <w:bCs/>
          <w:iCs/>
          <w:lang w:val="sr-Cyrl-RS"/>
        </w:rPr>
        <w:t xml:space="preserve"> </w:t>
      </w:r>
      <w:r>
        <w:rPr>
          <w:rStyle w:val="33"/>
          <w:rFonts w:asciiTheme="majorHAnsi" w:hAnsiTheme="majorHAnsi" w:cstheme="majorBidi"/>
          <w:bCs/>
          <w:iCs/>
          <w:lang w:val="hr-HR"/>
        </w:rPr>
        <w:t>ресурси</w:t>
      </w:r>
      <w:r>
        <w:tab/>
      </w:r>
      <w:r>
        <w:fldChar w:fldCharType="end"/>
      </w:r>
      <w:r>
        <w:rPr>
          <w:lang w:val="sr-Cyrl-CS"/>
        </w:rPr>
        <w:t>89</w:t>
      </w:r>
    </w:p>
    <w:p>
      <w:pPr>
        <w:pStyle w:val="25"/>
        <w:rPr>
          <w:rFonts w:asciiTheme="minorHAnsi" w:hAnsiTheme="minorHAnsi" w:eastAsiaTheme="minorEastAsia" w:cstheme="minorBidi"/>
          <w:lang w:val="sr-Cyrl-CS"/>
        </w:rPr>
      </w:pPr>
      <w:r>
        <w:fldChar w:fldCharType="begin"/>
      </w:r>
      <w:r>
        <w:instrText xml:space="preserve"> HYPERLINK \l "_Toc526170605" </w:instrText>
      </w:r>
      <w:r>
        <w:fldChar w:fldCharType="separate"/>
      </w:r>
      <w:r>
        <w:rPr>
          <w:rStyle w:val="33"/>
          <w:rFonts w:asciiTheme="majorHAnsi" w:hAnsiTheme="majorHAnsi" w:cstheme="majorBidi"/>
          <w:bCs/>
          <w:iCs/>
          <w:lang w:val="hr-HR"/>
        </w:rPr>
        <w:t>IV.1.7.</w:t>
      </w:r>
      <w:r>
        <w:rPr>
          <w:rStyle w:val="33"/>
          <w:rFonts w:asciiTheme="majorHAnsi" w:hAnsiTheme="majorHAnsi" w:cstheme="majorBidi"/>
          <w:bCs/>
          <w:iCs/>
        </w:rPr>
        <w:t>3</w:t>
      </w:r>
      <w:r>
        <w:rPr>
          <w:rStyle w:val="33"/>
          <w:rFonts w:asciiTheme="majorHAnsi" w:hAnsiTheme="majorHAnsi" w:cstheme="majorBidi"/>
          <w:bCs/>
          <w:iCs/>
          <w:lang w:val="hr-HR"/>
        </w:rPr>
        <w:t>. Земљиште</w:t>
      </w:r>
      <w:r>
        <w:tab/>
      </w:r>
      <w:r>
        <w:fldChar w:fldCharType="end"/>
      </w:r>
      <w:r>
        <w:rPr>
          <w:lang w:val="sr-Cyrl-CS"/>
        </w:rPr>
        <w:t>90</w:t>
      </w:r>
    </w:p>
    <w:p>
      <w:pPr>
        <w:pStyle w:val="25"/>
        <w:rPr>
          <w:rFonts w:asciiTheme="minorHAnsi" w:hAnsiTheme="minorHAnsi" w:eastAsiaTheme="minorEastAsia" w:cstheme="minorBidi"/>
          <w:lang w:val="sr-Cyrl-CS"/>
        </w:rPr>
      </w:pPr>
      <w:r>
        <w:fldChar w:fldCharType="begin"/>
      </w:r>
      <w:r>
        <w:instrText xml:space="preserve"> HYPERLINK \l "_Toc526170606" </w:instrText>
      </w:r>
      <w:r>
        <w:fldChar w:fldCharType="separate"/>
      </w:r>
      <w:r>
        <w:rPr>
          <w:rStyle w:val="33"/>
          <w:rFonts w:asciiTheme="majorHAnsi" w:hAnsiTheme="majorHAnsi" w:cstheme="majorBidi"/>
          <w:bCs/>
          <w:iCs/>
          <w:lang w:val="hr-HR"/>
        </w:rPr>
        <w:t>IV.1.7.4. Стање шумских екосистема</w:t>
      </w:r>
      <w:r>
        <w:tab/>
      </w:r>
      <w:r>
        <w:fldChar w:fldCharType="end"/>
      </w:r>
      <w:r>
        <w:rPr>
          <w:lang w:val="sr-Cyrl-CS"/>
        </w:rPr>
        <w:t>91</w:t>
      </w:r>
    </w:p>
    <w:p>
      <w:pPr>
        <w:pStyle w:val="25"/>
        <w:rPr>
          <w:rFonts w:asciiTheme="minorHAnsi" w:hAnsiTheme="minorHAnsi" w:eastAsiaTheme="minorEastAsia" w:cstheme="minorBidi"/>
          <w:lang w:val="sr-Cyrl-CS"/>
        </w:rPr>
      </w:pPr>
      <w:r>
        <w:fldChar w:fldCharType="begin"/>
      </w:r>
      <w:r>
        <w:instrText xml:space="preserve"> HYPERLINK \l "_Toc526170607" </w:instrText>
      </w:r>
      <w:r>
        <w:fldChar w:fldCharType="separate"/>
      </w:r>
      <w:r>
        <w:rPr>
          <w:rStyle w:val="33"/>
          <w:rFonts w:asciiTheme="majorHAnsi" w:hAnsiTheme="majorHAnsi" w:cstheme="majorBidi"/>
          <w:bCs/>
          <w:iCs/>
          <w:lang w:val="hr-HR"/>
        </w:rPr>
        <w:t>IV.1.7.5. Биолошка</w:t>
      </w:r>
      <w:r>
        <w:rPr>
          <w:rStyle w:val="33"/>
          <w:rFonts w:asciiTheme="majorHAnsi" w:hAnsiTheme="majorHAnsi" w:cstheme="majorBidi"/>
          <w:bCs/>
          <w:iCs/>
          <w:lang w:val="sr-Cyrl-RS"/>
        </w:rPr>
        <w:t xml:space="preserve"> </w:t>
      </w:r>
      <w:r>
        <w:rPr>
          <w:rStyle w:val="33"/>
          <w:rFonts w:asciiTheme="majorHAnsi" w:hAnsiTheme="majorHAnsi" w:cstheme="majorBidi"/>
          <w:bCs/>
          <w:iCs/>
          <w:lang w:val="hr-HR"/>
        </w:rPr>
        <w:t>разноликост</w:t>
      </w:r>
      <w:r>
        <w:tab/>
      </w:r>
      <w:r>
        <w:fldChar w:fldCharType="end"/>
      </w:r>
      <w:r>
        <w:rPr>
          <w:lang w:val="sr-Cyrl-CS"/>
        </w:rPr>
        <w:t>92</w:t>
      </w:r>
    </w:p>
    <w:p>
      <w:pPr>
        <w:pStyle w:val="25"/>
        <w:rPr>
          <w:rFonts w:asciiTheme="minorHAnsi" w:hAnsiTheme="minorHAnsi" w:eastAsiaTheme="minorEastAsia" w:cstheme="minorBidi"/>
          <w:lang w:val="sr-Cyrl-CS"/>
        </w:rPr>
      </w:pPr>
      <w:r>
        <w:fldChar w:fldCharType="begin"/>
      </w:r>
      <w:r>
        <w:instrText xml:space="preserve"> HYPERLINK \l "_Toc526170608" </w:instrText>
      </w:r>
      <w:r>
        <w:fldChar w:fldCharType="separate"/>
      </w:r>
      <w:r>
        <w:rPr>
          <w:rStyle w:val="33"/>
          <w:rFonts w:asciiTheme="majorHAnsi" w:hAnsiTheme="majorHAnsi" w:cstheme="majorBidi"/>
          <w:bCs/>
          <w:iCs/>
          <w:lang w:val="hr-HR"/>
        </w:rPr>
        <w:t>IV.1.7.6. Управљање отпадом</w:t>
      </w:r>
      <w:r>
        <w:tab/>
      </w:r>
      <w:r>
        <w:fldChar w:fldCharType="end"/>
      </w:r>
      <w:r>
        <w:rPr>
          <w:lang w:val="sr-Cyrl-CS"/>
        </w:rPr>
        <w:t>93</w:t>
      </w:r>
    </w:p>
    <w:p>
      <w:pPr>
        <w:pStyle w:val="25"/>
        <w:rPr>
          <w:rFonts w:asciiTheme="minorHAnsi" w:hAnsiTheme="minorHAnsi" w:eastAsiaTheme="minorEastAsia" w:cstheme="minorBidi"/>
          <w:lang w:val="sr-Cyrl-CS"/>
        </w:rPr>
      </w:pPr>
      <w:r>
        <w:fldChar w:fldCharType="begin"/>
      </w:r>
      <w:r>
        <w:instrText xml:space="preserve"> HYPERLINK \l "_Toc526170609" </w:instrText>
      </w:r>
      <w:r>
        <w:fldChar w:fldCharType="separate"/>
      </w:r>
      <w:r>
        <w:rPr>
          <w:rStyle w:val="33"/>
          <w:rFonts w:asciiTheme="majorHAnsi" w:hAnsiTheme="majorHAnsi" w:cstheme="majorBidi"/>
          <w:bCs/>
          <w:iCs/>
          <w:lang w:val="hr-HR"/>
        </w:rPr>
        <w:t>IV.1.7.7. Зелене</w:t>
      </w:r>
      <w:r>
        <w:rPr>
          <w:rStyle w:val="33"/>
          <w:rFonts w:asciiTheme="majorHAnsi" w:hAnsiTheme="majorHAnsi" w:cstheme="majorBidi"/>
          <w:bCs/>
          <w:iCs/>
          <w:lang w:val="sr-Cyrl-RS"/>
        </w:rPr>
        <w:t xml:space="preserve"> </w:t>
      </w:r>
      <w:r>
        <w:rPr>
          <w:rStyle w:val="33"/>
          <w:rFonts w:asciiTheme="majorHAnsi" w:hAnsiTheme="majorHAnsi" w:cstheme="majorBidi"/>
          <w:bCs/>
          <w:iCs/>
          <w:lang w:val="hr-HR"/>
        </w:rPr>
        <w:t>површине</w:t>
      </w:r>
      <w:r>
        <w:tab/>
      </w:r>
      <w:r>
        <w:fldChar w:fldCharType="end"/>
      </w:r>
      <w:r>
        <w:rPr>
          <w:lang w:val="sr-Cyrl-CS"/>
        </w:rPr>
        <w:t>94</w:t>
      </w:r>
    </w:p>
    <w:p>
      <w:pPr>
        <w:pStyle w:val="25"/>
        <w:rPr>
          <w:rFonts w:asciiTheme="minorHAnsi" w:hAnsiTheme="minorHAnsi" w:eastAsiaTheme="minorEastAsia" w:cstheme="minorBidi"/>
          <w:lang w:val="sr-Cyrl-CS"/>
        </w:rPr>
      </w:pPr>
      <w:r>
        <w:fldChar w:fldCharType="begin"/>
      </w:r>
      <w:r>
        <w:instrText xml:space="preserve"> HYPERLINK \l "_Toc526170610" </w:instrText>
      </w:r>
      <w:r>
        <w:fldChar w:fldCharType="separate"/>
      </w:r>
      <w:r>
        <w:rPr>
          <w:rStyle w:val="33"/>
          <w:rFonts w:asciiTheme="majorHAnsi" w:hAnsiTheme="majorHAnsi" w:cstheme="majorBidi"/>
          <w:bCs/>
          <w:iCs/>
          <w:lang w:val="hr-HR"/>
        </w:rPr>
        <w:t>IV.1.7.</w:t>
      </w:r>
      <w:r>
        <w:rPr>
          <w:rStyle w:val="33"/>
          <w:rFonts w:asciiTheme="majorHAnsi" w:hAnsiTheme="majorHAnsi" w:cstheme="majorBidi"/>
          <w:bCs/>
          <w:iCs/>
        </w:rPr>
        <w:t>8</w:t>
      </w:r>
      <w:r>
        <w:rPr>
          <w:rStyle w:val="33"/>
          <w:rFonts w:asciiTheme="majorHAnsi" w:hAnsiTheme="majorHAnsi" w:cstheme="majorBidi"/>
          <w:bCs/>
          <w:iCs/>
          <w:lang w:val="hr-HR"/>
        </w:rPr>
        <w:t>. Енергетска ефикасност</w:t>
      </w:r>
      <w:r>
        <w:tab/>
      </w:r>
      <w:r>
        <w:fldChar w:fldCharType="end"/>
      </w:r>
      <w:r>
        <w:rPr>
          <w:lang w:val="sr-Cyrl-CS"/>
        </w:rPr>
        <w:t>95</w:t>
      </w:r>
    </w:p>
    <w:p>
      <w:pPr>
        <w:pStyle w:val="25"/>
        <w:rPr>
          <w:rFonts w:asciiTheme="minorHAnsi" w:hAnsiTheme="minorHAnsi" w:eastAsiaTheme="minorEastAsia" w:cstheme="minorBidi"/>
          <w:lang w:val="sr-Cyrl-CS"/>
        </w:rPr>
      </w:pPr>
      <w:r>
        <w:fldChar w:fldCharType="begin"/>
      </w:r>
      <w:r>
        <w:instrText xml:space="preserve"> HYPERLINK \l "_Toc526170611" </w:instrText>
      </w:r>
      <w:r>
        <w:fldChar w:fldCharType="separate"/>
      </w:r>
      <w:r>
        <w:rPr>
          <w:rStyle w:val="33"/>
          <w:rFonts w:asciiTheme="majorHAnsi" w:hAnsiTheme="majorHAnsi" w:cstheme="majorBidi"/>
          <w:bCs/>
          <w:iCs/>
          <w:lang w:val="hr-HR"/>
        </w:rPr>
        <w:t>IV.1.7.</w:t>
      </w:r>
      <w:r>
        <w:rPr>
          <w:rStyle w:val="33"/>
          <w:rFonts w:asciiTheme="majorHAnsi" w:hAnsiTheme="majorHAnsi" w:cstheme="majorBidi"/>
          <w:bCs/>
          <w:iCs/>
        </w:rPr>
        <w:t>9</w:t>
      </w:r>
      <w:r>
        <w:rPr>
          <w:rStyle w:val="33"/>
          <w:rFonts w:asciiTheme="majorHAnsi" w:hAnsiTheme="majorHAnsi" w:cstheme="majorBidi"/>
          <w:bCs/>
          <w:iCs/>
          <w:lang w:val="hr-HR"/>
        </w:rPr>
        <w:t xml:space="preserve">. Утицај </w:t>
      </w:r>
      <w:r>
        <w:rPr>
          <w:rStyle w:val="33"/>
          <w:rFonts w:asciiTheme="majorHAnsi" w:hAnsiTheme="majorHAnsi" w:cstheme="majorBidi"/>
          <w:bCs/>
          <w:iCs/>
        </w:rPr>
        <w:t>загађења животне средине</w:t>
      </w:r>
      <w:r>
        <w:rPr>
          <w:rStyle w:val="33"/>
          <w:rFonts w:asciiTheme="majorHAnsi" w:hAnsiTheme="majorHAnsi" w:cstheme="majorBidi"/>
          <w:bCs/>
          <w:iCs/>
          <w:lang w:val="hr-HR"/>
        </w:rPr>
        <w:t xml:space="preserve"> на јавно здравље</w:t>
      </w:r>
      <w:r>
        <w:tab/>
      </w:r>
      <w:r>
        <w:fldChar w:fldCharType="end"/>
      </w:r>
      <w:r>
        <w:rPr>
          <w:lang w:val="sr-Cyrl-CS"/>
        </w:rPr>
        <w:t>96</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"_Toc526170612" </w:instrText>
      </w:r>
      <w:r>
        <w:fldChar w:fldCharType="separate"/>
      </w:r>
      <w:r>
        <w:rPr>
          <w:rStyle w:val="33"/>
          <w:rFonts w:eastAsia="Times New Roman"/>
          <w:bCs/>
          <w:lang w:val="hr-HR"/>
        </w:rPr>
        <w:t>IV.1.8. Локална</w:t>
      </w:r>
      <w:r>
        <w:rPr>
          <w:rStyle w:val="33"/>
          <w:rFonts w:eastAsia="Times New Roman"/>
          <w:bCs/>
          <w:lang w:val="sr-Cyrl-RS"/>
        </w:rPr>
        <w:t xml:space="preserve"> </w:t>
      </w:r>
      <w:r>
        <w:rPr>
          <w:rStyle w:val="33"/>
          <w:rFonts w:eastAsia="Times New Roman"/>
          <w:bCs/>
          <w:lang w:val="hr-HR"/>
        </w:rPr>
        <w:t>самоуправа</w:t>
      </w:r>
      <w:r>
        <w:tab/>
      </w:r>
      <w:r>
        <w:fldChar w:fldCharType="end"/>
      </w:r>
      <w:r>
        <w:rPr>
          <w:lang w:val="sr-Cyrl-CS"/>
        </w:rPr>
        <w:t>97</w:t>
      </w:r>
    </w:p>
    <w:p>
      <w:pPr>
        <w:pStyle w:val="25"/>
        <w:rPr>
          <w:rFonts w:asciiTheme="minorHAnsi" w:hAnsiTheme="minorHAnsi" w:eastAsiaTheme="minorEastAsia" w:cstheme="minorBidi"/>
          <w:lang w:val="sr-Cyrl-CS"/>
        </w:rPr>
      </w:pPr>
      <w:r>
        <w:fldChar w:fldCharType="begin"/>
      </w:r>
      <w:r>
        <w:instrText xml:space="preserve"> HYPERLINK \l "_Toc526170613" </w:instrText>
      </w:r>
      <w:r>
        <w:fldChar w:fldCharType="separate"/>
      </w:r>
      <w:r>
        <w:rPr>
          <w:rStyle w:val="33"/>
          <w:rFonts w:asciiTheme="majorHAnsi" w:hAnsiTheme="majorHAnsi" w:cstheme="majorBidi"/>
          <w:bCs/>
          <w:iCs/>
          <w:lang w:val="hr-HR"/>
        </w:rPr>
        <w:t>IV.1.</w:t>
      </w:r>
      <w:r>
        <w:rPr>
          <w:rStyle w:val="33"/>
          <w:rFonts w:asciiTheme="majorHAnsi" w:hAnsiTheme="majorHAnsi" w:cstheme="majorBidi"/>
          <w:bCs/>
          <w:iCs/>
          <w:lang w:val="sr-Cyrl-RS"/>
        </w:rPr>
        <w:t>8</w:t>
      </w:r>
      <w:r>
        <w:rPr>
          <w:rStyle w:val="33"/>
          <w:rFonts w:asciiTheme="majorHAnsi" w:hAnsiTheme="majorHAnsi" w:cstheme="majorBidi"/>
          <w:bCs/>
          <w:iCs/>
          <w:lang w:val="hr-HR"/>
        </w:rPr>
        <w:t>.</w:t>
      </w:r>
      <w:r>
        <w:rPr>
          <w:rStyle w:val="33"/>
          <w:rFonts w:asciiTheme="majorHAnsi" w:hAnsiTheme="majorHAnsi" w:cstheme="majorBidi"/>
          <w:bCs/>
          <w:iCs/>
          <w:lang w:val="sr-Cyrl-RS"/>
        </w:rPr>
        <w:t>1</w:t>
      </w:r>
      <w:r>
        <w:rPr>
          <w:rStyle w:val="33"/>
          <w:rFonts w:asciiTheme="majorHAnsi" w:hAnsiTheme="majorHAnsi" w:cstheme="majorBidi"/>
          <w:bCs/>
          <w:iCs/>
          <w:lang w:val="hr-HR"/>
        </w:rPr>
        <w:t xml:space="preserve"> У</w:t>
      </w:r>
      <w:r>
        <w:rPr>
          <w:rStyle w:val="33"/>
          <w:rFonts w:asciiTheme="majorHAnsi" w:hAnsiTheme="majorHAnsi" w:cstheme="majorBidi"/>
          <w:bCs/>
          <w:iCs/>
          <w:lang w:val="sr-Cyrl-RS"/>
        </w:rPr>
        <w:t>нутрашња организација</w:t>
      </w:r>
      <w:r>
        <w:tab/>
      </w:r>
      <w:r>
        <w:fldChar w:fldCharType="end"/>
      </w:r>
      <w:r>
        <w:rPr>
          <w:lang w:val="sr-Cyrl-CS"/>
        </w:rPr>
        <w:t>97</w:t>
      </w:r>
    </w:p>
    <w:p>
      <w:pPr>
        <w:pStyle w:val="25"/>
        <w:rPr>
          <w:rFonts w:asciiTheme="minorHAnsi" w:hAnsiTheme="minorHAnsi" w:eastAsiaTheme="minorEastAsia" w:cstheme="minorBidi"/>
          <w:lang w:val="sr-Cyrl-CS"/>
        </w:rPr>
      </w:pPr>
      <w:r>
        <w:fldChar w:fldCharType="begin"/>
      </w:r>
      <w:r>
        <w:instrText xml:space="preserve"> HYPERLINK \l "_Toc526170614" </w:instrText>
      </w:r>
      <w:r>
        <w:fldChar w:fldCharType="separate"/>
      </w:r>
      <w:r>
        <w:rPr>
          <w:rStyle w:val="33"/>
          <w:bCs/>
          <w:lang w:val="hr-HR"/>
        </w:rPr>
        <w:t>IV.1.</w:t>
      </w:r>
      <w:r>
        <w:rPr>
          <w:rStyle w:val="33"/>
          <w:bCs/>
          <w:lang w:val="sr-Cyrl-RS"/>
        </w:rPr>
        <w:t>8</w:t>
      </w:r>
      <w:r>
        <w:rPr>
          <w:rStyle w:val="33"/>
          <w:bCs/>
          <w:lang w:val="hr-HR"/>
        </w:rPr>
        <w:t>.</w:t>
      </w:r>
      <w:r>
        <w:rPr>
          <w:rStyle w:val="33"/>
          <w:bCs/>
          <w:lang w:val="sr-Cyrl-RS"/>
        </w:rPr>
        <w:t>2</w:t>
      </w:r>
      <w:r>
        <w:rPr>
          <w:rStyle w:val="33"/>
          <w:bCs/>
          <w:lang w:val="hr-HR"/>
        </w:rPr>
        <w:t xml:space="preserve"> Стање</w:t>
      </w:r>
      <w:r>
        <w:rPr>
          <w:rStyle w:val="33"/>
          <w:bCs/>
          <w:lang w:val="sr-Cyrl-RS"/>
        </w:rPr>
        <w:t xml:space="preserve"> </w:t>
      </w:r>
      <w:r>
        <w:rPr>
          <w:rStyle w:val="33"/>
          <w:bCs/>
          <w:lang w:val="hr-HR"/>
        </w:rPr>
        <w:t>просторно-планске</w:t>
      </w:r>
      <w:r>
        <w:rPr>
          <w:rStyle w:val="33"/>
          <w:bCs/>
          <w:lang w:val="sr-Cyrl-RS"/>
        </w:rPr>
        <w:t xml:space="preserve"> </w:t>
      </w:r>
      <w:r>
        <w:rPr>
          <w:rStyle w:val="33"/>
          <w:bCs/>
          <w:lang w:val="hr-HR"/>
        </w:rPr>
        <w:t>документације</w:t>
      </w:r>
      <w:r>
        <w:tab/>
      </w:r>
      <w:r>
        <w:fldChar w:fldCharType="end"/>
      </w:r>
      <w:r>
        <w:rPr>
          <w:lang w:val="sr-Cyrl-CS"/>
        </w:rPr>
        <w:t>98</w:t>
      </w:r>
    </w:p>
    <w:p>
      <w:pPr>
        <w:pStyle w:val="25"/>
        <w:rPr>
          <w:rFonts w:asciiTheme="minorHAnsi" w:hAnsiTheme="minorHAnsi" w:eastAsiaTheme="minorEastAsia" w:cstheme="minorBidi"/>
          <w:lang w:val="sr-Cyrl-CS"/>
        </w:rPr>
      </w:pPr>
      <w:r>
        <w:fldChar w:fldCharType="begin"/>
      </w:r>
      <w:r>
        <w:instrText xml:space="preserve"> HYPERLINK \l "_Toc526170615" </w:instrText>
      </w:r>
      <w:r>
        <w:fldChar w:fldCharType="separate"/>
      </w:r>
      <w:r>
        <w:rPr>
          <w:rStyle w:val="33"/>
          <w:bCs/>
          <w:lang w:val="hr-HR"/>
        </w:rPr>
        <w:t>IV.1.8.3 Анализа</w:t>
      </w:r>
      <w:r>
        <w:rPr>
          <w:rStyle w:val="33"/>
          <w:bCs/>
          <w:lang w:val="sr-Cyrl-RS"/>
        </w:rPr>
        <w:t xml:space="preserve"> </w:t>
      </w:r>
      <w:r>
        <w:rPr>
          <w:rStyle w:val="33"/>
          <w:bCs/>
          <w:lang w:val="hr-HR"/>
        </w:rPr>
        <w:t>буџета</w:t>
      </w:r>
      <w:r>
        <w:tab/>
      </w:r>
      <w:r>
        <w:fldChar w:fldCharType="end"/>
      </w:r>
      <w:r>
        <w:rPr>
          <w:lang w:val="sr-Cyrl-CS"/>
        </w:rPr>
        <w:t>100</w:t>
      </w:r>
    </w:p>
    <w:p>
      <w:pPr>
        <w:pStyle w:val="23"/>
        <w:tabs>
          <w:tab w:val="left" w:pos="880"/>
          <w:tab w:val="right" w:leader="dot" w:pos="9350"/>
        </w:tabs>
        <w:rPr>
          <w:rFonts w:asciiTheme="minorHAnsi" w:hAnsiTheme="minorHAnsi" w:eastAsiaTheme="minorEastAsia" w:cstheme="minorBidi"/>
          <w:lang w:val="sr-Cyrl-CS"/>
        </w:rPr>
      </w:pPr>
      <w:r>
        <w:fldChar w:fldCharType="begin"/>
      </w:r>
      <w:r>
        <w:instrText xml:space="preserve"> HYPERLINK \l "_Toc526170616" </w:instrText>
      </w:r>
      <w:r>
        <w:fldChar w:fldCharType="separate"/>
      </w:r>
      <w:r>
        <w:rPr>
          <w:rStyle w:val="33"/>
        </w:rPr>
        <w:t>IV.2.</w:t>
      </w:r>
      <w:r>
        <w:rPr>
          <w:rFonts w:asciiTheme="minorHAnsi" w:hAnsiTheme="minorHAnsi" w:eastAsiaTheme="minorEastAsia" w:cstheme="minorBidi"/>
          <w:lang w:val="en-US"/>
        </w:rPr>
        <w:tab/>
      </w:r>
      <w:r>
        <w:rPr>
          <w:rStyle w:val="33"/>
        </w:rPr>
        <w:t>Стратешко фокусирање</w:t>
      </w:r>
      <w:r>
        <w:tab/>
      </w:r>
      <w:r>
        <w:fldChar w:fldCharType="end"/>
      </w:r>
      <w:r>
        <w:rPr>
          <w:lang w:val="sr-Cyrl-CS"/>
        </w:rPr>
        <w:t>105</w:t>
      </w:r>
    </w:p>
    <w:p>
      <w:pPr>
        <w:pStyle w:val="22"/>
        <w:tabs>
          <w:tab w:val="right" w:leader="dot" w:pos="9350"/>
        </w:tabs>
        <w:rPr>
          <w:rFonts w:asciiTheme="minorHAnsi" w:hAnsiTheme="minorHAnsi" w:eastAsiaTheme="minorEastAsia" w:cstheme="minorBidi"/>
          <w:lang w:val="sr-Cyrl-CS"/>
        </w:rPr>
      </w:pPr>
      <w:r>
        <w:fldChar w:fldCharType="begin"/>
      </w:r>
      <w:r>
        <w:instrText xml:space="preserve"> HYPERLINK \l "_Toc526170617" </w:instrText>
      </w:r>
      <w:r>
        <w:fldChar w:fldCharType="separate"/>
      </w:r>
      <w:r>
        <w:rPr>
          <w:rStyle w:val="33"/>
        </w:rPr>
        <w:t>V</w:t>
      </w:r>
      <w:r>
        <w:rPr>
          <w:rStyle w:val="33"/>
          <w:lang w:val="sr-Cyrl-RS"/>
        </w:rPr>
        <w:t>.</w:t>
      </w:r>
      <w:r>
        <w:rPr>
          <w:rStyle w:val="33"/>
          <w:caps/>
          <w:lang w:val="sr-Cyrl-RS"/>
        </w:rPr>
        <w:t xml:space="preserve"> </w:t>
      </w:r>
      <w:r>
        <w:rPr>
          <w:rStyle w:val="33"/>
          <w:lang w:val="sr-Cyrl-RS"/>
        </w:rPr>
        <w:t>СЕКТОРСКИ РАЗВОЈНИ ПЛАНОВИ</w:t>
      </w:r>
      <w:r>
        <w:tab/>
      </w:r>
      <w:r>
        <w:fldChar w:fldCharType="end"/>
      </w:r>
      <w:r>
        <w:rPr>
          <w:lang w:val="sr-Cyrl-CS"/>
        </w:rPr>
        <w:t>124</w:t>
      </w:r>
    </w:p>
    <w:p>
      <w:pPr>
        <w:pStyle w:val="23"/>
        <w:tabs>
          <w:tab w:val="right" w:leader="dot" w:pos="9350"/>
        </w:tabs>
        <w:rPr>
          <w:rFonts w:asciiTheme="minorHAnsi" w:hAnsiTheme="minorHAnsi" w:eastAsiaTheme="minorEastAsia" w:cstheme="minorBidi"/>
          <w:lang w:val="sr-Cyrl-CS"/>
        </w:rPr>
      </w:pPr>
      <w:r>
        <w:fldChar w:fldCharType="begin"/>
      </w:r>
      <w:r>
        <w:instrText xml:space="preserve"> HYPERLINK \l "_Toc526170618" </w:instrText>
      </w:r>
      <w:r>
        <w:fldChar w:fldCharType="separate"/>
      </w:r>
      <w:r>
        <w:rPr>
          <w:rStyle w:val="33"/>
        </w:rPr>
        <w:t>V.1. Усклађеност, комплементарност и међусобни утицај секторских планова</w:t>
      </w:r>
      <w:r>
        <w:tab/>
      </w:r>
      <w:r>
        <w:fldChar w:fldCharType="end"/>
      </w:r>
      <w:r>
        <w:rPr>
          <w:lang w:val="sr-Cyrl-CS"/>
        </w:rPr>
        <w:t>124</w:t>
      </w:r>
    </w:p>
    <w:p>
      <w:pPr>
        <w:pStyle w:val="23"/>
        <w:tabs>
          <w:tab w:val="left" w:pos="880"/>
          <w:tab w:val="right" w:leader="dot" w:pos="9350"/>
        </w:tabs>
        <w:rPr>
          <w:rFonts w:asciiTheme="minorHAnsi" w:hAnsiTheme="minorHAnsi" w:eastAsiaTheme="minorEastAsia" w:cstheme="minorBidi"/>
          <w:lang w:val="sr-Cyrl-CS"/>
        </w:rPr>
      </w:pPr>
      <w:r>
        <w:fldChar w:fldCharType="begin"/>
      </w:r>
      <w:r>
        <w:instrText xml:space="preserve"> HYPERLINK \l "_Toc526170619" </w:instrText>
      </w:r>
      <w:r>
        <w:fldChar w:fldCharType="separate"/>
      </w:r>
      <w:r>
        <w:rPr>
          <w:rStyle w:val="33"/>
        </w:rPr>
        <w:t>V.2.</w:t>
      </w:r>
      <w:r>
        <w:rPr>
          <w:rFonts w:asciiTheme="minorHAnsi" w:hAnsiTheme="minorHAnsi" w:eastAsiaTheme="minorEastAsia" w:cstheme="minorBidi"/>
          <w:lang w:val="en-US"/>
        </w:rPr>
        <w:tab/>
      </w:r>
      <w:r>
        <w:rPr>
          <w:rStyle w:val="33"/>
        </w:rPr>
        <w:t>План локалног економског развоја</w:t>
      </w:r>
      <w:r>
        <w:tab/>
      </w:r>
      <w:r>
        <w:fldChar w:fldCharType="end"/>
      </w:r>
      <w:r>
        <w:rPr>
          <w:lang w:val="sr-Cyrl-CS"/>
        </w:rPr>
        <w:t>127</w:t>
      </w:r>
    </w:p>
    <w:p>
      <w:pPr>
        <w:pStyle w:val="24"/>
        <w:tabs>
          <w:tab w:val="left" w:pos="1320"/>
          <w:tab w:val="right" w:leader="dot" w:pos="9350"/>
        </w:tabs>
        <w:rPr>
          <w:rFonts w:asciiTheme="minorHAnsi" w:hAnsiTheme="minorHAnsi" w:eastAsiaTheme="minorEastAsia" w:cstheme="minorBidi"/>
          <w:lang w:val="sr-Cyrl-CS"/>
        </w:rPr>
      </w:pPr>
      <w:r>
        <w:fldChar w:fldCharType="begin"/>
      </w:r>
      <w:r>
        <w:instrText xml:space="preserve"> HYPERLINK \l "_Toc526170620" </w:instrText>
      </w:r>
      <w:r>
        <w:fldChar w:fldCharType="separate"/>
      </w:r>
      <w:r>
        <w:rPr>
          <w:rStyle w:val="33"/>
        </w:rPr>
        <w:t>V.2.1.</w:t>
      </w:r>
      <w:r>
        <w:rPr>
          <w:rFonts w:asciiTheme="minorHAnsi" w:hAnsiTheme="minorHAnsi" w:eastAsiaTheme="minorEastAsia" w:cstheme="minorBidi"/>
          <w:lang w:val="en-US"/>
        </w:rPr>
        <w:tab/>
      </w:r>
      <w:r>
        <w:rPr>
          <w:rStyle w:val="33"/>
        </w:rPr>
        <w:t xml:space="preserve">Преглед секторских циљева </w:t>
      </w:r>
      <w:r>
        <w:rPr>
          <w:rStyle w:val="33"/>
          <w:lang w:val="sr-Cyrl-RS"/>
        </w:rPr>
        <w:t xml:space="preserve">економског развоја </w:t>
      </w:r>
      <w:r>
        <w:rPr>
          <w:rStyle w:val="33"/>
        </w:rPr>
        <w:t>са очекиваним исходима и индикаторима</w:t>
      </w:r>
      <w:r>
        <w:tab/>
      </w:r>
      <w:r>
        <w:fldChar w:fldCharType="end"/>
      </w:r>
      <w:r>
        <w:rPr>
          <w:lang w:val="sr-Cyrl-CS"/>
        </w:rPr>
        <w:t>130</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"_Toc526170621" </w:instrText>
      </w:r>
      <w:r>
        <w:fldChar w:fldCharType="separate"/>
      </w:r>
      <w:r>
        <w:rPr>
          <w:rStyle w:val="33"/>
        </w:rPr>
        <w:t>V.2.2. Усклађеност са стратешким документима виших нивоа</w:t>
      </w:r>
      <w:r>
        <w:rPr>
          <w:rStyle w:val="33"/>
        </w:rPr>
        <w:fldChar w:fldCharType="end"/>
      </w:r>
      <w:r>
        <w:rPr>
          <w:lang w:val="sr-Cyrl-CS"/>
        </w:rPr>
        <w:t>..................................................132</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"_Toc526170622" </w:instrText>
      </w:r>
      <w:r>
        <w:fldChar w:fldCharType="separate"/>
      </w:r>
      <w:r>
        <w:rPr>
          <w:rStyle w:val="33"/>
        </w:rPr>
        <w:t>V</w:t>
      </w:r>
      <w:r>
        <w:rPr>
          <w:rStyle w:val="33"/>
          <w:lang w:val="sr-Cyrl-RS"/>
        </w:rPr>
        <w:t>.2.3. Иницијативе међуопштинске сарадње</w:t>
      </w:r>
      <w:r>
        <w:tab/>
      </w:r>
      <w:r>
        <w:fldChar w:fldCharType="end"/>
      </w:r>
      <w:r>
        <w:rPr>
          <w:lang w:val="sr-Cyrl-CS"/>
        </w:rPr>
        <w:t>132</w:t>
      </w:r>
    </w:p>
    <w:p>
      <w:pPr>
        <w:pStyle w:val="24"/>
        <w:tabs>
          <w:tab w:val="left" w:pos="1320"/>
          <w:tab w:val="right" w:leader="dot" w:pos="9350"/>
        </w:tabs>
        <w:rPr>
          <w:rFonts w:asciiTheme="minorHAnsi" w:hAnsiTheme="minorHAnsi" w:eastAsiaTheme="minorEastAsia" w:cstheme="minorBidi"/>
          <w:lang w:val="sr-Cyrl-CS"/>
        </w:rPr>
      </w:pPr>
      <w:r>
        <w:fldChar w:fldCharType="begin"/>
      </w:r>
      <w:r>
        <w:instrText xml:space="preserve"> HYPERLINK \l "_Toc526170623" </w:instrText>
      </w:r>
      <w:r>
        <w:fldChar w:fldCharType="separate"/>
      </w:r>
      <w:r>
        <w:rPr>
          <w:rStyle w:val="33"/>
        </w:rPr>
        <w:t>V.2.4.</w:t>
      </w:r>
      <w:r>
        <w:rPr>
          <w:rFonts w:asciiTheme="minorHAnsi" w:hAnsiTheme="minorHAnsi" w:eastAsiaTheme="minorEastAsia" w:cstheme="minorBidi"/>
          <w:lang w:val="en-US"/>
        </w:rPr>
        <w:tab/>
      </w:r>
      <w:r>
        <w:rPr>
          <w:rStyle w:val="33"/>
        </w:rPr>
        <w:t>Програми, пројекти и мјере</w:t>
      </w:r>
      <w:r>
        <w:tab/>
      </w:r>
      <w:r>
        <w:fldChar w:fldCharType="end"/>
      </w:r>
      <w:r>
        <w:rPr>
          <w:lang w:val="sr-Cyrl-CS"/>
        </w:rPr>
        <w:t>133</w:t>
      </w:r>
    </w:p>
    <w:p>
      <w:pPr>
        <w:pStyle w:val="23"/>
        <w:tabs>
          <w:tab w:val="left" w:pos="880"/>
          <w:tab w:val="right" w:leader="dot" w:pos="9350"/>
        </w:tabs>
        <w:rPr>
          <w:rFonts w:asciiTheme="minorHAnsi" w:hAnsiTheme="minorHAnsi" w:eastAsiaTheme="minorEastAsia" w:cstheme="minorBidi"/>
          <w:lang w:val="sr-Cyrl-CS"/>
        </w:rPr>
      </w:pPr>
      <w:r>
        <w:fldChar w:fldCharType="begin"/>
      </w:r>
      <w:r>
        <w:instrText xml:space="preserve"> HYPERLINK \l "_Toc526170624" </w:instrText>
      </w:r>
      <w:r>
        <w:fldChar w:fldCharType="separate"/>
      </w:r>
      <w:r>
        <w:rPr>
          <w:rStyle w:val="33"/>
        </w:rPr>
        <w:t>V.3.</w:t>
      </w:r>
      <w:r>
        <w:rPr>
          <w:rFonts w:asciiTheme="minorHAnsi" w:hAnsiTheme="minorHAnsi" w:eastAsiaTheme="minorEastAsia" w:cstheme="minorBidi"/>
          <w:lang w:val="en-US"/>
        </w:rPr>
        <w:tab/>
      </w:r>
      <w:r>
        <w:rPr>
          <w:rStyle w:val="33"/>
        </w:rPr>
        <w:t>План друштвеног развоја</w:t>
      </w:r>
      <w:r>
        <w:tab/>
      </w:r>
      <w:r>
        <w:fldChar w:fldCharType="end"/>
      </w:r>
      <w:r>
        <w:rPr>
          <w:lang w:val="sr-Cyrl-CS"/>
        </w:rPr>
        <w:t>136</w:t>
      </w:r>
    </w:p>
    <w:p>
      <w:pPr>
        <w:pStyle w:val="24"/>
        <w:tabs>
          <w:tab w:val="left" w:pos="1320"/>
          <w:tab w:val="right" w:leader="dot" w:pos="9350"/>
        </w:tabs>
        <w:rPr>
          <w:rFonts w:asciiTheme="minorHAnsi" w:hAnsiTheme="minorHAnsi" w:eastAsiaTheme="minorEastAsia" w:cstheme="minorBidi"/>
          <w:lang w:val="sr-Cyrl-CS"/>
        </w:rPr>
      </w:pPr>
      <w:r>
        <w:fldChar w:fldCharType="begin"/>
      </w:r>
      <w:r>
        <w:instrText xml:space="preserve"> HYPERLINK \l "_Toc526170625" </w:instrText>
      </w:r>
      <w:r>
        <w:fldChar w:fldCharType="separate"/>
      </w:r>
      <w:r>
        <w:rPr>
          <w:rStyle w:val="33"/>
        </w:rPr>
        <w:t>V.3.1.</w:t>
      </w:r>
      <w:r>
        <w:rPr>
          <w:rFonts w:asciiTheme="minorHAnsi" w:hAnsiTheme="minorHAnsi" w:eastAsiaTheme="minorEastAsia" w:cstheme="minorBidi"/>
          <w:lang w:val="en-US"/>
        </w:rPr>
        <w:tab/>
      </w:r>
      <w:r>
        <w:rPr>
          <w:rStyle w:val="33"/>
          <w:lang w:val="sr-Cyrl-RS"/>
        </w:rPr>
        <w:t>Преглед</w:t>
      </w:r>
      <w:r>
        <w:rPr>
          <w:rStyle w:val="33"/>
        </w:rPr>
        <w:t xml:space="preserve"> </w:t>
      </w:r>
      <w:r>
        <w:rPr>
          <w:rStyle w:val="33"/>
          <w:lang w:val="sr-Cyrl-RS"/>
        </w:rPr>
        <w:t>секторских</w:t>
      </w:r>
      <w:r>
        <w:rPr>
          <w:rStyle w:val="33"/>
        </w:rPr>
        <w:t xml:space="preserve"> </w:t>
      </w:r>
      <w:r>
        <w:rPr>
          <w:rStyle w:val="33"/>
          <w:lang w:val="sr-Cyrl-RS"/>
        </w:rPr>
        <w:t>циљева</w:t>
      </w:r>
      <w:r>
        <w:rPr>
          <w:rStyle w:val="33"/>
        </w:rPr>
        <w:t xml:space="preserve"> </w:t>
      </w:r>
      <w:r>
        <w:rPr>
          <w:rStyle w:val="33"/>
          <w:lang w:val="sr-Cyrl-RS"/>
        </w:rPr>
        <w:t>са</w:t>
      </w:r>
      <w:r>
        <w:rPr>
          <w:rStyle w:val="33"/>
        </w:rPr>
        <w:t xml:space="preserve"> </w:t>
      </w:r>
      <w:r>
        <w:rPr>
          <w:rStyle w:val="33"/>
          <w:lang w:val="sr-Cyrl-RS"/>
        </w:rPr>
        <w:t>очекиваним</w:t>
      </w:r>
      <w:r>
        <w:rPr>
          <w:rStyle w:val="33"/>
        </w:rPr>
        <w:t xml:space="preserve"> </w:t>
      </w:r>
      <w:r>
        <w:rPr>
          <w:rStyle w:val="33"/>
          <w:lang w:val="sr-Cyrl-RS"/>
        </w:rPr>
        <w:t>исходима</w:t>
      </w:r>
      <w:r>
        <w:rPr>
          <w:rStyle w:val="33"/>
        </w:rPr>
        <w:t xml:space="preserve"> </w:t>
      </w:r>
      <w:r>
        <w:rPr>
          <w:rStyle w:val="33"/>
          <w:lang w:val="sr-Cyrl-RS"/>
        </w:rPr>
        <w:t>и</w:t>
      </w:r>
      <w:r>
        <w:rPr>
          <w:rStyle w:val="33"/>
        </w:rPr>
        <w:t xml:space="preserve"> </w:t>
      </w:r>
      <w:r>
        <w:rPr>
          <w:rStyle w:val="33"/>
          <w:lang w:val="sr-Cyrl-RS"/>
        </w:rPr>
        <w:t>индикаторима</w:t>
      </w:r>
      <w:r>
        <w:tab/>
      </w:r>
      <w:r>
        <w:fldChar w:fldCharType="end"/>
      </w:r>
      <w:r>
        <w:rPr>
          <w:lang w:val="sr-Cyrl-CS"/>
        </w:rPr>
        <w:t>141</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"_Toc526170626" </w:instrText>
      </w:r>
      <w:r>
        <w:fldChar w:fldCharType="separate"/>
      </w:r>
      <w:r>
        <w:rPr>
          <w:rStyle w:val="33"/>
        </w:rPr>
        <w:t>V.3.2. Усклађеност са стратешким документима виших нивоа</w:t>
      </w:r>
      <w:r>
        <w:tab/>
      </w:r>
      <w:r>
        <w:fldChar w:fldCharType="end"/>
      </w:r>
      <w:r>
        <w:rPr>
          <w:lang w:val="sr-Cyrl-CS"/>
        </w:rPr>
        <w:t>146</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"_Toc526170627" </w:instrText>
      </w:r>
      <w:r>
        <w:fldChar w:fldCharType="separate"/>
      </w:r>
      <w:r>
        <w:rPr>
          <w:rStyle w:val="33"/>
        </w:rPr>
        <w:t xml:space="preserve">V.3.3. </w:t>
      </w:r>
      <w:r>
        <w:rPr>
          <w:rStyle w:val="33"/>
          <w:lang w:val="sr-Cyrl-RS"/>
        </w:rPr>
        <w:t>Иницијативе</w:t>
      </w:r>
      <w:r>
        <w:rPr>
          <w:rStyle w:val="33"/>
        </w:rPr>
        <w:t xml:space="preserve"> </w:t>
      </w:r>
      <w:r>
        <w:rPr>
          <w:rStyle w:val="33"/>
          <w:lang w:val="sr-Cyrl-RS"/>
        </w:rPr>
        <w:t>међуопштинске</w:t>
      </w:r>
      <w:r>
        <w:rPr>
          <w:rStyle w:val="33"/>
        </w:rPr>
        <w:t xml:space="preserve"> </w:t>
      </w:r>
      <w:r>
        <w:rPr>
          <w:rStyle w:val="33"/>
          <w:lang w:val="sr-Cyrl-RS"/>
        </w:rPr>
        <w:t>сарадње</w:t>
      </w:r>
      <w:r>
        <w:tab/>
      </w:r>
      <w:r>
        <w:fldChar w:fldCharType="end"/>
      </w:r>
      <w:r>
        <w:rPr>
          <w:lang w:val="sr-Cyrl-CS"/>
        </w:rPr>
        <w:t>147</w:t>
      </w:r>
    </w:p>
    <w:p>
      <w:pPr>
        <w:pStyle w:val="24"/>
        <w:tabs>
          <w:tab w:val="left" w:pos="1320"/>
          <w:tab w:val="right" w:leader="dot" w:pos="9350"/>
        </w:tabs>
        <w:rPr>
          <w:rFonts w:asciiTheme="minorHAnsi" w:hAnsiTheme="minorHAnsi" w:eastAsiaTheme="minorEastAsia" w:cstheme="minorBidi"/>
          <w:lang w:val="sr-Cyrl-CS"/>
        </w:rPr>
      </w:pPr>
      <w:r>
        <w:fldChar w:fldCharType="begin"/>
      </w:r>
      <w:r>
        <w:instrText xml:space="preserve"> HYPERLINK \l "_Toc526170628" </w:instrText>
      </w:r>
      <w:r>
        <w:fldChar w:fldCharType="separate"/>
      </w:r>
      <w:r>
        <w:rPr>
          <w:rStyle w:val="33"/>
        </w:rPr>
        <w:t>V.3.4.</w:t>
      </w:r>
      <w:r>
        <w:rPr>
          <w:rFonts w:asciiTheme="minorHAnsi" w:hAnsiTheme="minorHAnsi" w:eastAsiaTheme="minorEastAsia" w:cstheme="minorBidi"/>
          <w:lang w:val="en-US"/>
        </w:rPr>
        <w:tab/>
      </w:r>
      <w:r>
        <w:rPr>
          <w:rStyle w:val="33"/>
        </w:rPr>
        <w:t>Програми, пројекти и мјере</w:t>
      </w:r>
      <w:r>
        <w:tab/>
      </w:r>
      <w:r>
        <w:fldChar w:fldCharType="end"/>
      </w:r>
      <w:r>
        <w:rPr>
          <w:lang w:val="sr-Cyrl-CS"/>
        </w:rPr>
        <w:t>147</w:t>
      </w:r>
    </w:p>
    <w:p>
      <w:pPr>
        <w:pStyle w:val="23"/>
        <w:tabs>
          <w:tab w:val="left" w:pos="880"/>
          <w:tab w:val="right" w:leader="dot" w:pos="9350"/>
        </w:tabs>
        <w:rPr>
          <w:rFonts w:asciiTheme="minorHAnsi" w:hAnsiTheme="minorHAnsi" w:eastAsiaTheme="minorEastAsia" w:cstheme="minorBidi"/>
          <w:lang w:val="sr-Cyrl-CS"/>
        </w:rPr>
      </w:pPr>
      <w:r>
        <w:fldChar w:fldCharType="begin"/>
      </w:r>
      <w:r>
        <w:instrText xml:space="preserve"> HYPERLINK \l "_Toc526170629" </w:instrText>
      </w:r>
      <w:r>
        <w:fldChar w:fldCharType="separate"/>
      </w:r>
      <w:r>
        <w:rPr>
          <w:rStyle w:val="33"/>
        </w:rPr>
        <w:t>V.4.</w:t>
      </w:r>
      <w:r>
        <w:rPr>
          <w:rFonts w:asciiTheme="minorHAnsi" w:hAnsiTheme="minorHAnsi" w:eastAsiaTheme="minorEastAsia" w:cstheme="minorBidi"/>
          <w:lang w:val="en-US"/>
        </w:rPr>
        <w:tab/>
      </w:r>
      <w:r>
        <w:rPr>
          <w:rStyle w:val="33"/>
        </w:rPr>
        <w:t>План заштите животне средине и развоја комуналне инфраструктуре</w:t>
      </w:r>
      <w:r>
        <w:tab/>
      </w:r>
      <w:r>
        <w:fldChar w:fldCharType="end"/>
      </w:r>
      <w:r>
        <w:rPr>
          <w:lang w:val="sr-Cyrl-CS"/>
        </w:rPr>
        <w:t>152</w:t>
      </w:r>
    </w:p>
    <w:p>
      <w:pPr>
        <w:pStyle w:val="24"/>
        <w:tabs>
          <w:tab w:val="left" w:pos="1320"/>
          <w:tab w:val="right" w:leader="dot" w:pos="9350"/>
        </w:tabs>
        <w:rPr>
          <w:rFonts w:asciiTheme="minorHAnsi" w:hAnsiTheme="minorHAnsi" w:eastAsiaTheme="minorEastAsia" w:cstheme="minorBidi"/>
          <w:lang w:val="sr-Cyrl-CS"/>
        </w:rPr>
      </w:pPr>
      <w:r>
        <w:fldChar w:fldCharType="begin"/>
      </w:r>
      <w:r>
        <w:instrText xml:space="preserve"> HYPERLINK \l "_Toc526170630" </w:instrText>
      </w:r>
      <w:r>
        <w:fldChar w:fldCharType="separate"/>
      </w:r>
      <w:r>
        <w:rPr>
          <w:rStyle w:val="33"/>
        </w:rPr>
        <w:t>V</w:t>
      </w:r>
      <w:r>
        <w:rPr>
          <w:rStyle w:val="33"/>
          <w:lang w:val="sr-Cyrl-RS"/>
        </w:rPr>
        <w:t>.4.1.</w:t>
      </w:r>
      <w:r>
        <w:rPr>
          <w:rFonts w:asciiTheme="minorHAnsi" w:hAnsiTheme="minorHAnsi" w:eastAsiaTheme="minorEastAsia" w:cstheme="minorBidi"/>
          <w:lang w:val="en-US"/>
        </w:rPr>
        <w:tab/>
      </w:r>
      <w:r>
        <w:rPr>
          <w:rStyle w:val="33"/>
          <w:lang w:val="sr-Cyrl-RS"/>
        </w:rPr>
        <w:t>Преглед секторских циљева са очекиваним исходима и индикаторима</w:t>
      </w:r>
      <w:r>
        <w:tab/>
      </w:r>
      <w:r>
        <w:fldChar w:fldCharType="end"/>
      </w:r>
      <w:r>
        <w:rPr>
          <w:lang w:val="sr-Cyrl-CS"/>
        </w:rPr>
        <w:t>155</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"_Toc526170631" </w:instrText>
      </w:r>
      <w:r>
        <w:fldChar w:fldCharType="separate"/>
      </w:r>
      <w:r>
        <w:rPr>
          <w:rStyle w:val="33"/>
          <w:lang w:val="bs-Latn-BA"/>
        </w:rPr>
        <w:t xml:space="preserve">V.4.2. </w:t>
      </w:r>
      <w:r>
        <w:rPr>
          <w:rStyle w:val="33"/>
        </w:rPr>
        <w:t>Усклађеност</w:t>
      </w:r>
      <w:r>
        <w:rPr>
          <w:rStyle w:val="33"/>
          <w:lang w:val="bs-Latn-BA"/>
        </w:rPr>
        <w:t xml:space="preserve"> </w:t>
      </w:r>
      <w:r>
        <w:rPr>
          <w:rStyle w:val="33"/>
        </w:rPr>
        <w:t>са</w:t>
      </w:r>
      <w:r>
        <w:rPr>
          <w:rStyle w:val="33"/>
          <w:lang w:val="bs-Latn-BA"/>
        </w:rPr>
        <w:t xml:space="preserve"> </w:t>
      </w:r>
      <w:r>
        <w:rPr>
          <w:rStyle w:val="33"/>
        </w:rPr>
        <w:t>стратешким</w:t>
      </w:r>
      <w:r>
        <w:rPr>
          <w:rStyle w:val="33"/>
          <w:lang w:val="bs-Latn-BA"/>
        </w:rPr>
        <w:t xml:space="preserve"> </w:t>
      </w:r>
      <w:r>
        <w:rPr>
          <w:rStyle w:val="33"/>
        </w:rPr>
        <w:t>документима</w:t>
      </w:r>
      <w:r>
        <w:rPr>
          <w:rStyle w:val="33"/>
          <w:lang w:val="bs-Latn-BA"/>
        </w:rPr>
        <w:t xml:space="preserve"> </w:t>
      </w:r>
      <w:r>
        <w:rPr>
          <w:rStyle w:val="33"/>
        </w:rPr>
        <w:t>виших</w:t>
      </w:r>
      <w:r>
        <w:rPr>
          <w:rStyle w:val="33"/>
          <w:lang w:val="bs-Latn-BA"/>
        </w:rPr>
        <w:t xml:space="preserve"> </w:t>
      </w:r>
      <w:r>
        <w:rPr>
          <w:rStyle w:val="33"/>
        </w:rPr>
        <w:t>нивоа</w:t>
      </w:r>
      <w:r>
        <w:tab/>
      </w:r>
      <w:r>
        <w:fldChar w:fldCharType="end"/>
      </w:r>
      <w:r>
        <w:rPr>
          <w:lang w:val="sr-Cyrl-CS"/>
        </w:rPr>
        <w:t>158</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"_Toc526170632" </w:instrText>
      </w:r>
      <w:r>
        <w:fldChar w:fldCharType="separate"/>
      </w:r>
      <w:r>
        <w:rPr>
          <w:rStyle w:val="33"/>
        </w:rPr>
        <w:t>V.4.3. Иницијативе међуопшинске сарадње</w:t>
      </w:r>
      <w:r>
        <w:tab/>
      </w:r>
      <w:r>
        <w:fldChar w:fldCharType="end"/>
      </w:r>
      <w:r>
        <w:rPr>
          <w:lang w:val="sr-Cyrl-CS"/>
        </w:rPr>
        <w:t>159</w:t>
      </w:r>
    </w:p>
    <w:p>
      <w:pPr>
        <w:pStyle w:val="24"/>
        <w:tabs>
          <w:tab w:val="left" w:pos="1320"/>
          <w:tab w:val="right" w:leader="dot" w:pos="9350"/>
        </w:tabs>
        <w:rPr>
          <w:rFonts w:asciiTheme="minorHAnsi" w:hAnsiTheme="minorHAnsi" w:eastAsiaTheme="minorEastAsia" w:cstheme="minorBidi"/>
          <w:lang w:val="sr-Cyrl-CS"/>
        </w:rPr>
      </w:pPr>
      <w:r>
        <w:fldChar w:fldCharType="begin"/>
      </w:r>
      <w:r>
        <w:instrText xml:space="preserve"> HYPERLINK \l "_Toc526170633" </w:instrText>
      </w:r>
      <w:r>
        <w:fldChar w:fldCharType="separate"/>
      </w:r>
      <w:r>
        <w:rPr>
          <w:rStyle w:val="33"/>
        </w:rPr>
        <w:t>V.4.4.</w:t>
      </w:r>
      <w:r>
        <w:rPr>
          <w:rFonts w:asciiTheme="minorHAnsi" w:hAnsiTheme="minorHAnsi" w:eastAsiaTheme="minorEastAsia" w:cstheme="minorBidi"/>
          <w:lang w:val="en-US"/>
        </w:rPr>
        <w:tab/>
      </w:r>
      <w:r>
        <w:rPr>
          <w:rStyle w:val="33"/>
        </w:rPr>
        <w:t>Програми, пројекти и мјере</w:t>
      </w:r>
      <w:r>
        <w:tab/>
      </w:r>
      <w:r>
        <w:fldChar w:fldCharType="end"/>
      </w:r>
      <w:r>
        <w:rPr>
          <w:lang w:val="sr-Cyrl-CS"/>
        </w:rPr>
        <w:t>159</w:t>
      </w:r>
    </w:p>
    <w:p>
      <w:pPr>
        <w:pStyle w:val="22"/>
        <w:tabs>
          <w:tab w:val="right" w:leader="dot" w:pos="9350"/>
        </w:tabs>
        <w:rPr>
          <w:rFonts w:asciiTheme="minorHAnsi" w:hAnsiTheme="minorHAnsi" w:eastAsiaTheme="minorEastAsia" w:cstheme="minorBidi"/>
          <w:lang w:val="sr-Cyrl-CS"/>
        </w:rPr>
      </w:pPr>
      <w:r>
        <w:fldChar w:fldCharType="begin"/>
      </w:r>
      <w:r>
        <w:instrText xml:space="preserve"> HYPERLINK \l "_Toc526170634" </w:instrText>
      </w:r>
      <w:r>
        <w:fldChar w:fldCharType="separate"/>
      </w:r>
      <w:r>
        <w:rPr>
          <w:rStyle w:val="33"/>
        </w:rPr>
        <w:t>VI. Оперативни дио</w:t>
      </w:r>
      <w:r>
        <w:tab/>
      </w:r>
      <w:r>
        <w:fldChar w:fldCharType="end"/>
      </w:r>
      <w:r>
        <w:rPr>
          <w:lang w:val="sr-Cyrl-CS"/>
        </w:rPr>
        <w:t>164</w:t>
      </w:r>
    </w:p>
    <w:p>
      <w:pPr>
        <w:pStyle w:val="24"/>
        <w:tabs>
          <w:tab w:val="right" w:leader="dot" w:pos="9350"/>
        </w:tabs>
        <w:rPr>
          <w:rFonts w:asciiTheme="minorHAnsi" w:hAnsiTheme="minorHAnsi" w:eastAsiaTheme="minorEastAsia" w:cstheme="minorBidi"/>
          <w:lang w:val="en-US"/>
        </w:rPr>
      </w:pPr>
      <w:r>
        <w:fldChar w:fldCharType="begin"/>
      </w:r>
      <w:r>
        <w:instrText xml:space="preserve"> HYPERLINK \l "_Toc526170635" </w:instrText>
      </w:r>
      <w:r>
        <w:fldChar w:fldCharType="separate"/>
      </w:r>
      <w:r>
        <w:rPr>
          <w:rStyle w:val="33"/>
        </w:rPr>
        <w:t>VI.1. План имплементације стратешких пројеката и мјера за 3 године (1+2)</w:t>
      </w:r>
      <w:r>
        <w:rPr>
          <w:rStyle w:val="33"/>
          <w:lang w:val="sr-Cyrl-CS"/>
        </w:rPr>
        <w:t>............................</w:t>
      </w:r>
      <w:r>
        <w:rPr>
          <w:lang w:val="sr-Cyrl-CS"/>
        </w:rPr>
        <w:t>16</w:t>
      </w:r>
      <w:r>
        <w:rPr>
          <w:lang w:val="sr-Cyrl-CS"/>
        </w:rPr>
        <w:fldChar w:fldCharType="end"/>
      </w:r>
      <w:r>
        <w:rPr>
          <w:lang w:val="sr-Cyrl-CS"/>
        </w:rPr>
        <w:t>4</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"_Toc526170636" </w:instrText>
      </w:r>
      <w:r>
        <w:fldChar w:fldCharType="separate"/>
      </w:r>
      <w:r>
        <w:rPr>
          <w:rStyle w:val="33"/>
        </w:rPr>
        <w:t>VI</w:t>
      </w:r>
      <w:r>
        <w:rPr>
          <w:rStyle w:val="33"/>
          <w:lang w:val="sr-Cyrl-RS"/>
        </w:rPr>
        <w:t>.2. План организационих и људских капацитета за имплементацију, праћење и вредновање стратегије</w:t>
      </w:r>
      <w:r>
        <w:tab/>
      </w:r>
      <w:r>
        <w:fldChar w:fldCharType="end"/>
      </w:r>
      <w:r>
        <w:rPr>
          <w:lang w:val="sr-Cyrl-CS"/>
        </w:rPr>
        <w:t>166</w:t>
      </w:r>
    </w:p>
    <w:p>
      <w:pPr>
        <w:pStyle w:val="24"/>
        <w:tabs>
          <w:tab w:val="right" w:leader="dot" w:pos="9350"/>
        </w:tabs>
        <w:rPr>
          <w:rFonts w:asciiTheme="minorHAnsi" w:hAnsiTheme="minorHAnsi" w:eastAsiaTheme="minorEastAsia" w:cstheme="minorBidi"/>
          <w:lang w:val="sr-Cyrl-CS"/>
        </w:rPr>
      </w:pPr>
      <w:r>
        <w:fldChar w:fldCharType="begin"/>
      </w:r>
      <w:r>
        <w:instrText xml:space="preserve"> HYPERLINK \l "_Toc526170637" </w:instrText>
      </w:r>
      <w:r>
        <w:fldChar w:fldCharType="separate"/>
      </w:r>
      <w:r>
        <w:rPr>
          <w:rStyle w:val="33"/>
          <w:lang w:val="sr-Cyrl-RS"/>
        </w:rPr>
        <w:t>Прилози</w:t>
      </w:r>
      <w:r>
        <w:tab/>
      </w:r>
      <w:r>
        <w:fldChar w:fldCharType="end"/>
      </w:r>
      <w:r>
        <w:rPr>
          <w:lang w:val="sr-Cyrl-CS"/>
        </w:rPr>
        <w:t>172</w:t>
      </w:r>
    </w:p>
    <w:p>
      <w:pPr>
        <w:spacing w:after="160" w:line="259" w:lineRule="auto"/>
        <w:rPr>
          <w:rFonts w:asciiTheme="minorHAnsi" w:hAnsiTheme="minorHAnsi"/>
          <w:bCs/>
        </w:rPr>
        <w:sectPr>
          <w:pgSz w:w="12240" w:h="15840"/>
          <w:pgMar w:top="1440" w:right="1440" w:bottom="1440" w:left="1440" w:header="720" w:footer="720" w:gutter="0"/>
          <w:pgNumType w:fmt="lowerRoman" w:start="1"/>
          <w:cols w:space="720" w:num="1"/>
          <w:docGrid w:linePitch="299" w:charSpace="0"/>
        </w:sectPr>
      </w:pPr>
      <w:r>
        <w:rPr>
          <w:rFonts w:asciiTheme="minorHAnsi" w:hAnsiTheme="minorHAnsi"/>
          <w:bCs/>
        </w:rPr>
        <w:fldChar w:fldCharType="end"/>
      </w:r>
    </w:p>
    <w:p>
      <w:pPr>
        <w:pStyle w:val="2"/>
        <w:spacing w:before="120" w:after="120" w:line="240" w:lineRule="auto"/>
        <w:rPr>
          <w:rFonts w:asciiTheme="minorHAnsi" w:hAnsiTheme="minorHAnsi"/>
          <w:caps/>
          <w:sz w:val="22"/>
          <w:szCs w:val="22"/>
          <w:lang w:val="hr-BA"/>
        </w:rPr>
      </w:pPr>
      <w:bookmarkStart w:id="2" w:name="_Toc526170570"/>
      <w:r>
        <w:rPr>
          <w:rFonts w:asciiTheme="minorHAnsi" w:hAnsiTheme="minorHAnsi"/>
          <w:caps/>
          <w:sz w:val="22"/>
          <w:szCs w:val="22"/>
          <w:lang w:val="hr-HR"/>
        </w:rPr>
        <w:t>II</w:t>
      </w:r>
      <w:r>
        <w:rPr>
          <w:rFonts w:asciiTheme="minorHAnsi" w:hAnsiTheme="minorHAnsi"/>
          <w:caps/>
          <w:sz w:val="22"/>
          <w:szCs w:val="22"/>
          <w:lang w:val="hr-BA"/>
        </w:rPr>
        <w:tab/>
      </w:r>
      <w:r>
        <w:rPr>
          <w:rFonts w:asciiTheme="minorHAnsi" w:hAnsiTheme="minorHAnsi"/>
          <w:caps/>
          <w:sz w:val="22"/>
          <w:szCs w:val="22"/>
        </w:rPr>
        <w:t>Увод</w:t>
      </w:r>
      <w:bookmarkEnd w:id="2"/>
    </w:p>
    <w:p>
      <w:pPr>
        <w:spacing w:after="120"/>
        <w:jc w:val="both"/>
        <w:rPr>
          <w:lang w:val="sr-Cyrl-BA"/>
        </w:rPr>
      </w:pPr>
    </w:p>
    <w:p>
      <w:pPr>
        <w:spacing w:after="120"/>
        <w:jc w:val="both"/>
        <w:rPr>
          <w:bCs/>
        </w:rPr>
      </w:pPr>
      <w:r>
        <w:t xml:space="preserve">Стратегија интегрисаног развоја </w:t>
      </w:r>
      <w:r>
        <w:rPr>
          <w:bCs/>
        </w:rPr>
        <w:t xml:space="preserve">2018–2027. године (Стратегија) је кључни стратешко-плански документ града Бања Лука, који треба да </w:t>
      </w:r>
      <w:r>
        <w:rPr>
          <w:bCs/>
          <w:lang w:val="sr-Cyrl-CS"/>
        </w:rPr>
        <w:t xml:space="preserve">усмјерава и </w:t>
      </w:r>
      <w:r>
        <w:rPr>
          <w:bCs/>
        </w:rPr>
        <w:t>подстиче будући раст и развој заједнице. Стратегија развоја обухвата друштвену и економску сферу, али и аспекте заштите и побољшања животне средине и просторног уређења. Израђена је као оквир за дефинисање заједничких циљева, подстицање локалних снага, али и као одговор на изазове будућег развоја Града и свеукупног живота у њему. Као таква, Стратегија интегрисаног развоја је у складу са развојним стратегијама и политикама на вишим нивоима власти, али и са другим секторским стратегијама и законским оквиром</w:t>
      </w:r>
      <w:r>
        <w:rPr>
          <w:bCs/>
          <w:lang w:val="sr-Cyrl-CS"/>
        </w:rPr>
        <w:t>.</w:t>
      </w:r>
    </w:p>
    <w:p>
      <w:pPr>
        <w:spacing w:after="120"/>
        <w:jc w:val="both"/>
      </w:pPr>
      <w:bookmarkStart w:id="3" w:name="_Toc278838585"/>
      <w:r>
        <w:t xml:space="preserve">Стратегија развоја града Бања Лука </w:t>
      </w:r>
      <w:r>
        <w:rPr>
          <w:lang w:val="sr-Cyrl-CS"/>
        </w:rPr>
        <w:t xml:space="preserve">у </w:t>
      </w:r>
      <w:r>
        <w:t>период</w:t>
      </w:r>
      <w:r>
        <w:rPr>
          <w:lang w:val="sr-Cyrl-CS"/>
        </w:rPr>
        <w:t>у</w:t>
      </w:r>
      <w:r>
        <w:t xml:space="preserve"> 2018-2027. </w:t>
      </w:r>
      <w:r>
        <w:rPr>
          <w:lang w:val="sr-Cyrl-BA"/>
        </w:rPr>
        <w:t>г</w:t>
      </w:r>
      <w:r>
        <w:t xml:space="preserve">одине, израђена је oд стране радних тијела која је именовао </w:t>
      </w:r>
      <w:r>
        <w:rPr>
          <w:lang w:val="sr-Cyrl-CS"/>
        </w:rPr>
        <w:t>Г</w:t>
      </w:r>
      <w:r>
        <w:t xml:space="preserve">радоначелник, уз пуно учешће јавног, приватног и невладиног сектора. Сврха документа је да информише свеукупну јавност и приватни сектор о развојном путу Града, те представља основу за израду детаљних планова и програма у појединим секторима, креира основу за праћење напретка и охрабрује сарадњу и договор у планирању </w:t>
      </w:r>
      <w:r>
        <w:rPr>
          <w:lang w:val="sr-Cyrl-CS"/>
        </w:rPr>
        <w:t xml:space="preserve">између </w:t>
      </w:r>
      <w:r>
        <w:t>различитих нивоа власти и друштвено-економских партнера.</w:t>
      </w:r>
      <w:bookmarkEnd w:id="3"/>
    </w:p>
    <w:p>
      <w:pPr>
        <w:spacing w:after="120"/>
        <w:jc w:val="both"/>
      </w:pPr>
      <w:r>
        <w:t xml:space="preserve">Визија развоја и стратешки циљеви развоја града Бања Лука дефинисани су </w:t>
      </w:r>
      <w:r>
        <w:rPr>
          <w:lang w:val="sr-Cyrl-CS"/>
        </w:rPr>
        <w:t>з</w:t>
      </w:r>
      <w:r>
        <w:t>а период од 10 година. Прихватајући чињеницу да постављање циљева подразумијева</w:t>
      </w:r>
      <w:r>
        <w:rPr>
          <w:lang w:val="sr-Cyrl-CS"/>
        </w:rPr>
        <w:t>,</w:t>
      </w:r>
      <w:r>
        <w:t xml:space="preserve"> не само одговор на питање „шта“, већ и „како“, те да је одговор на ово питање од кључног значаја за квалитетну имплементацију</w:t>
      </w:r>
      <w:r>
        <w:rPr>
          <w:lang w:val="sr-Cyrl-BA"/>
        </w:rPr>
        <w:t xml:space="preserve"> </w:t>
      </w:r>
      <w:r>
        <w:t>Стратегије</w:t>
      </w:r>
      <w:r>
        <w:rPr>
          <w:lang w:val="sr-Cyrl-BA"/>
        </w:rPr>
        <w:t>,</w:t>
      </w:r>
      <w:r>
        <w:t xml:space="preserve"> </w:t>
      </w:r>
      <w:r>
        <w:rPr>
          <w:lang w:val="sr-Cyrl-BA"/>
        </w:rPr>
        <w:t>Р</w:t>
      </w:r>
      <w:r>
        <w:t xml:space="preserve">азвојни тим </w:t>
      </w:r>
      <w:r>
        <w:rPr>
          <w:lang w:val="sr-Cyrl-BA"/>
        </w:rPr>
        <w:t xml:space="preserve">града Бања Лука </w:t>
      </w:r>
      <w:r>
        <w:t xml:space="preserve">је израдио секторске планове и оперативни дио Стратегије. Секторски планови, оперативни циљеви, програми, пројекти и мјере, усмјерени ка побољшању квалитета живота у Граду, дефинисани су </w:t>
      </w:r>
      <w:r>
        <w:rPr>
          <w:lang w:val="sr-Cyrl-CS"/>
        </w:rPr>
        <w:t>з</w:t>
      </w:r>
      <w:r>
        <w:t xml:space="preserve">а период од 5 година. Оквирни оперативни планови су израђени за три године и обухватају листу приоритетних програма и пројеката/мјера, чиме се ствара основа за реализацију секторских и стратешких циљева. </w:t>
      </w:r>
      <w:r>
        <w:rPr>
          <w:lang w:val="sr-Cyrl-CS"/>
        </w:rPr>
        <w:t>П</w:t>
      </w:r>
      <w:r>
        <w:t>риоритетни програми и пројекти, нису само основа за коришћење градских и других домаћих извора средстава, него и добра основа за приступ екстерним изворима средстава, попут Инструмента за претприступну помоћ (IPA) програма Европске уније, али и других програма подршке у Босни и Херцеговини.</w:t>
      </w:r>
      <w:r>
        <w:rPr>
          <w:lang w:val="sr-Cyrl-CS"/>
        </w:rPr>
        <w:t xml:space="preserve"> </w:t>
      </w:r>
    </w:p>
    <w:p>
      <w:pPr>
        <w:spacing w:after="120"/>
        <w:jc w:val="both"/>
      </w:pPr>
      <w:r>
        <w:t>Код израде Стратегије развоја посебно се водило рачуна о остваривању хоризонталне интерсекторске усклађености, те вертикалне усклађености са стратегијама и плановима на другим нивоима. Додатан значај је дат подстицању партнерстава свих битних актера на локалном нивоу, укључивању свих осјетљивих група, могућим иницијативама међуопштинске сарадње, привлачењу инвестиција из дијаспоре, те аспекту енергетске ефикасности.</w:t>
      </w:r>
    </w:p>
    <w:p>
      <w:pPr>
        <w:spacing w:after="120"/>
        <w:jc w:val="both"/>
      </w:pPr>
      <w:r>
        <w:t>Предуслов за квалитетну и правовремену имплементацију Стратегије јесте препознавање њеног значаја од стране свеукупне локалне заједнице и виших нивоа власти, али и успостава Стратегијом предвиђених механизама за њен</w:t>
      </w:r>
      <w:r>
        <w:rPr>
          <w:lang w:val="sr-Cyrl-RS"/>
        </w:rPr>
        <w:t>у</w:t>
      </w:r>
      <w:r>
        <w:t xml:space="preserve"> </w:t>
      </w:r>
      <w:r>
        <w:rPr>
          <w:lang w:val="sr-Cyrl-RS"/>
        </w:rPr>
        <w:t>реализацију</w:t>
      </w:r>
      <w:r>
        <w:t xml:space="preserve">, извјештавање, допуњавање и свеукупну операционализацију, а што је задатак који граду Бања Лука, али и свим другим актерима у локалној заједници, предстоји у наредном периоду. </w:t>
      </w:r>
    </w:p>
    <w:p>
      <w:pPr>
        <w:spacing w:after="160" w:line="259" w:lineRule="auto"/>
        <w:jc w:val="both"/>
        <w:rPr>
          <w:b/>
          <w:lang w:val="sr-Cyrl-CS"/>
        </w:rPr>
      </w:pPr>
      <w:r>
        <w:rPr>
          <w:b/>
          <w:lang w:val="sr-Cyrl-CS"/>
        </w:rPr>
        <w:t xml:space="preserve">Израду </w:t>
      </w:r>
      <w:r>
        <w:rPr>
          <w:b/>
        </w:rPr>
        <w:t>Стратегиј</w:t>
      </w:r>
      <w:r>
        <w:rPr>
          <w:b/>
          <w:lang w:val="sr-Cyrl-CS"/>
        </w:rPr>
        <w:t>е</w:t>
      </w:r>
      <w:r>
        <w:rPr>
          <w:b/>
        </w:rPr>
        <w:t xml:space="preserve"> развоја града Бања Лука</w:t>
      </w:r>
      <w:r>
        <w:rPr>
          <w:b/>
          <w:lang w:val="sr-Cyrl-CS"/>
        </w:rPr>
        <w:t>,</w:t>
      </w:r>
      <w:r>
        <w:rPr>
          <w:b/>
        </w:rPr>
        <w:t xml:space="preserve"> </w:t>
      </w:r>
      <w:r>
        <w:rPr>
          <w:b/>
          <w:lang w:val="sr-Cyrl-CS"/>
        </w:rPr>
        <w:t xml:space="preserve">координирао је </w:t>
      </w:r>
      <w:r>
        <w:rPr>
          <w:b/>
        </w:rPr>
        <w:t>Развојни тим Града</w:t>
      </w:r>
      <w:r>
        <w:rPr>
          <w:b/>
          <w:lang w:val="sr-Cyrl-CS"/>
        </w:rPr>
        <w:t xml:space="preserve"> којим је руководио Градоначелник. Стручну консултантску помоћ Развојном тиму </w:t>
      </w:r>
      <w:r>
        <w:rPr>
          <w:b/>
        </w:rPr>
        <w:t>пружио је Конзорцијум иза којег стоје консултантска компанија Development Consulting Group (DCG) из Београда и Институт за хидротехнику Сарајево (HEIS)</w:t>
      </w:r>
      <w:r>
        <w:rPr>
          <w:b/>
          <w:lang w:val="sr-Cyrl-CS"/>
        </w:rPr>
        <w:t xml:space="preserve">, а </w:t>
      </w:r>
      <w:r>
        <w:rPr>
          <w:b/>
        </w:rPr>
        <w:t xml:space="preserve">у оквиру Пројекта локалног интегрисаног развоја (ЛИР), који представља заједничку иницијативу Европске уније (ЕU) и Развојног програма Уједињених нација (UNDP). </w:t>
      </w:r>
    </w:p>
    <w:p>
      <w:pPr>
        <w:pStyle w:val="2"/>
        <w:spacing w:before="120" w:after="120" w:line="240" w:lineRule="auto"/>
        <w:rPr>
          <w:rFonts w:asciiTheme="minorHAnsi" w:hAnsiTheme="minorHAnsi"/>
          <w:caps/>
          <w:sz w:val="22"/>
          <w:szCs w:val="22"/>
          <w:lang w:val="hr-BA"/>
        </w:rPr>
      </w:pPr>
      <w:bookmarkStart w:id="4" w:name="_Toc526170571"/>
      <w:bookmarkStart w:id="5" w:name="_Toc508065031"/>
      <w:r>
        <w:rPr>
          <w:rFonts w:asciiTheme="minorHAnsi" w:hAnsiTheme="minorHAnsi"/>
          <w:caps/>
          <w:sz w:val="22"/>
          <w:szCs w:val="22"/>
          <w:lang w:val="hr-HR"/>
        </w:rPr>
        <w:t>III</w:t>
      </w:r>
      <w:r>
        <w:rPr>
          <w:rFonts w:asciiTheme="minorHAnsi" w:hAnsiTheme="minorHAnsi"/>
          <w:caps/>
          <w:sz w:val="22"/>
          <w:szCs w:val="22"/>
          <w:lang w:val="hr-BA"/>
        </w:rPr>
        <w:tab/>
      </w:r>
      <w:r>
        <w:rPr>
          <w:rFonts w:asciiTheme="minorHAnsi" w:hAnsiTheme="minorHAnsi"/>
          <w:caps/>
          <w:sz w:val="22"/>
          <w:szCs w:val="22"/>
        </w:rPr>
        <w:t>Методологија</w:t>
      </w:r>
      <w:r>
        <w:rPr>
          <w:rFonts w:asciiTheme="minorHAnsi" w:hAnsiTheme="minorHAnsi"/>
          <w:caps/>
          <w:sz w:val="22"/>
          <w:szCs w:val="22"/>
          <w:lang w:val="hr-BA"/>
        </w:rPr>
        <w:t xml:space="preserve"> </w:t>
      </w:r>
      <w:r>
        <w:rPr>
          <w:rFonts w:asciiTheme="minorHAnsi" w:hAnsiTheme="minorHAnsi"/>
          <w:caps/>
          <w:sz w:val="22"/>
          <w:szCs w:val="22"/>
        </w:rPr>
        <w:t>креирања</w:t>
      </w:r>
      <w:r>
        <w:rPr>
          <w:rFonts w:asciiTheme="minorHAnsi" w:hAnsiTheme="minorHAnsi"/>
          <w:caps/>
          <w:sz w:val="22"/>
          <w:szCs w:val="22"/>
          <w:lang w:val="hr-BA"/>
        </w:rPr>
        <w:t xml:space="preserve"> </w:t>
      </w:r>
      <w:r>
        <w:rPr>
          <w:rFonts w:asciiTheme="minorHAnsi" w:hAnsiTheme="minorHAnsi"/>
          <w:caps/>
          <w:sz w:val="22"/>
          <w:szCs w:val="22"/>
        </w:rPr>
        <w:t>стратегије</w:t>
      </w:r>
      <w:r>
        <w:rPr>
          <w:rFonts w:asciiTheme="minorHAnsi" w:hAnsiTheme="minorHAnsi"/>
          <w:caps/>
          <w:sz w:val="22"/>
          <w:szCs w:val="22"/>
          <w:lang w:val="hr-BA"/>
        </w:rPr>
        <w:t xml:space="preserve"> </w:t>
      </w:r>
      <w:r>
        <w:rPr>
          <w:rFonts w:asciiTheme="minorHAnsi" w:hAnsiTheme="minorHAnsi"/>
          <w:caps/>
          <w:sz w:val="22"/>
          <w:szCs w:val="22"/>
        </w:rPr>
        <w:t>локалног</w:t>
      </w:r>
      <w:r>
        <w:rPr>
          <w:rFonts w:asciiTheme="minorHAnsi" w:hAnsiTheme="minorHAnsi"/>
          <w:caps/>
          <w:sz w:val="22"/>
          <w:szCs w:val="22"/>
          <w:lang w:val="hr-BA"/>
        </w:rPr>
        <w:t xml:space="preserve"> </w:t>
      </w:r>
      <w:r>
        <w:rPr>
          <w:rFonts w:asciiTheme="minorHAnsi" w:hAnsiTheme="minorHAnsi"/>
          <w:caps/>
          <w:sz w:val="22"/>
          <w:szCs w:val="22"/>
        </w:rPr>
        <w:t>развоја</w:t>
      </w:r>
      <w:bookmarkEnd w:id="4"/>
      <w:bookmarkEnd w:id="5"/>
    </w:p>
    <w:p>
      <w:pPr>
        <w:spacing w:after="120"/>
        <w:jc w:val="both"/>
      </w:pPr>
    </w:p>
    <w:p>
      <w:pPr>
        <w:spacing w:after="120"/>
        <w:jc w:val="both"/>
      </w:pPr>
      <w:r>
        <w:t>У изради стратешког плана развоја града Бања Лука коришћена је стандардизована Методологија за интегрисано планирање локалног развоја (МиПРО), прихваћена и препоручена од стране ентитетских влада</w:t>
      </w:r>
      <w:r>
        <w:rPr>
          <w:lang w:val="sr-Cyrl-CS"/>
        </w:rPr>
        <w:t>,</w:t>
      </w:r>
      <w:r>
        <w:t xml:space="preserve"> те Савеза општина и градова из оба ентитета. МиПРО методологија је у потпуности усклађена са постојећим законским оквиром, којим је дефинисано планирање развоја на локалном нивоу, гдје је локална управа носилац процеса израде и имплементације стратегије, уз максимално укључивање и свих других актера живота у локалној заједници. </w:t>
      </w:r>
      <w:r>
        <w:rPr>
          <w:lang w:val="sr-Cyrl-CS"/>
        </w:rPr>
        <w:t>Ова методологија</w:t>
      </w:r>
      <w:r>
        <w:t xml:space="preserve"> је у потпуности усаглашена са водећим принципима и приступима стратешком планирању које промовише Европска унија.  Водећи принципи на којима се заснива Стратегија развоја града Бања Лука су одрживост и социјална укљученост. Одрживост као принцип интегрише економски и аспект животне средине, док принцип социјалне укључености подразумијева једнаке шансе за све и правичност у смислу идентификовања потреба и интереса маргинализованих и социјално искључених група становништва. </w:t>
      </w:r>
      <w:r>
        <w:rPr>
          <w:lang w:val="sr-Cyrl-CS"/>
        </w:rPr>
        <w:t>Такође</w:t>
      </w:r>
      <w:r>
        <w:t xml:space="preserve">, Стратегију развоја карактеришу </w:t>
      </w:r>
      <w:r>
        <w:rPr>
          <w:i/>
        </w:rPr>
        <w:t xml:space="preserve">интеграција </w:t>
      </w:r>
      <w:r>
        <w:t xml:space="preserve">(што значи да су економски, друштвени и аспект заштите животне средине посматрани као неодвојиви дијелови једне цјелине) и </w:t>
      </w:r>
      <w:r>
        <w:rPr>
          <w:i/>
        </w:rPr>
        <w:t>партиципација</w:t>
      </w:r>
      <w:r>
        <w:t xml:space="preserve"> (сви заинтересовани актери су ангажовани и доприносе изради, спровођењу, праћењу и вредновању Стратегије). </w:t>
      </w:r>
    </w:p>
    <w:p>
      <w:pPr>
        <w:spacing w:after="120"/>
        <w:jc w:val="both"/>
        <w:rPr>
          <w:lang w:val="sr-Cyrl-BA"/>
        </w:rPr>
      </w:pPr>
      <w:r>
        <w:t>Цjелокупна заједницa</w:t>
      </w:r>
      <w:r>
        <w:rPr>
          <w:lang w:val="sr-Cyrl-BA"/>
        </w:rPr>
        <w:t xml:space="preserve"> </w:t>
      </w:r>
      <w:r>
        <w:t>града Бања Лука, кроз изабране представнике је партиципирала у процесу израде Стратегије</w:t>
      </w:r>
      <w:r>
        <w:rPr>
          <w:lang w:val="sr-Cyrl-CS"/>
        </w:rPr>
        <w:t>,</w:t>
      </w:r>
      <w:r>
        <w:t xml:space="preserve"> вођена увјерењем да стратешко планирање представља кључни инструмент за проактивно и одговорно управљање локалним развојем. Процес израде Стратегије развоја, инициран од стране Градоначелника и подржан од стране Скупштине града, почео је </w:t>
      </w:r>
      <w:r>
        <w:rPr>
          <w:lang w:val="sr-Cyrl-BA"/>
        </w:rPr>
        <w:t>усвајањем Одлуке о приступању процесу израде Стратегије развоја града Бања Лука у периоду 2018-2027. године</w:t>
      </w:r>
      <w:r>
        <w:t>, те формирањем радних тијела – Развојног тима</w:t>
      </w:r>
      <w:r>
        <w:rPr>
          <w:lang w:val="sr-Cyrl-BA"/>
        </w:rPr>
        <w:t xml:space="preserve"> града Бања Лука</w:t>
      </w:r>
      <w:r>
        <w:t xml:space="preserve">, </w:t>
      </w:r>
      <w:r>
        <w:rPr>
          <w:lang w:val="sr-Cyrl-BA"/>
        </w:rPr>
        <w:t>с</w:t>
      </w:r>
      <w:r>
        <w:t>екторских тимова</w:t>
      </w:r>
      <w:r>
        <w:rPr>
          <w:lang w:val="sr-Cyrl-CS"/>
        </w:rPr>
        <w:t>,</w:t>
      </w:r>
      <w:r>
        <w:t xml:space="preserve"> као и Партнерске групе.</w:t>
      </w:r>
    </w:p>
    <w:p>
      <w:pPr>
        <w:spacing w:after="120"/>
        <w:jc w:val="both"/>
      </w:pPr>
      <w:r>
        <w:t xml:space="preserve">Процес је </w:t>
      </w:r>
      <w:r>
        <w:rPr>
          <w:lang w:val="sr-Cyrl-CS"/>
        </w:rPr>
        <w:t xml:space="preserve">координирао и </w:t>
      </w:r>
      <w:r>
        <w:t xml:space="preserve">оперативно водио Развојни тим Града, а у самом процесу створени су механизми </w:t>
      </w:r>
      <w:r>
        <w:rPr>
          <w:lang w:val="sr-Cyrl-CS"/>
        </w:rPr>
        <w:t xml:space="preserve">и претпоставке </w:t>
      </w:r>
      <w:r>
        <w:t xml:space="preserve">за снажно грађанско учешће, доминантно кроз рад Партнерске групе – консултативног тијела којег чине представници јавног, приватног и невладиног сектора. Посебан нагласак је стављен на укључивање и адекватно препознавање потреба потенцијално рањивих категорија становништва. </w:t>
      </w:r>
    </w:p>
    <w:p>
      <w:pPr>
        <w:jc w:val="both"/>
      </w:pPr>
      <w:r>
        <w:t>Полазна тачка за израду Стратегије развоја града Бања Лука је била анализа постојећих стратешких докумената, како на локалном</w:t>
      </w:r>
      <w:r>
        <w:rPr>
          <w:lang w:val="sr-Cyrl-BA"/>
        </w:rPr>
        <w:t>,</w:t>
      </w:r>
      <w:r>
        <w:t xml:space="preserve"> тако и на нивоу Републике Српске, степен њихове реализације, затим анализа  конкурентних предности, недостатака, као и пријетњи и могућности из непосредног окружења. Приступило се и утврђивању капацитета и степена развијености људских ресурса неопходних за израду и имплементацију </w:t>
      </w:r>
      <w:r>
        <w:rPr>
          <w:lang w:val="sr-Cyrl-RS"/>
        </w:rPr>
        <w:t>С</w:t>
      </w:r>
      <w:r>
        <w:t xml:space="preserve">тратегије. Комплетна ситуациона анализа је инкорпорирала налазе релевантних квантитативних и квалитативних података из примарних и секундарних извора. </w:t>
      </w:r>
    </w:p>
    <w:p>
      <w:pPr>
        <w:jc w:val="both"/>
      </w:pPr>
    </w:p>
    <w:p>
      <w:pPr>
        <w:jc w:val="both"/>
        <w:rPr>
          <w:lang w:val="sr-Cyrl-BA"/>
        </w:rPr>
      </w:pPr>
      <w:r>
        <w:t>Најважнији сегмент Стратегије представља њен стратешки дио, односно, стратешка платформа, која обухвата социо-економску анализу</w:t>
      </w:r>
      <w:r>
        <w:rPr>
          <w:bCs/>
        </w:rPr>
        <w:t xml:space="preserve">, </w:t>
      </w:r>
      <w:r>
        <w:t>стратешке фокусе, визију развоја и стратешке циљеве развоја. Стратешка платформа Стратегије је доминантно дјело Развојног тима</w:t>
      </w:r>
      <w:r>
        <w:rPr>
          <w:lang w:val="sr-Cyrl-BA"/>
        </w:rPr>
        <w:t xml:space="preserve"> Града</w:t>
      </w:r>
      <w:r>
        <w:t>. Секторске планове развоја економије, друштва и заштите и унапређења животне средине</w:t>
      </w:r>
      <w:r>
        <w:rPr>
          <w:lang w:val="sr-Cyrl-CS"/>
        </w:rPr>
        <w:t>,</w:t>
      </w:r>
      <w:r>
        <w:t xml:space="preserve"> израдиле су</w:t>
      </w:r>
      <w:r>
        <w:rPr>
          <w:lang w:val="sr-Cyrl-CS"/>
        </w:rPr>
        <w:t>,</w:t>
      </w:r>
      <w:r>
        <w:t xml:space="preserve"> за ту сврху формиране секторске радне групе, а које су чинили представници јавног, приватног и невладиног сектора. У завршном дијелу процеса, на бази принципа интеграције, обједи</w:t>
      </w:r>
      <w:r>
        <w:rPr>
          <w:lang w:val="sr-Cyrl-CS"/>
        </w:rPr>
        <w:t>њени су</w:t>
      </w:r>
      <w:r>
        <w:t xml:space="preserve"> и </w:t>
      </w:r>
      <w:r>
        <w:rPr>
          <w:lang w:val="sr-Cyrl-CS"/>
        </w:rPr>
        <w:t>усклађени</w:t>
      </w:r>
      <w:r>
        <w:t xml:space="preserve"> секторск</w:t>
      </w:r>
      <w:r>
        <w:rPr>
          <w:lang w:val="sr-Cyrl-CS"/>
        </w:rPr>
        <w:t>и</w:t>
      </w:r>
      <w:r>
        <w:t xml:space="preserve"> </w:t>
      </w:r>
      <w:r>
        <w:rPr>
          <w:lang w:val="sr-Cyrl-CS"/>
        </w:rPr>
        <w:t>планови</w:t>
      </w:r>
      <w:r>
        <w:t>, те изра</w:t>
      </w:r>
      <w:r>
        <w:rPr>
          <w:lang w:val="sr-Cyrl-CS"/>
        </w:rPr>
        <w:t>ђен</w:t>
      </w:r>
      <w:r>
        <w:t xml:space="preserve"> оквирн</w:t>
      </w:r>
      <w:r>
        <w:rPr>
          <w:lang w:val="sr-Cyrl-CS"/>
        </w:rPr>
        <w:t>и</w:t>
      </w:r>
      <w:r>
        <w:t xml:space="preserve"> трогодишњ</w:t>
      </w:r>
      <w:r>
        <w:rPr>
          <w:lang w:val="sr-Cyrl-CS"/>
        </w:rPr>
        <w:t>и</w:t>
      </w:r>
      <w:r>
        <w:t xml:space="preserve"> план имплементације</w:t>
      </w:r>
      <w:r>
        <w:rPr>
          <w:lang w:val="sr-Cyrl-CS"/>
        </w:rPr>
        <w:t xml:space="preserve"> и индикативни финансијски оквир (1+2)</w:t>
      </w:r>
      <w:r>
        <w:t>, укључујући и план развоја организационих капацитета и људских потенцијала неопходних за процес имплементације Стратегије.</w:t>
      </w:r>
    </w:p>
    <w:p>
      <w:pPr>
        <w:jc w:val="both"/>
        <w:rPr>
          <w:lang w:val="sr-Cyrl-CS"/>
        </w:rPr>
      </w:pPr>
      <w:r>
        <w:t>Како би се омогућила дјелотворна имплементација Стратегије, подразумијева се усклађеност финансијског оквира Стратегије</w:t>
      </w:r>
      <w:r>
        <w:rPr>
          <w:lang w:val="sr-Cyrl-CS"/>
        </w:rPr>
        <w:t xml:space="preserve"> и </w:t>
      </w:r>
      <w:r>
        <w:t>буџет</w:t>
      </w:r>
      <w:r>
        <w:rPr>
          <w:lang w:val="sr-Cyrl-CS"/>
        </w:rPr>
        <w:t>а</w:t>
      </w:r>
      <w:r>
        <w:t xml:space="preserve"> Града</w:t>
      </w:r>
      <w:r>
        <w:rPr>
          <w:lang w:val="sr-Cyrl-CS"/>
        </w:rPr>
        <w:t xml:space="preserve">, као и очекиваних екстерних извора финансирања, </w:t>
      </w:r>
      <w:r>
        <w:t xml:space="preserve">почeв од 2018. </w:t>
      </w:r>
      <w:r>
        <w:rPr>
          <w:lang w:val="sr-Cyrl-CS"/>
        </w:rPr>
        <w:t>г</w:t>
      </w:r>
      <w:r>
        <w:t>одине</w:t>
      </w:r>
      <w:r>
        <w:rPr>
          <w:lang w:val="sr-Cyrl-CS"/>
        </w:rPr>
        <w:t>.</w:t>
      </w:r>
    </w:p>
    <w:p>
      <w:pPr>
        <w:jc w:val="both"/>
      </w:pPr>
    </w:p>
    <w:p>
      <w:pPr>
        <w:rPr>
          <w:b/>
        </w:rPr>
      </w:pPr>
      <w:r>
        <w:rPr>
          <w:b/>
        </w:rPr>
        <w:t>Анекси:</w:t>
      </w:r>
    </w:p>
    <w:p>
      <w:pPr>
        <w:pStyle w:val="46"/>
        <w:numPr>
          <w:ilvl w:val="0"/>
          <w:numId w:val="4"/>
        </w:numPr>
        <w:rPr>
          <w:bCs/>
          <w:lang w:val="hr-BA"/>
        </w:rPr>
      </w:pPr>
      <w:r>
        <w:rPr>
          <w:rFonts w:asciiTheme="minorHAnsi" w:hAnsiTheme="minorHAnsi" w:cstheme="minorHAnsi"/>
          <w:color w:val="1A1617"/>
        </w:rPr>
        <w:t>О</w:t>
      </w:r>
      <w:r>
        <w:rPr>
          <w:bCs/>
        </w:rPr>
        <w:t>длука</w:t>
      </w:r>
      <w:r>
        <w:rPr>
          <w:bCs/>
          <w:lang w:val="hr-BA"/>
        </w:rPr>
        <w:t xml:space="preserve"> </w:t>
      </w:r>
      <w:r>
        <w:rPr>
          <w:bCs/>
        </w:rPr>
        <w:t>о</w:t>
      </w:r>
      <w:r>
        <w:rPr>
          <w:bCs/>
          <w:lang w:val="sr-Cyrl-BA"/>
        </w:rPr>
        <w:t xml:space="preserve"> </w:t>
      </w:r>
      <w:r>
        <w:rPr>
          <w:bCs/>
        </w:rPr>
        <w:t>приступању</w:t>
      </w:r>
      <w:r>
        <w:rPr>
          <w:bCs/>
          <w:lang w:val="hr-BA"/>
        </w:rPr>
        <w:t xml:space="preserve"> </w:t>
      </w:r>
      <w:r>
        <w:rPr>
          <w:bCs/>
        </w:rPr>
        <w:t>процесу</w:t>
      </w:r>
      <w:r>
        <w:rPr>
          <w:bCs/>
          <w:lang w:val="hr-BA"/>
        </w:rPr>
        <w:t xml:space="preserve"> </w:t>
      </w:r>
      <w:r>
        <w:rPr>
          <w:bCs/>
        </w:rPr>
        <w:t>израде</w:t>
      </w:r>
      <w:r>
        <w:rPr>
          <w:bCs/>
          <w:lang w:val="hr-BA"/>
        </w:rPr>
        <w:t xml:space="preserve"> </w:t>
      </w:r>
      <w:r>
        <w:rPr>
          <w:bCs/>
        </w:rPr>
        <w:t>Стратегије</w:t>
      </w:r>
      <w:r>
        <w:rPr>
          <w:bCs/>
          <w:lang w:val="hr-BA"/>
        </w:rPr>
        <w:t xml:space="preserve"> </w:t>
      </w:r>
      <w:r>
        <w:rPr>
          <w:bCs/>
        </w:rPr>
        <w:t>развоја</w:t>
      </w:r>
      <w:r>
        <w:rPr>
          <w:bCs/>
          <w:lang w:val="hr-BA"/>
        </w:rPr>
        <w:t xml:space="preserve"> </w:t>
      </w:r>
      <w:r>
        <w:rPr>
          <w:bCs/>
        </w:rPr>
        <w:t>Града</w:t>
      </w:r>
      <w:r>
        <w:rPr>
          <w:bCs/>
          <w:lang w:val="hr-BA"/>
        </w:rPr>
        <w:t xml:space="preserve"> </w:t>
      </w:r>
      <w:r>
        <w:rPr>
          <w:bCs/>
        </w:rPr>
        <w:t>Бања</w:t>
      </w:r>
      <w:r>
        <w:rPr>
          <w:bCs/>
          <w:lang w:val="hr-BA"/>
        </w:rPr>
        <w:t xml:space="preserve"> </w:t>
      </w:r>
      <w:r>
        <w:rPr>
          <w:bCs/>
        </w:rPr>
        <w:t>Лука</w:t>
      </w:r>
      <w:r>
        <w:rPr>
          <w:bCs/>
          <w:lang w:val="hr-BA"/>
        </w:rPr>
        <w:t xml:space="preserve"> </w:t>
      </w:r>
      <w:r>
        <w:rPr>
          <w:bCs/>
        </w:rPr>
        <w:t>у</w:t>
      </w:r>
      <w:r>
        <w:rPr>
          <w:bCs/>
          <w:lang w:val="hr-BA"/>
        </w:rPr>
        <w:t xml:space="preserve"> </w:t>
      </w:r>
      <w:r>
        <w:rPr>
          <w:bCs/>
        </w:rPr>
        <w:t>периоду</w:t>
      </w:r>
      <w:r>
        <w:rPr>
          <w:bCs/>
          <w:lang w:val="hr-BA"/>
        </w:rPr>
        <w:t xml:space="preserve"> 2018-2027. </w:t>
      </w:r>
      <w:r>
        <w:rPr>
          <w:bCs/>
        </w:rPr>
        <w:t>године</w:t>
      </w:r>
      <w:r>
        <w:rPr>
          <w:bCs/>
          <w:lang w:val="hr-BA"/>
        </w:rPr>
        <w:t xml:space="preserve">, </w:t>
      </w:r>
      <w:r>
        <w:rPr>
          <w:bCs/>
        </w:rPr>
        <w:t>од</w:t>
      </w:r>
      <w:r>
        <w:rPr>
          <w:bCs/>
          <w:lang w:val="hr-BA"/>
        </w:rPr>
        <w:t xml:space="preserve"> 07.09. </w:t>
      </w:r>
      <w:r>
        <w:rPr>
          <w:bCs/>
        </w:rPr>
        <w:t>2017. године</w:t>
      </w:r>
      <w:r>
        <w:rPr>
          <w:bCs/>
          <w:lang w:val="sr-Cyrl-BA"/>
        </w:rPr>
        <w:t>;</w:t>
      </w:r>
    </w:p>
    <w:p>
      <w:pPr>
        <w:pStyle w:val="46"/>
        <w:numPr>
          <w:ilvl w:val="0"/>
          <w:numId w:val="4"/>
        </w:numPr>
        <w:rPr>
          <w:bCs/>
          <w:lang w:val="hr-BA"/>
        </w:rPr>
      </w:pPr>
      <w:r>
        <w:rPr>
          <w:bCs/>
        </w:rPr>
        <w:t>Рјешење</w:t>
      </w:r>
      <w:r>
        <w:rPr>
          <w:bCs/>
          <w:lang w:val="sr-Cyrl-BA"/>
        </w:rPr>
        <w:t xml:space="preserve"> </w:t>
      </w:r>
      <w:r>
        <w:rPr>
          <w:bCs/>
        </w:rPr>
        <w:t>о</w:t>
      </w:r>
      <w:r>
        <w:rPr>
          <w:bCs/>
          <w:lang w:val="sr-Cyrl-BA"/>
        </w:rPr>
        <w:t xml:space="preserve"> именовању </w:t>
      </w:r>
      <w:r>
        <w:rPr>
          <w:bCs/>
        </w:rPr>
        <w:t>Развојног</w:t>
      </w:r>
      <w:r>
        <w:rPr>
          <w:bCs/>
          <w:lang w:val="sr-Cyrl-BA"/>
        </w:rPr>
        <w:t xml:space="preserve"> </w:t>
      </w:r>
      <w:r>
        <w:rPr>
          <w:bCs/>
        </w:rPr>
        <w:t>тима</w:t>
      </w:r>
      <w:r>
        <w:rPr>
          <w:bCs/>
          <w:lang w:val="sr-Cyrl-BA"/>
        </w:rPr>
        <w:t xml:space="preserve"> града Бања Лука за израду Стратегије развоја Града Бања Лука </w:t>
      </w:r>
      <w:r>
        <w:rPr>
          <w:bCs/>
          <w:lang w:val="sr-Cyrl-CS"/>
        </w:rPr>
        <w:t xml:space="preserve">у </w:t>
      </w:r>
      <w:r>
        <w:rPr>
          <w:bCs/>
          <w:lang w:val="sr-Cyrl-BA"/>
        </w:rPr>
        <w:t>периоду 2018-2027. године</w:t>
      </w:r>
      <w:r>
        <w:rPr>
          <w:bCs/>
          <w:lang w:val="hr-BA"/>
        </w:rPr>
        <w:t xml:space="preserve">, </w:t>
      </w:r>
      <w:r>
        <w:rPr>
          <w:bCs/>
        </w:rPr>
        <w:t>од</w:t>
      </w:r>
      <w:r>
        <w:rPr>
          <w:bCs/>
          <w:lang w:val="hr-BA"/>
        </w:rPr>
        <w:t xml:space="preserve"> 06.10.2017. </w:t>
      </w:r>
      <w:r>
        <w:rPr>
          <w:bCs/>
        </w:rPr>
        <w:t>године</w:t>
      </w:r>
      <w:r>
        <w:rPr>
          <w:bCs/>
          <w:lang w:val="hr-BA"/>
        </w:rPr>
        <w:t>;</w:t>
      </w:r>
    </w:p>
    <w:p>
      <w:pPr>
        <w:pStyle w:val="46"/>
        <w:numPr>
          <w:ilvl w:val="0"/>
          <w:numId w:val="4"/>
        </w:numPr>
        <w:rPr>
          <w:bCs/>
        </w:rPr>
      </w:pPr>
      <w:r>
        <w:rPr>
          <w:bCs/>
        </w:rPr>
        <w:t xml:space="preserve">Списак чланова </w:t>
      </w:r>
      <w:r>
        <w:rPr>
          <w:bCs/>
          <w:lang w:val="sr-Cyrl-CS"/>
        </w:rPr>
        <w:t>с</w:t>
      </w:r>
      <w:r>
        <w:rPr>
          <w:bCs/>
        </w:rPr>
        <w:t>екторских радних група</w:t>
      </w:r>
      <w:r>
        <w:rPr>
          <w:bCs/>
          <w:lang w:val="sr-Cyrl-CS"/>
        </w:rPr>
        <w:t xml:space="preserve"> (мапирани битни актери по секторима)</w:t>
      </w:r>
      <w:r>
        <w:rPr>
          <w:bCs/>
          <w:lang w:val="sr-Cyrl-BA"/>
        </w:rPr>
        <w:t>;</w:t>
      </w:r>
    </w:p>
    <w:p>
      <w:pPr>
        <w:pStyle w:val="46"/>
        <w:numPr>
          <w:ilvl w:val="0"/>
          <w:numId w:val="4"/>
        </w:numPr>
        <w:rPr>
          <w:bCs/>
        </w:rPr>
      </w:pPr>
      <w:r>
        <w:rPr>
          <w:bCs/>
        </w:rPr>
        <w:t>Потписана Изјава о партнерству (Партнерска група).</w:t>
      </w: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rPr>
          <w:bCs/>
        </w:rPr>
      </w:pPr>
    </w:p>
    <w:p>
      <w:pPr>
        <w:spacing w:after="160" w:line="259" w:lineRule="auto"/>
        <w:rPr>
          <w:bCs/>
        </w:rPr>
      </w:pPr>
      <w:r>
        <w:rPr>
          <w:bCs/>
        </w:rPr>
        <w:br w:type="page"/>
      </w:r>
    </w:p>
    <w:p>
      <w:pPr>
        <w:pStyle w:val="2"/>
        <w:spacing w:before="120" w:after="120" w:line="240" w:lineRule="auto"/>
        <w:rPr>
          <w:rFonts w:asciiTheme="minorHAnsi" w:hAnsiTheme="minorHAnsi"/>
          <w:caps/>
          <w:sz w:val="22"/>
          <w:szCs w:val="22"/>
          <w:lang w:val="hr-BA"/>
        </w:rPr>
      </w:pPr>
      <w:bookmarkStart w:id="6" w:name="_Toc526170572"/>
      <w:r>
        <w:rPr>
          <w:rFonts w:asciiTheme="minorHAnsi" w:hAnsiTheme="minorHAnsi"/>
          <w:caps/>
          <w:sz w:val="22"/>
          <w:szCs w:val="22"/>
          <w:lang w:val="hr-BA"/>
        </w:rPr>
        <w:t>IV</w:t>
      </w:r>
      <w:r>
        <w:rPr>
          <w:rFonts w:asciiTheme="minorHAnsi" w:hAnsiTheme="minorHAnsi"/>
          <w:caps/>
          <w:sz w:val="22"/>
          <w:szCs w:val="22"/>
          <w:lang w:val="hr-BA"/>
        </w:rPr>
        <w:tab/>
      </w:r>
      <w:r>
        <w:rPr>
          <w:rFonts w:asciiTheme="minorHAnsi" w:hAnsiTheme="minorHAnsi"/>
          <w:caps/>
          <w:sz w:val="22"/>
          <w:szCs w:val="22"/>
        </w:rPr>
        <w:t>Стратешка</w:t>
      </w:r>
      <w:r>
        <w:rPr>
          <w:rFonts w:asciiTheme="minorHAnsi" w:hAnsiTheme="minorHAnsi"/>
          <w:caps/>
          <w:sz w:val="22"/>
          <w:szCs w:val="22"/>
          <w:lang w:val="hr-BA"/>
        </w:rPr>
        <w:t xml:space="preserve"> </w:t>
      </w:r>
      <w:r>
        <w:rPr>
          <w:rFonts w:asciiTheme="minorHAnsi" w:hAnsiTheme="minorHAnsi"/>
          <w:caps/>
          <w:sz w:val="22"/>
          <w:szCs w:val="22"/>
        </w:rPr>
        <w:t>пла</w:t>
      </w:r>
      <w:r>
        <w:rPr>
          <w:rFonts w:asciiTheme="minorHAnsi" w:hAnsiTheme="minorHAnsi"/>
          <w:caps/>
          <w:sz w:val="22"/>
          <w:szCs w:val="22"/>
          <w:lang w:val="sr-Cyrl-RS"/>
        </w:rPr>
        <w:t>Т</w:t>
      </w:r>
      <w:r>
        <w:rPr>
          <w:rFonts w:asciiTheme="minorHAnsi" w:hAnsiTheme="minorHAnsi"/>
          <w:caps/>
          <w:sz w:val="22"/>
          <w:szCs w:val="22"/>
        </w:rPr>
        <w:t>форма</w:t>
      </w:r>
      <w:bookmarkEnd w:id="6"/>
    </w:p>
    <w:p>
      <w:pPr>
        <w:pStyle w:val="3"/>
      </w:pPr>
      <w:bookmarkStart w:id="7" w:name="_Toc526170573"/>
      <w:r>
        <w:t>IV.1.</w:t>
      </w:r>
      <w:r>
        <w:tab/>
      </w:r>
      <w:r>
        <w:t>Социо-економска анализа</w:t>
      </w:r>
      <w:bookmarkEnd w:id="7"/>
    </w:p>
    <w:p>
      <w:pPr>
        <w:pStyle w:val="4"/>
        <w:rPr>
          <w:color w:val="000000" w:themeColor="text1"/>
          <w:lang w:val="sr-Cyrl-RS"/>
          <w14:textFill>
            <w14:solidFill>
              <w14:schemeClr w14:val="tx1"/>
            </w14:solidFill>
          </w14:textFill>
        </w:rPr>
      </w:pPr>
      <w:bookmarkStart w:id="8" w:name="_Toc526170574"/>
      <w:r>
        <w:rPr>
          <w:color w:val="000000" w:themeColor="text1"/>
          <w:lang w:val="hr-BA"/>
          <w14:textFill>
            <w14:solidFill>
              <w14:schemeClr w14:val="tx1"/>
            </w14:solidFill>
          </w14:textFill>
        </w:rPr>
        <w:t>IV.1.</w:t>
      </w:r>
      <w:r>
        <w:rPr>
          <w:color w:val="000000" w:themeColor="text1"/>
          <w:lang w:val="sr-Cyrl-RS"/>
          <w14:textFill>
            <w14:solidFill>
              <w14:schemeClr w14:val="tx1"/>
            </w14:solidFill>
          </w14:textFill>
        </w:rPr>
        <w:t>1</w:t>
      </w:r>
      <w:r>
        <w:rPr>
          <w:color w:val="000000" w:themeColor="text1"/>
          <w:lang w:val="hr-BA"/>
          <w14:textFill>
            <w14:solidFill>
              <w14:schemeClr w14:val="tx1"/>
            </w14:solidFill>
          </w14:textFill>
        </w:rPr>
        <w:t>.</w:t>
      </w:r>
      <w:r>
        <w:rPr>
          <w:color w:val="000000" w:themeColor="text1"/>
          <w:lang w:val="sr-Cyrl-RS"/>
          <w14:textFill>
            <w14:solidFill>
              <w14:schemeClr w14:val="tx1"/>
            </w14:solidFill>
          </w14:textFill>
        </w:rPr>
        <w:t xml:space="preserve"> Геостратешки положај и карактеристике</w:t>
      </w:r>
      <w:bookmarkEnd w:id="8"/>
    </w:p>
    <w:p>
      <w:pPr>
        <w:rPr>
          <w:lang w:val="sr-Cyrl-RS"/>
        </w:rPr>
      </w:pPr>
    </w:p>
    <w:p>
      <w:pPr>
        <w:pStyle w:val="5"/>
        <w:rPr>
          <w:color w:val="000000" w:themeColor="text1"/>
          <w:lang w:val="sr-Cyrl-RS"/>
          <w14:textFill>
            <w14:solidFill>
              <w14:schemeClr w14:val="tx1"/>
            </w14:solidFill>
          </w14:textFill>
        </w:rPr>
      </w:pPr>
      <w:bookmarkStart w:id="9" w:name="_Toc497473026"/>
      <w:bookmarkStart w:id="10" w:name="_Toc526170575"/>
      <w:r>
        <w:t>IV.1.1.</w:t>
      </w:r>
      <w:r>
        <w:rPr>
          <w:lang w:val="sr-Cyrl-RS"/>
        </w:rPr>
        <w:t>1</w:t>
      </w:r>
      <w:r>
        <w:t xml:space="preserve"> </w:t>
      </w:r>
      <w:r>
        <w:rPr>
          <w:lang w:val="sr-Cyrl-RS"/>
        </w:rPr>
        <w:t xml:space="preserve"> </w:t>
      </w:r>
      <w:r>
        <w:t>Географск</w:t>
      </w:r>
      <w:r>
        <w:rPr>
          <w:lang w:val="sr-Cyrl-RS"/>
        </w:rPr>
        <w:t>е</w:t>
      </w:r>
      <w:r>
        <w:t xml:space="preserve"> карактеристике</w:t>
      </w:r>
      <w:bookmarkEnd w:id="9"/>
      <w:r>
        <w:rPr>
          <w:lang w:val="sr-Cyrl-RS"/>
        </w:rPr>
        <w:t xml:space="preserve"> </w:t>
      </w:r>
      <w:r>
        <w:rPr>
          <w:color w:val="000000" w:themeColor="text1"/>
          <w:lang w:val="sr-Cyrl-RS"/>
          <w14:textFill>
            <w14:solidFill>
              <w14:schemeClr w14:val="tx1"/>
            </w14:solidFill>
          </w14:textFill>
        </w:rPr>
        <w:t>и историјски развој</w:t>
      </w:r>
      <w:bookmarkEnd w:id="10"/>
    </w:p>
    <w:p>
      <w:pPr>
        <w:jc w:val="both"/>
      </w:pPr>
      <w:r>
        <w:t xml:space="preserve">Град Бања Лука налази се у сјеверозападном дијелу Босне и Херцеговине, и у центру западног дијела Републике Српске на 44⁰46′27″ сјеверне географске ширине и 17⁰11′44″, источне географске дужине. Подручје града Бање Луке, у геоморфолошком смислу, припада Панонском ободу и Унутрашњим Динаридима. Већи дио подручја града припада сливу Врбаса, који обухвата источни дио са површином од 891 km² а мањи дио сливу Сане, којем припада западни дио површине од 342 km². Надморска висина се креће од 140 м.н.в./обала Врбаса-Залужани до 1339 м.н.в./Голи вис – Чемерница, док средишњи дио града лежи на надморској висини од 163 м. Град Бања Лука простире се на 1.239 км² што представља 4,9 % укупне територије Републике Српске.  </w:t>
      </w:r>
    </w:p>
    <w:p>
      <w:pPr>
        <w:jc w:val="both"/>
      </w:pPr>
    </w:p>
    <w:p>
      <w:pPr>
        <w:jc w:val="both"/>
      </w:pPr>
      <w:r>
        <w:t xml:space="preserve">Бања Лука је важна раскрсница друмског саобраћаја и пролазна тачка многих жељезничких праваца. Са аеродромом, као и пристаништем на Сави, које се </w:t>
      </w:r>
      <w:r>
        <w:rPr>
          <w:lang w:val="sr-Cyrl-RS"/>
        </w:rPr>
        <w:t>налази</w:t>
      </w:r>
      <w:r>
        <w:rPr>
          <w:color w:val="FF0000"/>
          <w:lang w:val="sr-Cyrl-RS"/>
        </w:rPr>
        <w:t xml:space="preserve"> </w:t>
      </w:r>
      <w:r>
        <w:t>на око 50 км удаљености, Бања Лука је чвориште које омогућава везу Јадранског мора са централном Европом и западних крајева Републике Српске са источном Европом и Србијом. Жељезничка пруга Бања Лука – Добој – Тузла повезана је са пругом Београд – Бар и пругом Сарајево – Плоче, што омогућава везу са сус</w:t>
      </w:r>
      <w:r>
        <w:rPr>
          <w:lang w:val="sr-Cyrl-RS"/>
        </w:rPr>
        <w:t>ј</w:t>
      </w:r>
      <w:r>
        <w:t xml:space="preserve">едним државама, а преко Загреба и Марибора и са централном Европом. Међународни аеродром </w:t>
      </w:r>
      <w:r>
        <w:rPr>
          <w:i/>
          <w:iCs/>
        </w:rPr>
        <w:t>Бања Лука</w:t>
      </w:r>
      <w:r>
        <w:t xml:space="preserve"> налази се 23 км од Бања Луке у општини Лакташи и има летове за Београд.</w:t>
      </w:r>
    </w:p>
    <w:p>
      <w:pPr>
        <w:jc w:val="both"/>
      </w:pPr>
    </w:p>
    <w:tbl>
      <w:tblPr>
        <w:tblStyle w:val="37"/>
        <w:tblW w:w="92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5"/>
        <w:gridCol w:w="2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6565" w:type="dxa"/>
          </w:tcPr>
          <w:p>
            <w:pPr>
              <w:jc w:val="both"/>
              <w:rPr>
                <w:i/>
                <w:iCs/>
              </w:rPr>
            </w:pPr>
            <w:r>
              <w:rPr>
                <w:lang w:val="sr-Latn-CS" w:eastAsia="sr-Latn-CS"/>
              </w:rPr>
              <w:drawing>
                <wp:anchor distT="0" distB="0" distL="114300" distR="114300" simplePos="0" relativeHeight="251670528" behindDoc="1" locked="0" layoutInCell="1" allowOverlap="1">
                  <wp:simplePos x="0" y="0"/>
                  <wp:positionH relativeFrom="column">
                    <wp:posOffset>6985</wp:posOffset>
                  </wp:positionH>
                  <wp:positionV relativeFrom="paragraph">
                    <wp:posOffset>69215</wp:posOffset>
                  </wp:positionV>
                  <wp:extent cx="4012565" cy="2771140"/>
                  <wp:effectExtent l="0" t="0" r="6985" b="0"/>
                  <wp:wrapTight wrapText="bothSides">
                    <wp:wrapPolygon>
                      <wp:start x="0" y="0"/>
                      <wp:lineTo x="0" y="21382"/>
                      <wp:lineTo x="21535" y="21382"/>
                      <wp:lineTo x="21535" y="0"/>
                      <wp:lineTo x="0" y="0"/>
                    </wp:wrapPolygon>
                  </wp:wrapTight>
                  <wp:docPr id="28" name="Picture 28" descr="Banja Luka -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nja Luka - ma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12565" cy="2771140"/>
                          </a:xfrm>
                          <a:prstGeom prst="rect">
                            <a:avLst/>
                          </a:prstGeom>
                          <a:noFill/>
                        </pic:spPr>
                      </pic:pic>
                    </a:graphicData>
                  </a:graphic>
                </wp:anchor>
              </w:drawing>
            </w:r>
            <w:r>
              <w:rPr>
                <w:i/>
                <w:iCs/>
                <w:sz w:val="16"/>
                <w:szCs w:val="16"/>
              </w:rPr>
              <w:t xml:space="preserve">Мапа: Удаљеност града Бања Луке од већих градова, извор:  </w:t>
            </w:r>
            <w:r>
              <w:rPr>
                <w:rFonts w:ascii="Arial" w:hAnsi="Arial" w:cs="Arial"/>
                <w:i/>
                <w:iCs/>
                <w:color w:val="2E75B6" w:themeColor="accent1" w:themeShade="BF"/>
                <w:sz w:val="16"/>
                <w:szCs w:val="16"/>
                <w:shd w:val="clear" w:color="auto" w:fill="FFFFFF"/>
              </w:rPr>
              <w:t>https://maps.google.com</w:t>
            </w:r>
          </w:p>
        </w:tc>
        <w:tc>
          <w:tcPr>
            <w:tcW w:w="2705" w:type="dxa"/>
          </w:tcPr>
          <w:p>
            <w:pPr>
              <w:jc w:val="right"/>
              <w:rPr>
                <w:sz w:val="20"/>
                <w:szCs w:val="20"/>
              </w:rPr>
            </w:pPr>
            <w:r>
              <w:rPr>
                <w:sz w:val="20"/>
                <w:szCs w:val="20"/>
              </w:rPr>
              <w:t>Загреб – 187 км</w:t>
            </w:r>
          </w:p>
          <w:p>
            <w:pPr>
              <w:jc w:val="right"/>
              <w:rPr>
                <w:sz w:val="20"/>
                <w:szCs w:val="20"/>
              </w:rPr>
            </w:pPr>
            <w:r>
              <w:rPr>
                <w:sz w:val="20"/>
                <w:szCs w:val="20"/>
              </w:rPr>
              <w:t>Сарајево – 190 км</w:t>
            </w:r>
          </w:p>
          <w:p>
            <w:pPr>
              <w:jc w:val="right"/>
              <w:rPr>
                <w:sz w:val="20"/>
                <w:szCs w:val="20"/>
              </w:rPr>
            </w:pPr>
            <w:r>
              <w:rPr>
                <w:sz w:val="20"/>
                <w:szCs w:val="20"/>
              </w:rPr>
              <w:t>Љубљана  –  325 км</w:t>
            </w:r>
          </w:p>
          <w:p>
            <w:pPr>
              <w:jc w:val="right"/>
              <w:rPr>
                <w:sz w:val="20"/>
                <w:szCs w:val="20"/>
              </w:rPr>
            </w:pPr>
            <w:r>
              <w:rPr>
                <w:sz w:val="20"/>
                <w:szCs w:val="20"/>
              </w:rPr>
              <w:t>Београд – 330 км</w:t>
            </w:r>
          </w:p>
          <w:p>
            <w:pPr>
              <w:jc w:val="right"/>
              <w:rPr>
                <w:sz w:val="20"/>
                <w:szCs w:val="20"/>
              </w:rPr>
            </w:pPr>
            <w:r>
              <w:rPr>
                <w:sz w:val="20"/>
                <w:szCs w:val="20"/>
              </w:rPr>
              <w:t>Подгорица – 415 км Будимпешта – 504 км</w:t>
            </w:r>
          </w:p>
          <w:p>
            <w:pPr>
              <w:jc w:val="right"/>
              <w:rPr>
                <w:sz w:val="20"/>
                <w:szCs w:val="20"/>
              </w:rPr>
            </w:pPr>
            <w:r>
              <w:rPr>
                <w:sz w:val="20"/>
                <w:szCs w:val="20"/>
              </w:rPr>
              <w:t>Беч  –  560 км</w:t>
            </w:r>
          </w:p>
          <w:p>
            <w:pPr>
              <w:jc w:val="right"/>
              <w:rPr>
                <w:sz w:val="20"/>
                <w:szCs w:val="20"/>
              </w:rPr>
            </w:pPr>
            <w:r>
              <w:rPr>
                <w:sz w:val="20"/>
                <w:szCs w:val="20"/>
              </w:rPr>
              <w:t>Тирана –  574 км</w:t>
            </w:r>
          </w:p>
          <w:p>
            <w:pPr>
              <w:jc w:val="right"/>
              <w:rPr>
                <w:sz w:val="20"/>
                <w:szCs w:val="20"/>
              </w:rPr>
            </w:pPr>
            <w:r>
              <w:rPr>
                <w:sz w:val="20"/>
                <w:szCs w:val="20"/>
              </w:rPr>
              <w:t>Софија – 720 км</w:t>
            </w:r>
          </w:p>
          <w:p>
            <w:pPr>
              <w:jc w:val="right"/>
              <w:rPr>
                <w:sz w:val="20"/>
                <w:szCs w:val="20"/>
              </w:rPr>
            </w:pPr>
            <w:r>
              <w:rPr>
                <w:sz w:val="20"/>
                <w:szCs w:val="20"/>
              </w:rPr>
              <w:t>Скопље – 762 км</w:t>
            </w:r>
          </w:p>
          <w:p>
            <w:pPr>
              <w:jc w:val="right"/>
              <w:rPr>
                <w:sz w:val="20"/>
                <w:szCs w:val="20"/>
              </w:rPr>
            </w:pPr>
            <w:r>
              <w:rPr>
                <w:sz w:val="20"/>
                <w:szCs w:val="20"/>
              </w:rPr>
              <w:t>Праг – 871 км</w:t>
            </w:r>
          </w:p>
          <w:p>
            <w:pPr>
              <w:jc w:val="right"/>
              <w:rPr>
                <w:sz w:val="20"/>
                <w:szCs w:val="20"/>
              </w:rPr>
            </w:pPr>
            <w:r>
              <w:rPr>
                <w:sz w:val="20"/>
                <w:szCs w:val="20"/>
              </w:rPr>
              <w:t>Букурешт – 919 км</w:t>
            </w:r>
          </w:p>
          <w:p>
            <w:pPr>
              <w:jc w:val="right"/>
              <w:rPr>
                <w:sz w:val="20"/>
                <w:szCs w:val="20"/>
              </w:rPr>
            </w:pPr>
            <w:r>
              <w:rPr>
                <w:sz w:val="20"/>
                <w:szCs w:val="20"/>
              </w:rPr>
              <w:t>Цирих – 1041 км</w:t>
            </w:r>
          </w:p>
          <w:p>
            <w:pPr>
              <w:jc w:val="right"/>
              <w:rPr>
                <w:sz w:val="20"/>
                <w:szCs w:val="20"/>
              </w:rPr>
            </w:pPr>
            <w:r>
              <w:rPr>
                <w:sz w:val="20"/>
                <w:szCs w:val="20"/>
              </w:rPr>
              <w:t>Рим -1075 км</w:t>
            </w:r>
          </w:p>
          <w:p>
            <w:pPr>
              <w:jc w:val="right"/>
              <w:rPr>
                <w:sz w:val="20"/>
                <w:szCs w:val="20"/>
              </w:rPr>
            </w:pPr>
            <w:r>
              <w:rPr>
                <w:sz w:val="20"/>
                <w:szCs w:val="20"/>
              </w:rPr>
              <w:t>Берлин -1219 км</w:t>
            </w:r>
          </w:p>
          <w:p>
            <w:pPr>
              <w:jc w:val="right"/>
              <w:rPr>
                <w:sz w:val="20"/>
                <w:szCs w:val="20"/>
              </w:rPr>
            </w:pPr>
            <w:r>
              <w:rPr>
                <w:sz w:val="20"/>
                <w:szCs w:val="20"/>
              </w:rPr>
              <w:t>Атина -1434 км</w:t>
            </w:r>
          </w:p>
          <w:p>
            <w:pPr>
              <w:jc w:val="right"/>
              <w:rPr>
                <w:sz w:val="20"/>
                <w:szCs w:val="20"/>
              </w:rPr>
            </w:pPr>
            <w:r>
              <w:rPr>
                <w:sz w:val="20"/>
                <w:szCs w:val="20"/>
              </w:rPr>
              <w:t>Брисел – 1470 км</w:t>
            </w:r>
          </w:p>
          <w:p>
            <w:pPr>
              <w:jc w:val="right"/>
              <w:rPr>
                <w:sz w:val="20"/>
                <w:szCs w:val="20"/>
              </w:rPr>
            </w:pPr>
            <w:r>
              <w:rPr>
                <w:sz w:val="20"/>
                <w:szCs w:val="20"/>
              </w:rPr>
              <w:t>Париз – 1576 км</w:t>
            </w:r>
          </w:p>
        </w:tc>
      </w:tr>
    </w:tbl>
    <w:p>
      <w:pPr>
        <w:jc w:val="both"/>
      </w:pPr>
    </w:p>
    <w:p>
      <w:pPr>
        <w:jc w:val="both"/>
      </w:pPr>
      <w:r>
        <w:t>Град Бања Лука је смјештена у пограничној зони са Републиком Хрватском, на централном мјесту западнокрајишких општина Републике Српске, тако да граничи са општинама Градишка, Лакташи, Челинац, Кнежево, Мркоњић Град, Рибник, Оштра Лука и Приједор, са којима је повезана квалитетном мрежом локалних, регионалних и магистралних путева.</w:t>
      </w:r>
    </w:p>
    <w:p>
      <w:pPr>
        <w:jc w:val="both"/>
      </w:pPr>
    </w:p>
    <w:p>
      <w:pPr>
        <w:jc w:val="both"/>
      </w:pPr>
      <w:r>
        <w:t>Подручје града Бање Луке се налази у појасу умјерено-континенталног поднебља, с преовлађујућим утицајем панонског простора, који карактеришу топла љета и оштре зиме, али и одређена диференцирација климатских обиљежја појединих дијелова града. Просјечно 143 дана је са падавинама, док је сунчаних сати 1.825 годишње. Средња годишња температура је око 11</w:t>
      </w:r>
      <w:r>
        <w:rPr>
          <w:rFonts w:cs="Calibri"/>
        </w:rPr>
        <w:t>®</w:t>
      </w:r>
      <w:r>
        <w:t>С. Најнижа забиљежена температура у Бања Луци је -27.4</w:t>
      </w:r>
      <w:r>
        <w:rPr>
          <w:rFonts w:cs="Calibri"/>
        </w:rPr>
        <w:t>®</w:t>
      </w:r>
      <w:r>
        <w:t>С, а највиша 41.1</w:t>
      </w:r>
      <w:r>
        <w:rPr>
          <w:rFonts w:cs="Calibri"/>
        </w:rPr>
        <w:t>®</w:t>
      </w:r>
      <w:r>
        <w:t>С.</w:t>
      </w:r>
    </w:p>
    <w:p>
      <w:pPr>
        <w:jc w:val="both"/>
      </w:pPr>
    </w:p>
    <w:p>
      <w:pPr>
        <w:jc w:val="both"/>
      </w:pPr>
      <w:r>
        <w:t xml:space="preserve">Рурално подручје Града има површину од 1.055,68 km² што чини 85,18 % од територије града (општине) Бања Лука. </w:t>
      </w:r>
      <w:r>
        <w:rPr>
          <w:shd w:val="clear" w:color="auto" w:fill="FFFFFF"/>
        </w:rPr>
        <w:t>На подручју Града Бања Лука налази се 57 мјесних заједница.</w:t>
      </w:r>
    </w:p>
    <w:p>
      <w:pPr>
        <w:jc w:val="both"/>
      </w:pPr>
    </w:p>
    <w:p>
      <w:pPr>
        <w:jc w:val="both"/>
        <w:rPr>
          <w:lang w:val="sr-Cyrl-RS"/>
        </w:rPr>
      </w:pPr>
      <w:r>
        <w:rPr>
          <w:lang w:val="sr-Cyrl-RS"/>
        </w:rPr>
        <w:t>Поријекло и значење имена града Бања Лука, иако је оно познато више од пет вијекова, још увијек изазива полемике и недоумице. Филозофи држе да је Бања Лука добила име од придјева „бањ“, тј</w:t>
      </w:r>
      <w:r>
        <w:rPr>
          <w:lang w:val="sr-Latn-RS"/>
        </w:rPr>
        <w:t>.,</w:t>
      </w:r>
      <w:r>
        <w:rPr>
          <w:lang w:val="sr-Cyrl-RS"/>
        </w:rPr>
        <w:t xml:space="preserve"> банов, који потиче од аварске ријечи „бајан“, што значи богат, и именице „лука“, која значи зараван, ливада уз ријеку. Славни турски путописац Евлија Челебија (1611-1682) посјетио је Бања Луку у два наврата: 1660. и 1664. године. У свом чувеном дјелу, о имену града он каже: „Илиџа на латинском језику каже се бања. Како изван овог шехера на рубу башча има једно топло врело, оно је добило име Бања. Како је, опет, у оно доба на њеној ивици постојао један шехер, он је добио име Лука. То се касније у народном говору једно с другим спојило и он је назван Бања Лука.“</w:t>
      </w:r>
      <w:r>
        <w:rPr>
          <w:rStyle w:val="31"/>
          <w:lang w:val="sr-Cyrl-RS"/>
        </w:rPr>
        <w:footnoteReference w:id="0"/>
      </w:r>
    </w:p>
    <w:p>
      <w:pPr>
        <w:jc w:val="both"/>
      </w:pPr>
    </w:p>
    <w:p>
      <w:pPr>
        <w:jc w:val="both"/>
      </w:pPr>
      <w:r>
        <w:t xml:space="preserve">Поуздано се зна да је у предримском и римском периоду ово подручје насељавало илирско племе Мезеја, који су заједно са овим просторима укључени у римску покрајину Илирик. Послије пропасти Римског царства словенска племена насељавају ово подручје током VI и VII вијека нове ере. У средњовјековном периоду дуж обале Врбаса ниче већи број утврђења. Прво насеље оријенталног типа, послије доласка Османлија 1582. године, развија се око Цареве махале у Горњем Шехеру. Бања Лука постаје сједиште пространог Босанског пашалука, што доводи до убрзаног развоја града. Ферхад-паша гради млинове и мостове преко Врбаса.  </w:t>
      </w:r>
    </w:p>
    <w:p>
      <w:pPr>
        <w:jc w:val="both"/>
      </w:pPr>
    </w:p>
    <w:p>
      <w:pPr>
        <w:jc w:val="both"/>
      </w:pPr>
      <w:r>
        <w:t>У Бањој Луци су крајем XIX вијека основане прве српске школе, први телеграф је добила 1866. године, а пруга Бања Лука–Добрљин је свечано пуштена у саобраћај 1873</w:t>
      </w:r>
      <w:r>
        <w:rPr>
          <w:lang w:val="sr-Cyrl-RS"/>
        </w:rPr>
        <w:t>. године</w:t>
      </w:r>
      <w:r>
        <w:t>, двије године пред босанскохерцеговачки устанак, због којег је морала да буде затворена. Одлуком Берлинског конгреса, у Бању Луку 1878. године улазе аустроугарске трупе. Tоком година разви</w:t>
      </w:r>
      <w:r>
        <w:rPr>
          <w:lang w:val="sr-Cyrl-RS"/>
        </w:rPr>
        <w:t>јао се</w:t>
      </w:r>
      <w:r>
        <w:t xml:space="preserve"> отпор према туђину и радничка свијест. </w:t>
      </w:r>
    </w:p>
    <w:p>
      <w:pPr>
        <w:jc w:val="both"/>
      </w:pPr>
    </w:p>
    <w:p>
      <w:pPr>
        <w:jc w:val="both"/>
      </w:pPr>
      <w:r>
        <w:t xml:space="preserve">Бања Лука у Краљевини Југославији доживљава свој прави процват. Постаје сједиште Врбаског округа (Врбаске бановине), а у новоформираној држави припада јој значајан геостратешки положај. Нагли напредак дугује свом првом бану, енергичном визионару Светиславу Милосављевићу.  </w:t>
      </w:r>
    </w:p>
    <w:p>
      <w:pPr>
        <w:jc w:val="both"/>
        <w:rPr>
          <w:color w:val="FF0000"/>
          <w:lang w:val="sr-Cyrl-RS"/>
        </w:rPr>
      </w:pPr>
    </w:p>
    <w:p>
      <w:pPr>
        <w:jc w:val="both"/>
        <w:rPr>
          <w:lang w:val="sr-Cyrl-RS"/>
        </w:rPr>
      </w:pPr>
      <w:r>
        <w:rPr>
          <w:lang w:val="sr-Cyrl-RS"/>
        </w:rPr>
        <w:t xml:space="preserve">Доласком првог бана, Светислава Тисе Милосављевића (бановао 1929-1934), отпочело је златно доба Бања Луке јер је град за свега десетак година постао богатији за многа монументала здања, као што су: Банска палата (Општина), Бански двор, Соколски дом, Дом Краља Петра </w:t>
      </w:r>
      <w:r>
        <w:rPr>
          <w:lang w:val="sr-Latn-RS"/>
        </w:rPr>
        <w:t>I</w:t>
      </w:r>
      <w:r>
        <w:rPr>
          <w:lang w:val="sr-Cyrl-RS"/>
        </w:rPr>
        <w:t xml:space="preserve"> Ослободиоца (Позориште), хотел „Палас“, Хигијенски завод, а касније и Хипотекарна банка. Осим тога, асфалтиране су прве улице, завршени радови на Саборној цркви, сазидана Учитељска школа, Јеврејски дом и синагога, уређен Градски парк у коме је откривен и Споменик Петру Кочићу, покренуте су прве дневне новине и часописи, те изграђене десетине других привредних, управних,културних, просвјетних, стамбених, здравствених, социјалних, саобраћајних, вјерских и других објеката и институција које добрим дијелом и данас красе Бања Луку.</w:t>
      </w:r>
      <w:r>
        <w:rPr>
          <w:rStyle w:val="31"/>
          <w:lang w:val="sr-Cyrl-RS"/>
        </w:rPr>
        <w:footnoteReference w:id="1"/>
      </w:r>
    </w:p>
    <w:p>
      <w:pPr>
        <w:jc w:val="both"/>
      </w:pPr>
    </w:p>
    <w:p>
      <w:pPr>
        <w:jc w:val="both"/>
        <w:rPr>
          <w:shd w:val="clear" w:color="auto" w:fill="FFFFFF"/>
        </w:rPr>
      </w:pPr>
      <w:r>
        <w:t>Најтежи ударац у периоду послије II</w:t>
      </w:r>
      <w:r>
        <w:rPr>
          <w:lang w:val="sr-Cyrl-BA"/>
        </w:rPr>
        <w:t xml:space="preserve"> </w:t>
      </w:r>
      <w:r>
        <w:t>Свјетског рата, Бањ</w:t>
      </w:r>
      <w:r>
        <w:rPr>
          <w:lang w:val="sr-Cyrl-BA"/>
        </w:rPr>
        <w:t>ој</w:t>
      </w:r>
      <w:r>
        <w:t xml:space="preserve"> Луци задаје катастрофалан земљoтрес у октобру 1969. године,</w:t>
      </w:r>
      <w:r>
        <w:rPr>
          <w:shd w:val="clear" w:color="auto" w:fill="FFFFFF"/>
        </w:rPr>
        <w:t xml:space="preserve"> након којег град добија данашњи изглед.</w:t>
      </w:r>
      <w:r>
        <w:rPr>
          <w:shd w:val="clear" w:color="auto" w:fill="FFFFFF"/>
          <w:lang w:val="sr-Cyrl-RS"/>
        </w:rPr>
        <w:t xml:space="preserve"> </w:t>
      </w:r>
      <w:r>
        <w:rPr>
          <w:shd w:val="clear" w:color="auto" w:fill="FFFFFF"/>
        </w:rPr>
        <w:t xml:space="preserve">Пред распад бивше Југославије, Бања Лука је била други по величини град у СР Босни и Херцеговини, а десети у Југославији. Према Попису становништва из 1991. године, имала је </w:t>
      </w:r>
      <w:r>
        <w:rPr>
          <w:shd w:val="clear" w:color="auto" w:fill="FFFFFF"/>
          <w:lang w:val="sr-Cyrl-RS"/>
        </w:rPr>
        <w:t>195.692</w:t>
      </w:r>
      <w:r>
        <w:rPr>
          <w:rStyle w:val="31"/>
          <w:shd w:val="clear" w:color="auto" w:fill="FFFFFF"/>
          <w:lang w:val="sr-Cyrl-RS"/>
        </w:rPr>
        <w:footnoteReference w:id="2"/>
      </w:r>
      <w:r>
        <w:rPr>
          <w:shd w:val="clear" w:color="auto" w:fill="FFFFFF"/>
        </w:rPr>
        <w:t xml:space="preserve"> становника.</w:t>
      </w:r>
      <w:r>
        <w:rPr>
          <w:shd w:val="clear" w:color="auto" w:fill="FFFFFF"/>
          <w:lang w:val="sr-Cyrl-RS"/>
        </w:rPr>
        <w:t xml:space="preserve"> </w:t>
      </w:r>
      <w:r>
        <w:rPr>
          <w:shd w:val="clear" w:color="auto" w:fill="FFFFFF"/>
        </w:rPr>
        <w:t>Током грађанског рата, на подручју бивше Југославије (1991-1995), Бања Лука није била под ударом директних ратних дејстава, али је у рату знатно измијењена њена демографска структура.</w:t>
      </w:r>
    </w:p>
    <w:p>
      <w:pPr>
        <w:jc w:val="both"/>
        <w:rPr>
          <w:shd w:val="clear" w:color="auto" w:fill="FFFFFF"/>
        </w:rPr>
      </w:pPr>
    </w:p>
    <w:p>
      <w:pPr>
        <w:pStyle w:val="5"/>
      </w:pPr>
      <w:bookmarkStart w:id="11" w:name="_Hlk506319413"/>
      <w:bookmarkStart w:id="12" w:name="_Toc526170576"/>
      <w:r>
        <w:rPr>
          <w:lang w:val="hr-BA"/>
        </w:rPr>
        <w:t>IV.1.1.2</w:t>
      </w:r>
      <w:r>
        <w:t xml:space="preserve"> </w:t>
      </w:r>
      <w:bookmarkStart w:id="13" w:name="_Hlk505343413"/>
      <w:r>
        <w:t xml:space="preserve">Стратешки положај и административне карактеристике </w:t>
      </w:r>
      <w:bookmarkEnd w:id="11"/>
      <w:r>
        <w:t>Града</w:t>
      </w:r>
      <w:bookmarkEnd w:id="12"/>
      <w:r>
        <w:t xml:space="preserve"> </w:t>
      </w:r>
      <w:bookmarkStart w:id="14" w:name="_Hlk506319389"/>
    </w:p>
    <w:bookmarkEnd w:id="13"/>
    <w:bookmarkEnd w:id="14"/>
    <w:p>
      <w:pPr>
        <w:jc w:val="both"/>
        <w:rPr>
          <w:lang w:val="sr-Cyrl-RS"/>
        </w:rPr>
      </w:pPr>
    </w:p>
    <w:p>
      <w:pPr>
        <w:jc w:val="both"/>
      </w:pPr>
      <w:r>
        <w:t>Бања Лука, као највећи град Републике Српске и други по величини у Босни и Херцеговини представља политички, административни, финансијски, универзитетски и културни центар Републике Српске.</w:t>
      </w:r>
    </w:p>
    <w:p>
      <w:pPr>
        <w:jc w:val="both"/>
        <w:rPr>
          <w:rFonts w:asciiTheme="majorHAnsi" w:hAnsiTheme="majorHAnsi" w:cstheme="majorHAnsi"/>
          <w:color w:val="FF0000"/>
          <w:highlight w:val="yellow"/>
          <w:shd w:val="clear" w:color="auto" w:fill="FFFFFF" w:themeFill="background1"/>
          <w:lang w:val="sr-Cyrl-RS"/>
        </w:rPr>
      </w:pPr>
    </w:p>
    <w:p>
      <w:pPr>
        <w:jc w:val="both"/>
        <w:rPr>
          <w:rFonts w:asciiTheme="minorHAnsi" w:hAnsiTheme="minorHAnsi" w:cstheme="minorHAnsi"/>
          <w:shd w:val="clear" w:color="auto" w:fill="FFFFFF" w:themeFill="background1"/>
          <w:lang w:val="sr-Cyrl-RS"/>
        </w:rPr>
      </w:pPr>
      <w:r>
        <w:rPr>
          <w:rFonts w:asciiTheme="minorHAnsi" w:hAnsiTheme="minorHAnsi" w:cstheme="minorHAnsi"/>
          <w:shd w:val="clear" w:color="auto" w:fill="FFFFFF" w:themeFill="background1"/>
          <w:lang w:val="sr-Cyrl-RS"/>
        </w:rPr>
        <w:t>Узимајући у обзир географски положај Града, Бања Луку је потребно посматрати као регионални центар, и то са три аспекта:</w:t>
      </w:r>
    </w:p>
    <w:p>
      <w:pPr>
        <w:pStyle w:val="46"/>
        <w:numPr>
          <w:ilvl w:val="0"/>
          <w:numId w:val="5"/>
        </w:numPr>
        <w:spacing w:before="0" w:line="240" w:lineRule="auto"/>
        <w:rPr>
          <w:rFonts w:asciiTheme="minorHAnsi" w:hAnsiTheme="minorHAnsi" w:cstheme="minorHAnsi"/>
          <w:shd w:val="clear" w:color="auto" w:fill="FFFFFF" w:themeFill="background1"/>
          <w:lang w:val="sr-Cyrl-RS"/>
        </w:rPr>
      </w:pPr>
      <w:r>
        <w:rPr>
          <w:rFonts w:asciiTheme="minorHAnsi" w:hAnsiTheme="minorHAnsi" w:cstheme="minorHAnsi"/>
          <w:b/>
          <w:shd w:val="clear" w:color="auto" w:fill="FFFFFF" w:themeFill="background1"/>
          <w:lang w:val="sr-Cyrl-RS"/>
        </w:rPr>
        <w:t>Природна регија (Крајина)</w:t>
      </w:r>
      <w:r>
        <w:rPr>
          <w:rFonts w:asciiTheme="minorHAnsi" w:hAnsiTheme="minorHAnsi" w:cstheme="minorHAnsi"/>
          <w:shd w:val="clear" w:color="auto" w:fill="FFFFFF" w:themeFill="background1"/>
          <w:lang w:val="sr-Cyrl-RS"/>
        </w:rPr>
        <w:t xml:space="preserve"> – Бања Лука представља центар и највећи град Крајине као историјско-географске цјелине у западном дијелу Босне и Херцеговине. Ова природна регија је одређена ријекама Уна, Сава и Врбас, те обухвата подручје од Мркоњић Града до Посавине. Бања Луци, у овом смислу, гравитирају и градови: Приједор, Мркоњић Град, Лакташи, Градишка, Котор Барош, Кнежево, Шипово, Челинац, Нови Град, Козарска Дубица.</w:t>
      </w:r>
    </w:p>
    <w:p>
      <w:pPr>
        <w:pStyle w:val="46"/>
        <w:numPr>
          <w:ilvl w:val="0"/>
          <w:numId w:val="5"/>
        </w:numPr>
        <w:spacing w:before="0" w:line="240" w:lineRule="auto"/>
        <w:rPr>
          <w:rFonts w:asciiTheme="minorHAnsi" w:hAnsiTheme="minorHAnsi" w:cstheme="minorHAnsi"/>
          <w:shd w:val="clear" w:color="auto" w:fill="FFFFFF" w:themeFill="background1"/>
          <w:lang w:val="sr-Cyrl-RS"/>
        </w:rPr>
      </w:pPr>
      <w:r>
        <w:rPr>
          <w:rFonts w:asciiTheme="minorHAnsi" w:hAnsiTheme="minorHAnsi" w:cstheme="minorHAnsi"/>
          <w:b/>
          <w:shd w:val="clear" w:color="auto" w:fill="FFFFFF" w:themeFill="background1"/>
          <w:lang w:val="sr-Cyrl-RS"/>
        </w:rPr>
        <w:t>Међуентитетски центар</w:t>
      </w:r>
      <w:r>
        <w:rPr>
          <w:rFonts w:asciiTheme="minorHAnsi" w:hAnsiTheme="minorHAnsi" w:cstheme="minorHAnsi"/>
          <w:shd w:val="clear" w:color="auto" w:fill="FFFFFF" w:themeFill="background1"/>
          <w:lang w:val="sr-Cyrl-RS"/>
        </w:rPr>
        <w:t xml:space="preserve"> – подручје утицаја града Бања Лука и становништва које конвергира овом граду прелази ентитетске границе у Босни и Херцеговини, па поред претходно градова, може се рећи да је Бања Лука регионални центар и за становништво сљедећих локалних заједница: Бихаћ, Цазин, Бужим, Сански Мост, Кључ, Босански Петровац, Дрвар, Босанско Грахово и др.</w:t>
      </w:r>
    </w:p>
    <w:p>
      <w:pPr>
        <w:pStyle w:val="46"/>
        <w:numPr>
          <w:ilvl w:val="0"/>
          <w:numId w:val="5"/>
        </w:numPr>
        <w:spacing w:before="0" w:line="240" w:lineRule="auto"/>
        <w:rPr>
          <w:rFonts w:asciiTheme="minorHAnsi" w:hAnsiTheme="minorHAnsi" w:cstheme="minorHAnsi"/>
          <w:shd w:val="clear" w:color="auto" w:fill="FFFFFF" w:themeFill="background1"/>
          <w:lang w:val="sr-Cyrl-RS"/>
        </w:rPr>
      </w:pPr>
      <w:r>
        <w:rPr>
          <w:rFonts w:asciiTheme="minorHAnsi" w:hAnsiTheme="minorHAnsi" w:cstheme="minorHAnsi"/>
          <w:b/>
          <w:shd w:val="clear" w:color="auto" w:fill="FFFFFF" w:themeFill="background1"/>
          <w:lang w:val="sr-Cyrl-RS"/>
        </w:rPr>
        <w:t>Регионални центар у прекограничном смислу</w:t>
      </w:r>
      <w:r>
        <w:rPr>
          <w:rFonts w:asciiTheme="minorHAnsi" w:hAnsiTheme="minorHAnsi" w:cstheme="minorHAnsi"/>
          <w:shd w:val="clear" w:color="auto" w:fill="FFFFFF" w:themeFill="background1"/>
          <w:lang w:val="sr-Cyrl-RS"/>
        </w:rPr>
        <w:t xml:space="preserve"> – због повољног географског положаја, Бања Лука је регионални за државе у региону, а посебно за Србију, Хрватску и Словенију.</w:t>
      </w:r>
    </w:p>
    <w:p>
      <w:pPr>
        <w:ind w:left="360"/>
        <w:jc w:val="both"/>
        <w:rPr>
          <w:rFonts w:asciiTheme="majorHAnsi" w:hAnsiTheme="majorHAnsi" w:cstheme="majorHAnsi"/>
          <w:shd w:val="clear" w:color="auto" w:fill="FFFFFF" w:themeFill="background1"/>
          <w:lang w:val="sr-Cyrl-RS"/>
        </w:rPr>
      </w:pPr>
    </w:p>
    <w:p>
      <w:pPr>
        <w:jc w:val="both"/>
        <w:rPr>
          <w:rFonts w:asciiTheme="minorHAnsi" w:hAnsiTheme="minorHAnsi" w:cstheme="minorHAnsi"/>
          <w:shd w:val="clear" w:color="auto" w:fill="FFFFFF" w:themeFill="background1"/>
          <w:lang w:val="sr-Cyrl-RS"/>
        </w:rPr>
      </w:pPr>
      <w:r>
        <w:rPr>
          <w:rFonts w:asciiTheme="minorHAnsi" w:hAnsiTheme="minorHAnsi" w:cstheme="minorHAnsi"/>
          <w:shd w:val="clear" w:color="auto" w:fill="FFFFFF" w:themeFill="background1"/>
          <w:lang w:val="sr-Cyrl-RS"/>
        </w:rPr>
        <w:t>Град Бања Лука има статусне и административне карактеристике главног града Републике Српске у контексту својих значајних функција. У оквиру административне функције, у њему је сједиште Владе Републике Српске и њених министарстава, Предсједника Републике, Народне скупштине Републике Српске, правосудних институција Републике Српске, као и многих републичких агенција, фондова и установа.</w:t>
      </w:r>
      <w:r>
        <w:rPr>
          <w:rFonts w:asciiTheme="minorHAnsi" w:hAnsiTheme="minorHAnsi" w:cstheme="minorHAnsi"/>
          <w:shd w:val="clear" w:color="auto" w:fill="FFFFFF" w:themeFill="background1"/>
          <w:lang w:val="sr-Latn-RS"/>
        </w:rPr>
        <w:t xml:space="preserve"> </w:t>
      </w:r>
      <w:r>
        <w:rPr>
          <w:rFonts w:asciiTheme="minorHAnsi" w:hAnsiTheme="minorHAnsi" w:cstheme="minorHAnsi"/>
          <w:shd w:val="clear" w:color="auto" w:fill="FFFFFF" w:themeFill="background1"/>
          <w:lang w:val="sr-Cyrl-RS"/>
        </w:rPr>
        <w:t>У том смислу, у Граду Бања Лука управља се процесима који се одвијају на територији читаве Републике Српске. На подручју града налазе се и сједишта и неких институција Босне и Херцеговине као што су: Управа за индиректно опорезивање БиХ, Агенција за идентификациона документа, евиденцију и размјену података БиХ, Агенција за лијекове и медицинска средства БиХ, Агенција за осигурање депозита БиХ и др.</w:t>
      </w:r>
      <w:r>
        <w:rPr>
          <w:rFonts w:asciiTheme="minorHAnsi" w:hAnsiTheme="minorHAnsi" w:cstheme="minorHAnsi"/>
          <w:shd w:val="clear" w:color="auto" w:fill="FFFFFF" w:themeFill="background1"/>
          <w:lang w:val="sr-Latn-RS"/>
        </w:rPr>
        <w:t xml:space="preserve"> </w:t>
      </w:r>
    </w:p>
    <w:p>
      <w:pPr>
        <w:jc w:val="both"/>
        <w:rPr>
          <w:rFonts w:asciiTheme="minorHAnsi" w:hAnsiTheme="minorHAnsi" w:cstheme="minorHAnsi"/>
          <w:shd w:val="clear" w:color="auto" w:fill="FFFFFF" w:themeFill="background1"/>
          <w:lang w:val="sr-Cyrl-RS"/>
        </w:rPr>
      </w:pPr>
    </w:p>
    <w:p>
      <w:pPr>
        <w:jc w:val="both"/>
        <w:rPr>
          <w:rFonts w:asciiTheme="minorHAnsi" w:hAnsiTheme="minorHAnsi" w:cstheme="minorHAnsi"/>
          <w:shd w:val="clear" w:color="auto" w:fill="FFFFFF" w:themeFill="background1"/>
          <w:lang w:val="sr-Cyrl-RS"/>
        </w:rPr>
      </w:pPr>
      <w:r>
        <w:rPr>
          <w:rFonts w:asciiTheme="minorHAnsi" w:hAnsiTheme="minorHAnsi" w:cstheme="minorHAnsi"/>
          <w:b/>
          <w:shd w:val="clear" w:color="auto" w:fill="FFFFFF" w:themeFill="background1"/>
          <w:lang w:val="sr-Cyrl-RS"/>
        </w:rPr>
        <w:t>Економска функција</w:t>
      </w:r>
      <w:r>
        <w:rPr>
          <w:rFonts w:asciiTheme="minorHAnsi" w:hAnsiTheme="minorHAnsi" w:cstheme="minorHAnsi"/>
          <w:shd w:val="clear" w:color="auto" w:fill="FFFFFF" w:themeFill="background1"/>
          <w:lang w:val="sr-Cyrl-RS"/>
        </w:rPr>
        <w:t xml:space="preserve"> главног града огледа се у постојању институција финансијског тржишта (Бањалучка берза, Комисија за хартије од вриједности РС, агенција за банкарство РС, Централна банка БиХ – филијала Бања Лука, Инвестиционо-развојна банка РС, Пореска управа РС и сл.), развој банкарског тржишта (филијале банака и других финансијских субјеката укључених у међународне финансијске активности). У граду се налазе и сједишта значајних компанија које поред локалног, послују и на регионалном и међународном тржишту, као што су: М</w:t>
      </w:r>
      <w:r>
        <w:rPr>
          <w:rFonts w:asciiTheme="minorHAnsi" w:hAnsiTheme="minorHAnsi" w:cstheme="minorHAnsi"/>
          <w:shd w:val="clear" w:color="auto" w:fill="FFFFFF" w:themeFill="background1"/>
          <w:lang w:val="sr-Latn-RS"/>
        </w:rPr>
        <w:t>tel</w:t>
      </w:r>
      <w:r>
        <w:rPr>
          <w:rFonts w:asciiTheme="minorHAnsi" w:hAnsiTheme="minorHAnsi" w:cstheme="minorHAnsi"/>
          <w:shd w:val="clear" w:color="auto" w:fill="FFFFFF" w:themeFill="background1"/>
          <w:lang w:val="sr-Cyrl-RS"/>
        </w:rPr>
        <w:t xml:space="preserve"> а.д. Бања Лука, </w:t>
      </w:r>
      <w:r>
        <w:rPr>
          <w:rFonts w:asciiTheme="minorHAnsi" w:hAnsiTheme="minorHAnsi" w:cstheme="minorHAnsi"/>
          <w:shd w:val="clear" w:color="auto" w:fill="FFFFFF" w:themeFill="background1"/>
          <w:lang w:val="sr-Latn-RS"/>
        </w:rPr>
        <w:t xml:space="preserve">LANACO </w:t>
      </w:r>
      <w:r>
        <w:rPr>
          <w:rFonts w:asciiTheme="minorHAnsi" w:hAnsiTheme="minorHAnsi" w:cstheme="minorHAnsi"/>
          <w:shd w:val="clear" w:color="auto" w:fill="FFFFFF" w:themeFill="background1"/>
          <w:lang w:val="sr-Cyrl-RS"/>
        </w:rPr>
        <w:t>информационе технологије,</w:t>
      </w:r>
      <w:r>
        <w:rPr>
          <w:rFonts w:asciiTheme="minorHAnsi" w:hAnsiTheme="minorHAnsi" w:cstheme="minorHAnsi"/>
          <w:shd w:val="clear" w:color="auto" w:fill="FFFFFF" w:themeFill="background1"/>
          <w:lang w:val="sr-Latn-RS"/>
        </w:rPr>
        <w:t xml:space="preserve"> Molson Coors </w:t>
      </w:r>
      <w:r>
        <w:rPr>
          <w:rFonts w:asciiTheme="minorHAnsi" w:hAnsiTheme="minorHAnsi" w:cstheme="minorHAnsi"/>
          <w:shd w:val="clear" w:color="auto" w:fill="FFFFFF" w:themeFill="background1"/>
          <w:lang w:val="sr-Cyrl-RS"/>
        </w:rPr>
        <w:t>д.о.о. Бања Лука,</w:t>
      </w:r>
      <w:r>
        <w:rPr>
          <w:rFonts w:asciiTheme="minorHAnsi" w:hAnsiTheme="minorHAnsi" w:cstheme="minorHAnsi"/>
          <w:shd w:val="clear" w:color="auto" w:fill="FFFFFF" w:themeFill="background1"/>
          <w:lang w:val="sr-Latn-RS"/>
        </w:rPr>
        <w:t xml:space="preserve"> </w:t>
      </w:r>
      <w:r>
        <w:rPr>
          <w:rFonts w:asciiTheme="minorHAnsi" w:hAnsiTheme="minorHAnsi" w:cstheme="minorHAnsi"/>
          <w:shd w:val="clear" w:color="auto" w:fill="FFFFFF" w:themeFill="background1"/>
          <w:lang w:val="sr-Cyrl-RS"/>
        </w:rPr>
        <w:t>Нестро петрол д.о.о. Бања Лука,</w:t>
      </w:r>
      <w:r>
        <w:rPr>
          <w:rFonts w:asciiTheme="minorHAnsi" w:hAnsiTheme="minorHAnsi" w:cstheme="minorHAnsi"/>
          <w:shd w:val="clear" w:color="auto" w:fill="FFFFFF" w:themeFill="background1"/>
          <w:lang w:val="sr-Latn-RS"/>
        </w:rPr>
        <w:t xml:space="preserve"> </w:t>
      </w:r>
      <w:r>
        <w:rPr>
          <w:rFonts w:asciiTheme="minorHAnsi" w:hAnsiTheme="minorHAnsi" w:cstheme="minorHAnsi"/>
          <w:shd w:val="clear" w:color="auto" w:fill="FFFFFF" w:themeFill="background1"/>
          <w:lang w:val="sr-Cyrl-RS"/>
        </w:rPr>
        <w:t xml:space="preserve">БЕМА д.о.о. Бања Лука, </w:t>
      </w:r>
      <w:r>
        <w:rPr>
          <w:rFonts w:asciiTheme="minorHAnsi" w:hAnsiTheme="minorHAnsi" w:cstheme="minorHAnsi"/>
          <w:shd w:val="clear" w:color="auto" w:fill="FFFFFF" w:themeFill="background1"/>
          <w:lang w:val="sr-Latn-RS"/>
        </w:rPr>
        <w:t xml:space="preserve">ELAS Metalexpert </w:t>
      </w:r>
      <w:r>
        <w:rPr>
          <w:rFonts w:asciiTheme="minorHAnsi" w:hAnsiTheme="minorHAnsi" w:cstheme="minorHAnsi"/>
          <w:shd w:val="clear" w:color="auto" w:fill="FFFFFF" w:themeFill="background1"/>
          <w:lang w:val="sr-Cyrl-RS"/>
        </w:rPr>
        <w:t>д.о.о. Бања Лука</w:t>
      </w:r>
      <w:r>
        <w:rPr>
          <w:rFonts w:asciiTheme="minorHAnsi" w:hAnsiTheme="minorHAnsi" w:cstheme="minorHAnsi"/>
          <w:shd w:val="clear" w:color="auto" w:fill="FFFFFF" w:themeFill="background1"/>
          <w:lang w:val="sr-Latn-RS"/>
        </w:rPr>
        <w:t xml:space="preserve">, SHP Celex </w:t>
      </w:r>
      <w:r>
        <w:rPr>
          <w:rFonts w:asciiTheme="minorHAnsi" w:hAnsiTheme="minorHAnsi" w:cstheme="minorHAnsi"/>
          <w:shd w:val="clear" w:color="auto" w:fill="FFFFFF" w:themeFill="background1"/>
          <w:lang w:val="sr-Cyrl-RS"/>
        </w:rPr>
        <w:t xml:space="preserve">а.д. Бања Лука, </w:t>
      </w:r>
      <w:r>
        <w:rPr>
          <w:rFonts w:asciiTheme="minorHAnsi" w:hAnsiTheme="minorHAnsi" w:cstheme="minorHAnsi"/>
          <w:shd w:val="clear" w:color="auto" w:fill="FFFFFF" w:themeFill="background1"/>
          <w:lang w:val="sr-Latn-RS"/>
        </w:rPr>
        <w:t xml:space="preserve">Drvoprodex </w:t>
      </w:r>
      <w:r>
        <w:rPr>
          <w:rFonts w:asciiTheme="minorHAnsi" w:hAnsiTheme="minorHAnsi" w:cstheme="minorHAnsi"/>
          <w:shd w:val="clear" w:color="auto" w:fill="FFFFFF" w:themeFill="background1"/>
          <w:lang w:val="sr-Cyrl-RS"/>
        </w:rPr>
        <w:t xml:space="preserve">д.о.о. Бања Лука и др. </w:t>
      </w:r>
    </w:p>
    <w:p>
      <w:pPr>
        <w:jc w:val="both"/>
        <w:rPr>
          <w:rFonts w:asciiTheme="minorHAnsi" w:hAnsiTheme="minorHAnsi" w:cstheme="minorHAnsi"/>
          <w:shd w:val="clear" w:color="auto" w:fill="FFFFFF" w:themeFill="background1"/>
          <w:lang w:val="sr-Cyrl-RS"/>
        </w:rPr>
      </w:pPr>
    </w:p>
    <w:p>
      <w:pPr>
        <w:pStyle w:val="4"/>
        <w:rPr>
          <w:lang w:val="sr-Latn-CS"/>
        </w:rPr>
      </w:pPr>
      <w:bookmarkStart w:id="15" w:name="_Toc526170577"/>
      <w:r>
        <w:rPr>
          <w:lang w:val="hr-BA"/>
        </w:rPr>
        <w:t xml:space="preserve">IV.1.2. </w:t>
      </w:r>
      <w:r>
        <w:rPr>
          <w:lang w:val="sr-Cyrl-RS"/>
        </w:rPr>
        <w:t>Демографске</w:t>
      </w:r>
      <w:r>
        <w:rPr>
          <w:lang w:val="hr-BA"/>
        </w:rPr>
        <w:t xml:space="preserve"> </w:t>
      </w:r>
      <w:r>
        <w:rPr>
          <w:lang w:val="sr-Cyrl-RS"/>
        </w:rPr>
        <w:t>карактеристике</w:t>
      </w:r>
      <w:r>
        <w:rPr>
          <w:lang w:val="hr-BA"/>
        </w:rPr>
        <w:t xml:space="preserve"> </w:t>
      </w:r>
      <w:r>
        <w:rPr>
          <w:lang w:val="sr-Cyrl-RS"/>
        </w:rPr>
        <w:t>и</w:t>
      </w:r>
      <w:r>
        <w:rPr>
          <w:lang w:val="hr-BA"/>
        </w:rPr>
        <w:t xml:space="preserve"> </w:t>
      </w:r>
      <w:r>
        <w:rPr>
          <w:lang w:val="sr-Cyrl-RS"/>
        </w:rPr>
        <w:t>кретања</w:t>
      </w:r>
      <w:bookmarkEnd w:id="15"/>
    </w:p>
    <w:p>
      <w:pPr>
        <w:pStyle w:val="5"/>
      </w:pPr>
      <w:bookmarkStart w:id="16" w:name="_Toc526170578"/>
      <w:r>
        <w:t>IV.1.2.1. Број становника и природни прираштај</w:t>
      </w:r>
      <w:bookmarkEnd w:id="16"/>
    </w:p>
    <w:p>
      <w:pPr>
        <w:jc w:val="both"/>
        <w:rPr>
          <w:rFonts w:asciiTheme="minorHAnsi" w:hAnsiTheme="minorHAnsi" w:cstheme="minorHAnsi"/>
          <w:b/>
          <w:i/>
          <w:lang w:val="sr-Cyrl-CS"/>
        </w:rPr>
      </w:pPr>
    </w:p>
    <w:p>
      <w:pPr>
        <w:jc w:val="both"/>
        <w:rPr>
          <w:rFonts w:asciiTheme="minorHAnsi" w:hAnsiTheme="minorHAnsi" w:cstheme="minorHAnsi"/>
          <w:lang w:val="sr-Cyrl-CS"/>
        </w:rPr>
      </w:pPr>
      <w:r>
        <w:rPr>
          <w:rFonts w:asciiTheme="minorHAnsi" w:hAnsiTheme="minorHAnsi" w:cstheme="minorHAnsi"/>
          <w:b/>
          <w:i/>
          <w:lang w:val="sr-Cyrl-CS"/>
        </w:rPr>
        <w:t xml:space="preserve">Становништво. </w:t>
      </w:r>
      <w:r>
        <w:rPr>
          <w:rFonts w:asciiTheme="minorHAnsi" w:hAnsiTheme="minorHAnsi" w:cstheme="minorHAnsi"/>
          <w:lang w:val="sr-Cyrl-CS"/>
        </w:rPr>
        <w:t xml:space="preserve">У пријератном периоду, посљедњи званичан попис становништва у свим републикама бивше Југославије извршен је у периоду од 01. до 15. </w:t>
      </w:r>
      <w:r>
        <w:rPr>
          <w:rFonts w:asciiTheme="minorHAnsi" w:hAnsiTheme="minorHAnsi" w:cstheme="minorHAnsi"/>
          <w:bCs/>
          <w:lang w:val="sr-Latn-CS"/>
        </w:rPr>
        <w:t>априла</w:t>
      </w:r>
      <w:r>
        <w:rPr>
          <w:rFonts w:asciiTheme="minorHAnsi" w:hAnsiTheme="minorHAnsi" w:cstheme="minorHAnsi"/>
        </w:rPr>
        <w:t xml:space="preserve"> </w:t>
      </w:r>
      <w:r>
        <w:rPr>
          <w:rFonts w:asciiTheme="minorHAnsi" w:hAnsiTheme="minorHAnsi" w:cstheme="minorHAnsi"/>
          <w:bCs/>
        </w:rPr>
        <w:t>1991.</w:t>
      </w:r>
      <w:r>
        <w:rPr>
          <w:rFonts w:asciiTheme="minorHAnsi" w:hAnsiTheme="minorHAnsi" w:cstheme="minorHAnsi"/>
        </w:rPr>
        <w:t xml:space="preserve"> </w:t>
      </w:r>
      <w:r>
        <w:rPr>
          <w:rFonts w:asciiTheme="minorHAnsi" w:hAnsiTheme="minorHAnsi" w:cstheme="minorHAnsi"/>
          <w:lang w:val="sr-Latn-CS"/>
        </w:rPr>
        <w:t>године</w:t>
      </w:r>
      <w:r>
        <w:rPr>
          <w:rFonts w:asciiTheme="minorHAnsi" w:hAnsiTheme="minorHAnsi" w:cstheme="minorHAnsi"/>
          <w:lang w:val="sr-Cyrl-CS"/>
        </w:rPr>
        <w:t>. Резултати наведеног пописа становништва у БиХ кориштени су наредне 22 године, с одређеним процјенама демографских кретања</w:t>
      </w:r>
      <w:r>
        <w:rPr>
          <w:rFonts w:asciiTheme="minorHAnsi" w:hAnsiTheme="minorHAnsi" w:cstheme="minorHAnsi"/>
          <w:lang w:val="sr-Latn-CS"/>
        </w:rPr>
        <w:t xml:space="preserve"> </w:t>
      </w:r>
      <w:r>
        <w:rPr>
          <w:rFonts w:asciiTheme="minorHAnsi" w:hAnsiTheme="minorHAnsi" w:cstheme="minorHAnsi"/>
          <w:lang w:val="sr-Cyrl-CS"/>
        </w:rPr>
        <w:t>овлаштене институције-</w:t>
      </w:r>
      <w:r>
        <w:rPr>
          <w:rFonts w:asciiTheme="minorHAnsi" w:hAnsiTheme="minorHAnsi" w:cstheme="minorHAnsi"/>
          <w:lang w:val="sr-Latn-CS"/>
        </w:rPr>
        <w:t>Републи</w:t>
      </w:r>
      <w:r>
        <w:rPr>
          <w:rFonts w:asciiTheme="minorHAnsi" w:hAnsiTheme="minorHAnsi" w:cstheme="minorHAnsi"/>
        </w:rPr>
        <w:t>ч</w:t>
      </w:r>
      <w:r>
        <w:rPr>
          <w:rFonts w:asciiTheme="minorHAnsi" w:hAnsiTheme="minorHAnsi" w:cstheme="minorHAnsi"/>
          <w:lang w:val="sr-Latn-CS"/>
        </w:rPr>
        <w:t>ког</w:t>
      </w:r>
      <w:r>
        <w:rPr>
          <w:rFonts w:asciiTheme="minorHAnsi" w:hAnsiTheme="minorHAnsi" w:cstheme="minorHAnsi"/>
        </w:rPr>
        <w:t xml:space="preserve"> </w:t>
      </w:r>
      <w:r>
        <w:rPr>
          <w:rFonts w:asciiTheme="minorHAnsi" w:hAnsiTheme="minorHAnsi" w:cstheme="minorHAnsi"/>
          <w:lang w:val="sr-Latn-CS"/>
        </w:rPr>
        <w:t>завода</w:t>
      </w:r>
      <w:r>
        <w:rPr>
          <w:rFonts w:asciiTheme="minorHAnsi" w:hAnsiTheme="minorHAnsi" w:cstheme="minorHAnsi"/>
        </w:rPr>
        <w:t xml:space="preserve"> </w:t>
      </w:r>
      <w:r>
        <w:rPr>
          <w:rFonts w:asciiTheme="minorHAnsi" w:hAnsiTheme="minorHAnsi" w:cstheme="minorHAnsi"/>
          <w:lang w:val="sr-Latn-CS"/>
        </w:rPr>
        <w:t>за</w:t>
      </w:r>
      <w:r>
        <w:rPr>
          <w:rFonts w:asciiTheme="minorHAnsi" w:hAnsiTheme="minorHAnsi" w:cstheme="minorHAnsi"/>
        </w:rPr>
        <w:t xml:space="preserve"> </w:t>
      </w:r>
      <w:r>
        <w:rPr>
          <w:rFonts w:asciiTheme="minorHAnsi" w:hAnsiTheme="minorHAnsi" w:cstheme="minorHAnsi"/>
          <w:lang w:val="sr-Latn-CS"/>
        </w:rPr>
        <w:t>статистику</w:t>
      </w:r>
      <w:r>
        <w:rPr>
          <w:rFonts w:asciiTheme="minorHAnsi" w:hAnsiTheme="minorHAnsi" w:cstheme="minorHAnsi"/>
          <w:lang w:val="sr-Cyrl-CS"/>
        </w:rPr>
        <w:t xml:space="preserve">, које проистичу из </w:t>
      </w:r>
      <w:r>
        <w:rPr>
          <w:rFonts w:asciiTheme="minorHAnsi" w:hAnsiTheme="minorHAnsi" w:cstheme="minorHAnsi"/>
          <w:lang w:val="sr-Latn-CS"/>
        </w:rPr>
        <w:t>процјен</w:t>
      </w:r>
      <w:r>
        <w:rPr>
          <w:rFonts w:asciiTheme="minorHAnsi" w:hAnsiTheme="minorHAnsi" w:cstheme="minorHAnsi"/>
          <w:lang w:val="sr-Cyrl-CS"/>
        </w:rPr>
        <w:t>а</w:t>
      </w:r>
      <w:r>
        <w:rPr>
          <w:rFonts w:asciiTheme="minorHAnsi" w:hAnsiTheme="minorHAnsi" w:cstheme="minorHAnsi"/>
        </w:rPr>
        <w:t xml:space="preserve"> </w:t>
      </w:r>
      <w:r>
        <w:rPr>
          <w:rFonts w:asciiTheme="minorHAnsi" w:hAnsiTheme="minorHAnsi" w:cstheme="minorHAnsi"/>
          <w:lang w:val="sr-Latn-CS"/>
        </w:rPr>
        <w:t>броја</w:t>
      </w:r>
      <w:r>
        <w:rPr>
          <w:rFonts w:asciiTheme="minorHAnsi" w:hAnsiTheme="minorHAnsi" w:cstheme="minorHAnsi"/>
        </w:rPr>
        <w:t xml:space="preserve"> </w:t>
      </w:r>
      <w:r>
        <w:rPr>
          <w:rFonts w:asciiTheme="minorHAnsi" w:hAnsiTheme="minorHAnsi" w:cstheme="minorHAnsi"/>
          <w:lang w:val="sr-Latn-CS"/>
        </w:rPr>
        <w:t>становника</w:t>
      </w:r>
      <w:r>
        <w:rPr>
          <w:rFonts w:asciiTheme="minorHAnsi" w:hAnsiTheme="minorHAnsi" w:cstheme="minorHAnsi"/>
        </w:rPr>
        <w:t xml:space="preserve"> </w:t>
      </w:r>
      <w:r>
        <w:rPr>
          <w:rFonts w:asciiTheme="minorHAnsi" w:hAnsiTheme="minorHAnsi" w:cstheme="minorHAnsi"/>
          <w:lang w:val="sr-Latn-CS"/>
        </w:rPr>
        <w:t>на</w:t>
      </w:r>
      <w:r>
        <w:rPr>
          <w:rFonts w:asciiTheme="minorHAnsi" w:hAnsiTheme="minorHAnsi" w:cstheme="minorHAnsi"/>
        </w:rPr>
        <w:t xml:space="preserve"> </w:t>
      </w:r>
      <w:r>
        <w:rPr>
          <w:rFonts w:asciiTheme="minorHAnsi" w:hAnsiTheme="minorHAnsi" w:cstheme="minorHAnsi"/>
          <w:lang w:val="sr-Latn-CS"/>
        </w:rPr>
        <w:t>основу</w:t>
      </w:r>
      <w:r>
        <w:rPr>
          <w:rFonts w:asciiTheme="minorHAnsi" w:hAnsiTheme="minorHAnsi" w:cstheme="minorHAnsi"/>
        </w:rPr>
        <w:t xml:space="preserve"> </w:t>
      </w:r>
      <w:r>
        <w:rPr>
          <w:rFonts w:asciiTheme="minorHAnsi" w:hAnsiTheme="minorHAnsi" w:cstheme="minorHAnsi"/>
          <w:lang w:val="sr-Latn-CS"/>
        </w:rPr>
        <w:t>звани</w:t>
      </w:r>
      <w:r>
        <w:rPr>
          <w:rFonts w:asciiTheme="minorHAnsi" w:hAnsiTheme="minorHAnsi" w:cstheme="minorHAnsi"/>
        </w:rPr>
        <w:t>ч</w:t>
      </w:r>
      <w:r>
        <w:rPr>
          <w:rFonts w:asciiTheme="minorHAnsi" w:hAnsiTheme="minorHAnsi" w:cstheme="minorHAnsi"/>
          <w:lang w:val="sr-Latn-CS"/>
        </w:rPr>
        <w:t>них</w:t>
      </w:r>
      <w:r>
        <w:rPr>
          <w:rFonts w:asciiTheme="minorHAnsi" w:hAnsiTheme="minorHAnsi" w:cstheme="minorHAnsi"/>
        </w:rPr>
        <w:t xml:space="preserve"> </w:t>
      </w:r>
      <w:r>
        <w:rPr>
          <w:rFonts w:asciiTheme="minorHAnsi" w:hAnsiTheme="minorHAnsi" w:cstheme="minorHAnsi"/>
          <w:lang w:val="sr-Latn-CS"/>
        </w:rPr>
        <w:t>података</w:t>
      </w:r>
      <w:r>
        <w:rPr>
          <w:rFonts w:asciiTheme="minorHAnsi" w:hAnsiTheme="minorHAnsi" w:cstheme="minorHAnsi"/>
        </w:rPr>
        <w:t xml:space="preserve"> </w:t>
      </w:r>
      <w:r>
        <w:rPr>
          <w:rFonts w:asciiTheme="minorHAnsi" w:hAnsiTheme="minorHAnsi" w:cstheme="minorHAnsi"/>
          <w:lang w:val="sr-Latn-CS"/>
        </w:rPr>
        <w:t>о</w:t>
      </w:r>
      <w:r>
        <w:rPr>
          <w:rFonts w:asciiTheme="minorHAnsi" w:hAnsiTheme="minorHAnsi" w:cstheme="minorHAnsi"/>
        </w:rPr>
        <w:t xml:space="preserve"> </w:t>
      </w:r>
      <w:r>
        <w:rPr>
          <w:rFonts w:asciiTheme="minorHAnsi" w:hAnsiTheme="minorHAnsi" w:cstheme="minorHAnsi"/>
          <w:lang w:val="sr-Latn-CS"/>
        </w:rPr>
        <w:t>броју</w:t>
      </w:r>
      <w:r>
        <w:rPr>
          <w:rFonts w:asciiTheme="minorHAnsi" w:hAnsiTheme="minorHAnsi" w:cstheme="minorHAnsi"/>
        </w:rPr>
        <w:t xml:space="preserve"> </w:t>
      </w:r>
      <w:r>
        <w:rPr>
          <w:rFonts w:asciiTheme="minorHAnsi" w:hAnsiTheme="minorHAnsi" w:cstheme="minorHAnsi"/>
          <w:lang w:val="sr-Latn-CS"/>
        </w:rPr>
        <w:t>ро</w:t>
      </w:r>
      <w:r>
        <w:rPr>
          <w:rFonts w:asciiTheme="minorHAnsi" w:hAnsiTheme="minorHAnsi" w:cstheme="minorHAnsi"/>
        </w:rPr>
        <w:t>ђ</w:t>
      </w:r>
      <w:r>
        <w:rPr>
          <w:rFonts w:asciiTheme="minorHAnsi" w:hAnsiTheme="minorHAnsi" w:cstheme="minorHAnsi"/>
          <w:lang w:val="sr-Latn-CS"/>
        </w:rPr>
        <w:t>ених</w:t>
      </w:r>
      <w:r>
        <w:rPr>
          <w:rFonts w:asciiTheme="minorHAnsi" w:hAnsiTheme="minorHAnsi" w:cstheme="minorHAnsi"/>
        </w:rPr>
        <w:t xml:space="preserve">, </w:t>
      </w:r>
      <w:r>
        <w:rPr>
          <w:rFonts w:asciiTheme="minorHAnsi" w:hAnsiTheme="minorHAnsi" w:cstheme="minorHAnsi"/>
          <w:lang w:val="sr-Latn-CS"/>
        </w:rPr>
        <w:t>броју</w:t>
      </w:r>
      <w:r>
        <w:rPr>
          <w:rFonts w:asciiTheme="minorHAnsi" w:hAnsiTheme="minorHAnsi" w:cstheme="minorHAnsi"/>
        </w:rPr>
        <w:t xml:space="preserve"> </w:t>
      </w:r>
      <w:r>
        <w:rPr>
          <w:rFonts w:asciiTheme="minorHAnsi" w:hAnsiTheme="minorHAnsi" w:cstheme="minorHAnsi"/>
          <w:lang w:val="sr-Latn-CS"/>
        </w:rPr>
        <w:t>умрлих</w:t>
      </w:r>
      <w:r>
        <w:rPr>
          <w:rFonts w:asciiTheme="minorHAnsi" w:hAnsiTheme="minorHAnsi" w:cstheme="minorHAnsi"/>
        </w:rPr>
        <w:t xml:space="preserve"> </w:t>
      </w:r>
      <w:r>
        <w:rPr>
          <w:rFonts w:asciiTheme="minorHAnsi" w:hAnsiTheme="minorHAnsi" w:cstheme="minorHAnsi"/>
          <w:lang w:val="sr-Latn-CS"/>
        </w:rPr>
        <w:t>и</w:t>
      </w:r>
      <w:r>
        <w:rPr>
          <w:rFonts w:asciiTheme="minorHAnsi" w:hAnsiTheme="minorHAnsi" w:cstheme="minorHAnsi"/>
        </w:rPr>
        <w:t xml:space="preserve"> </w:t>
      </w:r>
      <w:r>
        <w:rPr>
          <w:rFonts w:asciiTheme="minorHAnsi" w:hAnsiTheme="minorHAnsi" w:cstheme="minorHAnsi"/>
          <w:lang w:val="sr-Latn-CS"/>
        </w:rPr>
        <w:t>миграционим</w:t>
      </w:r>
      <w:r>
        <w:rPr>
          <w:rFonts w:asciiTheme="minorHAnsi" w:hAnsiTheme="minorHAnsi" w:cstheme="minorHAnsi"/>
        </w:rPr>
        <w:t xml:space="preserve"> </w:t>
      </w:r>
      <w:r>
        <w:rPr>
          <w:rFonts w:asciiTheme="minorHAnsi" w:hAnsiTheme="minorHAnsi" w:cstheme="minorHAnsi"/>
          <w:lang w:val="sr-Latn-CS"/>
        </w:rPr>
        <w:t>кретањима</w:t>
      </w:r>
      <w:r>
        <w:rPr>
          <w:rFonts w:asciiTheme="minorHAnsi" w:hAnsiTheme="minorHAnsi" w:cstheme="minorHAnsi"/>
        </w:rPr>
        <w:t xml:space="preserve">. </w:t>
      </w:r>
    </w:p>
    <w:p>
      <w:pPr>
        <w:jc w:val="both"/>
        <w:rPr>
          <w:rFonts w:asciiTheme="minorHAnsi" w:hAnsiTheme="minorHAnsi" w:cstheme="minorHAnsi"/>
          <w:lang w:val="sr-Cyrl-CS"/>
        </w:rPr>
      </w:pPr>
    </w:p>
    <w:p>
      <w:pPr>
        <w:jc w:val="both"/>
        <w:rPr>
          <w:rFonts w:asciiTheme="minorHAnsi" w:hAnsiTheme="minorHAnsi" w:cstheme="minorHAnsi"/>
          <w:lang w:val="sr-Cyrl-CS"/>
        </w:rPr>
      </w:pPr>
      <w:r>
        <w:rPr>
          <w:rFonts w:asciiTheme="minorHAnsi" w:hAnsiTheme="minorHAnsi" w:cstheme="minorHAnsi"/>
          <w:lang w:val="sr-Cyrl-CS"/>
        </w:rPr>
        <w:t>У периоду од 01. до 15. октобра 2013. године, извршен је попис становништва на територији Босне и Херцеговине, с пописаним демографским стањем на дан 30.09.2013. године до 24 часа. Према коначним резултатима пописа становништва извршеног октобра 2013. године, на територији Републике Српске пописано је 1.170.342 становника, а на територији града Бањалуке 180.056 становника.  У демографским приказима кретања укупног броја становника за 2013. годину, нису представљени подаци о броју становника добијени пописом из октобра 2013. године, него процјена броја становника Републичког завода за статистику за цијелу 2013. годину, а то су: за РС 1.171.179 становника, а за град Бањалуку 180.056 становника.</w:t>
      </w:r>
    </w:p>
    <w:p>
      <w:pPr>
        <w:jc w:val="both"/>
        <w:rPr>
          <w:rFonts w:asciiTheme="minorHAnsi" w:hAnsiTheme="minorHAnsi" w:cstheme="minorHAnsi"/>
          <w:lang w:val="sr-Cyrl-CS"/>
        </w:rPr>
      </w:pPr>
    </w:p>
    <w:p>
      <w:pPr>
        <w:jc w:val="both"/>
        <w:rPr>
          <w:rFonts w:eastAsia="Times New Roman" w:asciiTheme="minorHAnsi" w:hAnsiTheme="minorHAnsi" w:cstheme="minorHAnsi"/>
          <w:lang w:val="sr-Cyrl-RS"/>
        </w:rPr>
      </w:pPr>
      <w:r>
        <w:rPr>
          <w:rFonts w:eastAsia="Times New Roman" w:asciiTheme="minorHAnsi" w:hAnsiTheme="minorHAnsi" w:cstheme="minorHAnsi"/>
          <w:lang w:val="sr-Cyrl-CS"/>
        </w:rPr>
        <w:t>Ипак, и ови подаци могу се сматрати само оријентационим и непотпуним јер се са њима суочавају</w:t>
      </w:r>
      <w:r>
        <w:rPr>
          <w:rFonts w:eastAsia="Times New Roman" w:asciiTheme="minorHAnsi" w:hAnsiTheme="minorHAnsi" w:cstheme="minorHAnsi"/>
          <w:lang w:val="sr-Latn-RS"/>
        </w:rPr>
        <w:t xml:space="preserve"> </w:t>
      </w:r>
      <w:r>
        <w:rPr>
          <w:rFonts w:eastAsia="Times New Roman" w:asciiTheme="minorHAnsi" w:hAnsiTheme="minorHAnsi" w:cstheme="minorHAnsi"/>
          <w:lang w:val="sr-Cyrl-RS"/>
        </w:rPr>
        <w:t>други, такође службени подаци. Према подацима Агенције за идентификациона документа, евиденцију и размјену података БиХ, на примјер, број гласача у Бања</w:t>
      </w:r>
      <w:r>
        <w:rPr>
          <w:rFonts w:eastAsia="Times New Roman" w:asciiTheme="minorHAnsi" w:hAnsiTheme="minorHAnsi" w:cstheme="minorHAnsi"/>
          <w:lang w:val="sr-Latn-RS"/>
        </w:rPr>
        <w:t xml:space="preserve"> </w:t>
      </w:r>
      <w:r>
        <w:rPr>
          <w:rFonts w:eastAsia="Times New Roman" w:asciiTheme="minorHAnsi" w:hAnsiTheme="minorHAnsi" w:cstheme="minorHAnsi"/>
          <w:lang w:val="sr-Cyrl-RS"/>
        </w:rPr>
        <w:t>Луци на дан 01.01.2017. године (дакле, пунољетни грађани) био је нешто више од 191.000, тако да је планирање веома отежано због контраверзи базних података о становништву.</w:t>
      </w:r>
    </w:p>
    <w:p>
      <w:pPr>
        <w:jc w:val="both"/>
        <w:rPr>
          <w:rFonts w:eastAsia="Times New Roman" w:asciiTheme="minorHAnsi" w:hAnsiTheme="minorHAnsi" w:cstheme="minorHAnsi"/>
          <w:lang w:val="sr-Cyrl-CS"/>
        </w:rPr>
      </w:pPr>
    </w:p>
    <w:p>
      <w:pPr>
        <w:jc w:val="both"/>
        <w:rPr>
          <w:rFonts w:ascii="Times New Roman" w:hAnsi="Times New Roman"/>
          <w:sz w:val="24"/>
          <w:szCs w:val="24"/>
          <w:lang w:val="sr-Cyrl-CS"/>
        </w:rPr>
      </w:pPr>
      <w:r>
        <w:rPr>
          <w:rFonts w:asciiTheme="minorHAnsi" w:hAnsiTheme="minorHAnsi" w:cstheme="minorHAnsi"/>
          <w:lang w:val="sr-Cyrl-CS"/>
        </w:rPr>
        <w:t>Кретање укупног становништва у периоду између два званична пописа становништв било је под утицајем спољних миграција, интензивног досељавања и исељавања, као и природног кретања становништва, природног прираштаја становништва, наталитета, морталитета и евидентног демографског старења. С обзиром да се деведесетих година 20. вијека Бања Лука нашла у центру</w:t>
      </w:r>
      <w:r>
        <w:rPr>
          <w:rFonts w:eastAsia="Times New Roman" w:asciiTheme="minorHAnsi" w:hAnsiTheme="minorHAnsi" w:cstheme="minorHAnsi"/>
          <w:lang w:val="sr-Cyrl-CS"/>
        </w:rPr>
        <w:t xml:space="preserve"> снажних </w:t>
      </w:r>
      <w:r>
        <w:rPr>
          <w:rFonts w:asciiTheme="minorHAnsi" w:hAnsiTheme="minorHAnsi" w:cstheme="minorHAnsi"/>
          <w:lang w:val="sr-Cyrl-CS"/>
        </w:rPr>
        <w:t xml:space="preserve">миграционих кретања, изаваних ратним дејствима у Хрватској и Босни и Херцеговини, знатан број расељених лица проузроковао је промјене у социјалној, економској, етничкој, образовној, старосној и другим структурним компонентама демографије Бањалуке. </w:t>
      </w:r>
    </w:p>
    <w:p>
      <w:pPr>
        <w:jc w:val="both"/>
        <w:rPr>
          <w:rFonts w:asciiTheme="minorHAnsi" w:hAnsiTheme="minorHAnsi" w:cstheme="minorHAnsi"/>
        </w:rPr>
      </w:pPr>
    </w:p>
    <w:p>
      <w:pPr>
        <w:jc w:val="both"/>
        <w:rPr>
          <w:rFonts w:asciiTheme="minorHAnsi" w:hAnsiTheme="minorHAnsi" w:cstheme="minorHAnsi"/>
          <w:lang w:val="sr-Cyrl-CS"/>
        </w:rPr>
      </w:pPr>
      <w:r>
        <w:rPr>
          <w:rFonts w:asciiTheme="minorHAnsi" w:hAnsiTheme="minorHAnsi" w:cstheme="minorHAnsi"/>
        </w:rPr>
        <w:t xml:space="preserve">Према попису становништва из </w:t>
      </w:r>
      <w:r>
        <w:rPr>
          <w:rFonts w:asciiTheme="minorHAnsi" w:hAnsiTheme="minorHAnsi" w:cstheme="minorHAnsi"/>
          <w:lang w:val="sr-Cyrl-CS"/>
        </w:rPr>
        <w:t xml:space="preserve">2013. године, Бања </w:t>
      </w:r>
      <w:r>
        <w:rPr>
          <w:rFonts w:asciiTheme="minorHAnsi" w:hAnsiTheme="minorHAnsi" w:cstheme="minorHAnsi"/>
          <w:lang w:val="sr-Cyrl-RS"/>
        </w:rPr>
        <w:t>Л</w:t>
      </w:r>
      <w:r>
        <w:rPr>
          <w:rFonts w:asciiTheme="minorHAnsi" w:hAnsiTheme="minorHAnsi" w:cstheme="minorHAnsi"/>
          <w:lang w:val="sr-Cyrl-CS"/>
        </w:rPr>
        <w:t xml:space="preserve">ука </w:t>
      </w:r>
      <w:r>
        <w:rPr>
          <w:rFonts w:asciiTheme="minorHAnsi" w:hAnsiTheme="minorHAnsi" w:cstheme="minorHAnsi"/>
        </w:rPr>
        <w:t>има 180.05</w:t>
      </w:r>
      <w:r>
        <w:rPr>
          <w:rFonts w:asciiTheme="minorHAnsi" w:hAnsiTheme="minorHAnsi" w:cstheme="minorHAnsi"/>
          <w:lang w:val="sr-Cyrl-CS"/>
        </w:rPr>
        <w:t>6</w:t>
      </w:r>
      <w:r>
        <w:rPr>
          <w:rFonts w:asciiTheme="minorHAnsi" w:hAnsiTheme="minorHAnsi" w:cstheme="minorHAnsi"/>
        </w:rPr>
        <w:t xml:space="preserve"> становника</w:t>
      </w:r>
      <w:r>
        <w:rPr>
          <w:rFonts w:asciiTheme="minorHAnsi" w:hAnsiTheme="minorHAnsi" w:cstheme="minorHAnsi"/>
          <w:lang w:val="sr-Cyrl-CS"/>
        </w:rPr>
        <w:t>,</w:t>
      </w:r>
      <w:r>
        <w:rPr>
          <w:rFonts w:asciiTheme="minorHAnsi" w:hAnsiTheme="minorHAnsi" w:cstheme="minorHAnsi"/>
        </w:rPr>
        <w:t xml:space="preserve"> што је</w:t>
      </w:r>
      <w:r>
        <w:rPr>
          <w:rFonts w:asciiTheme="minorHAnsi" w:hAnsiTheme="minorHAnsi" w:cstheme="minorHAnsi"/>
          <w:lang w:val="sr-Cyrl-CS"/>
        </w:rPr>
        <w:t xml:space="preserve"> </w:t>
      </w:r>
      <w:r>
        <w:rPr>
          <w:rFonts w:asciiTheme="minorHAnsi" w:hAnsiTheme="minorHAnsi" w:cstheme="minorHAnsi"/>
        </w:rPr>
        <w:t>15.63</w:t>
      </w:r>
      <w:r>
        <w:rPr>
          <w:rFonts w:asciiTheme="minorHAnsi" w:hAnsiTheme="minorHAnsi" w:cstheme="minorHAnsi"/>
          <w:lang w:val="sr-Cyrl-CS"/>
        </w:rPr>
        <w:t>6</w:t>
      </w:r>
      <w:r>
        <w:rPr>
          <w:rFonts w:asciiTheme="minorHAnsi" w:hAnsiTheme="minorHAnsi" w:cstheme="minorHAnsi"/>
        </w:rPr>
        <w:t xml:space="preserve"> становника </w:t>
      </w:r>
      <w:r>
        <w:rPr>
          <w:rFonts w:asciiTheme="minorHAnsi" w:hAnsiTheme="minorHAnsi" w:cstheme="minorHAnsi"/>
          <w:lang w:val="sr-Cyrl-CS"/>
        </w:rPr>
        <w:t>мање</w:t>
      </w:r>
      <w:r>
        <w:rPr>
          <w:rFonts w:asciiTheme="minorHAnsi" w:hAnsiTheme="minorHAnsi" w:cstheme="minorHAnsi"/>
        </w:rPr>
        <w:t>, односно</w:t>
      </w:r>
      <w:r>
        <w:rPr>
          <w:rFonts w:asciiTheme="minorHAnsi" w:hAnsiTheme="minorHAnsi" w:cstheme="minorHAnsi"/>
          <w:lang w:val="sr-Cyrl-CS"/>
        </w:rPr>
        <w:t xml:space="preserve"> </w:t>
      </w:r>
      <w:r>
        <w:rPr>
          <w:rFonts w:asciiTheme="minorHAnsi" w:hAnsiTheme="minorHAnsi" w:cstheme="minorHAnsi"/>
          <w:lang w:val="sr-Cyrl-RS"/>
        </w:rPr>
        <w:t>7,9</w:t>
      </w:r>
      <w:r>
        <w:rPr>
          <w:rFonts w:asciiTheme="minorHAnsi" w:hAnsiTheme="minorHAnsi" w:cstheme="minorHAnsi"/>
        </w:rPr>
        <w:t xml:space="preserve">% </w:t>
      </w:r>
      <w:r>
        <w:rPr>
          <w:rFonts w:asciiTheme="minorHAnsi" w:hAnsiTheme="minorHAnsi" w:cstheme="minorHAnsi"/>
          <w:lang w:val="sr-Cyrl-CS"/>
        </w:rPr>
        <w:t>мање</w:t>
      </w:r>
      <w:r>
        <w:rPr>
          <w:rFonts w:asciiTheme="minorHAnsi" w:hAnsiTheme="minorHAnsi" w:cstheme="minorHAnsi"/>
        </w:rPr>
        <w:t xml:space="preserve">, у односу на резултате пописа становништва из 1991. године, </w:t>
      </w:r>
      <w:r>
        <w:rPr>
          <w:rFonts w:asciiTheme="minorHAnsi" w:hAnsiTheme="minorHAnsi" w:cstheme="minorHAnsi"/>
          <w:lang w:val="sr-Cyrl-CS"/>
        </w:rPr>
        <w:t xml:space="preserve">када је </w:t>
      </w:r>
      <w:r>
        <w:rPr>
          <w:rFonts w:asciiTheme="minorHAnsi" w:hAnsiTheme="minorHAnsi" w:cstheme="minorHAnsi"/>
        </w:rPr>
        <w:t>на територији Бања</w:t>
      </w:r>
      <w:r>
        <w:rPr>
          <w:rFonts w:asciiTheme="minorHAnsi" w:hAnsiTheme="minorHAnsi" w:cstheme="minorHAnsi"/>
          <w:lang w:val="sr-Cyrl-RS"/>
        </w:rPr>
        <w:t xml:space="preserve"> </w:t>
      </w:r>
      <w:r>
        <w:rPr>
          <w:rFonts w:asciiTheme="minorHAnsi" w:hAnsiTheme="minorHAnsi" w:cstheme="minorHAnsi"/>
          <w:lang w:val="sr-Cyrl-CS"/>
        </w:rPr>
        <w:t>Л</w:t>
      </w:r>
      <w:r>
        <w:rPr>
          <w:rFonts w:asciiTheme="minorHAnsi" w:hAnsiTheme="minorHAnsi" w:cstheme="minorHAnsi"/>
        </w:rPr>
        <w:t xml:space="preserve">уке </w:t>
      </w:r>
      <w:r>
        <w:rPr>
          <w:rFonts w:asciiTheme="minorHAnsi" w:hAnsiTheme="minorHAnsi" w:cstheme="minorHAnsi"/>
          <w:lang w:val="sr-Cyrl-CS"/>
        </w:rPr>
        <w:t xml:space="preserve">пописано </w:t>
      </w:r>
      <w:r>
        <w:rPr>
          <w:rFonts w:asciiTheme="minorHAnsi" w:hAnsiTheme="minorHAnsi" w:cstheme="minorHAnsi"/>
        </w:rPr>
        <w:t>195.692 становника</w:t>
      </w:r>
      <w:r>
        <w:rPr>
          <w:rFonts w:asciiTheme="minorHAnsi" w:hAnsiTheme="minorHAnsi" w:cstheme="minorHAnsi"/>
          <w:lang w:val="sr-Cyrl-CS"/>
        </w:rPr>
        <w:t>.</w:t>
      </w:r>
      <w:r>
        <w:rPr>
          <w:rFonts w:asciiTheme="minorHAnsi" w:hAnsiTheme="minorHAnsi" w:cstheme="minorHAnsi"/>
        </w:rPr>
        <w:t xml:space="preserve"> </w:t>
      </w:r>
      <w:r>
        <w:rPr>
          <w:rFonts w:asciiTheme="minorHAnsi" w:hAnsiTheme="minorHAnsi" w:cstheme="minorHAnsi"/>
          <w:lang w:val="sr-Cyrl-CS"/>
        </w:rPr>
        <w:t>Будући да је укупан број становника између наведена два пописа смањен 7,9%, забиљежено је смањење броја становника урбаног подручја од 5,6%, а смањење становника руралног подручја од 14,5%, у односу на 1991. годину. У етничкој структури становништва забиљежене су највеће промјене. У старосној структури, број становника старијих од 65 година повећан је у 2013. години (52,3%), у односу на 1991. годину</w:t>
      </w:r>
      <w:r>
        <w:rPr>
          <w:rFonts w:asciiTheme="minorHAnsi" w:hAnsiTheme="minorHAnsi" w:cstheme="minorHAnsi"/>
          <w:lang w:val="sr-Latn-CS"/>
        </w:rPr>
        <w:t>,</w:t>
      </w:r>
      <w:r>
        <w:rPr>
          <w:rFonts w:asciiTheme="minorHAnsi" w:hAnsiTheme="minorHAnsi" w:cstheme="minorHAnsi"/>
          <w:lang w:val="sr-Cyrl-CS"/>
        </w:rPr>
        <w:t xml:space="preserve"> број становника млађих од 14 година је смањен (35,8%), а популација животне доби између 15 и 65 година (радни контингент) у 2013. години смањена је за 7,4%, у односу на 1991. годину. </w:t>
      </w:r>
    </w:p>
    <w:p>
      <w:pPr>
        <w:ind w:firstLine="720"/>
        <w:jc w:val="both"/>
        <w:rPr>
          <w:rFonts w:ascii="Times New Roman" w:hAnsi="Times New Roman"/>
          <w:sz w:val="24"/>
          <w:szCs w:val="24"/>
          <w:lang w:val="sr-Cyrl-CS"/>
        </w:rPr>
      </w:pPr>
    </w:p>
    <w:p>
      <w:pPr>
        <w:jc w:val="both"/>
        <w:rPr>
          <w:rFonts w:asciiTheme="minorHAnsi" w:hAnsiTheme="minorHAnsi" w:cstheme="minorHAnsi"/>
          <w:lang w:val="sr-Cyrl-CS"/>
        </w:rPr>
      </w:pPr>
      <w:r>
        <w:rPr>
          <w:rFonts w:asciiTheme="minorHAnsi" w:hAnsiTheme="minorHAnsi" w:cstheme="minorHAnsi"/>
          <w:lang w:val="sr-Cyrl-CS"/>
        </w:rPr>
        <w:t>У периоду од 2012. до 2016. године укупан број становника Републике Српске забиљежио је просјечно смањење од 2,7%, док је на подручју града Бања Луке укупан број становника у посматраном петогодишњем периоду просјечно повећан 4,1%, како је то представљено у сљедећој табели. При том је исказано уједначено учешће броја становника града Бања Луке у укупном броју становника Републике Ср</w:t>
      </w:r>
      <w:r>
        <w:rPr>
          <w:rFonts w:asciiTheme="minorHAnsi" w:hAnsiTheme="minorHAnsi" w:cstheme="minorHAnsi"/>
          <w:lang w:val="sr-Cyrl-RS"/>
        </w:rPr>
        <w:t>п</w:t>
      </w:r>
      <w:r>
        <w:rPr>
          <w:rFonts w:asciiTheme="minorHAnsi" w:hAnsiTheme="minorHAnsi" w:cstheme="minorHAnsi"/>
          <w:lang w:val="sr-Cyrl-CS"/>
        </w:rPr>
        <w:t xml:space="preserve">ске и креће се од 15,3% у 2012. години до 15,8% у 2016. години, што је приказано у сљедећој табели: </w:t>
      </w:r>
    </w:p>
    <w:p>
      <w:pPr>
        <w:jc w:val="both"/>
        <w:rPr>
          <w:rFonts w:asciiTheme="minorHAnsi" w:hAnsiTheme="minorHAnsi" w:cstheme="minorHAnsi"/>
          <w:lang w:val="sr-Cyrl-CS"/>
        </w:rPr>
      </w:pPr>
    </w:p>
    <w:tbl>
      <w:tblPr>
        <w:tblStyle w:val="37"/>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513"/>
        <w:gridCol w:w="1262"/>
        <w:gridCol w:w="1860"/>
        <w:gridCol w:w="1448"/>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4" w:type="dxa"/>
            <w:vMerge w:val="restart"/>
            <w:shd w:val="clear" w:color="auto" w:fill="C5E0B3" w:themeFill="accent6" w:themeFillTint="66"/>
            <w:vAlign w:val="center"/>
          </w:tcPr>
          <w:p>
            <w:pPr>
              <w:jc w:val="center"/>
              <w:rPr>
                <w:rFonts w:asciiTheme="minorHAnsi" w:hAnsiTheme="minorHAnsi" w:cstheme="minorHAnsi"/>
                <w:b/>
                <w:lang w:val="sr-Cyrl-CS"/>
              </w:rPr>
            </w:pPr>
            <w:r>
              <w:rPr>
                <w:rFonts w:asciiTheme="minorHAnsi" w:hAnsiTheme="minorHAnsi" w:cstheme="minorHAnsi"/>
                <w:b/>
                <w:lang w:val="sr-Cyrl-CS"/>
              </w:rPr>
              <w:t>Година</w:t>
            </w:r>
          </w:p>
        </w:tc>
        <w:tc>
          <w:tcPr>
            <w:tcW w:w="6083" w:type="dxa"/>
            <w:gridSpan w:val="4"/>
            <w:shd w:val="clear" w:color="auto" w:fill="C5E0B3" w:themeFill="accent6" w:themeFillTint="66"/>
          </w:tcPr>
          <w:p>
            <w:pPr>
              <w:jc w:val="center"/>
              <w:rPr>
                <w:rFonts w:asciiTheme="minorHAnsi" w:hAnsiTheme="minorHAnsi" w:cstheme="minorHAnsi"/>
                <w:b/>
                <w:lang w:val="sr-Cyrl-CS"/>
              </w:rPr>
            </w:pPr>
            <w:r>
              <w:rPr>
                <w:rFonts w:asciiTheme="minorHAnsi" w:hAnsiTheme="minorHAnsi" w:cstheme="minorHAnsi"/>
                <w:b/>
                <w:lang w:val="sr-Cyrl-CS"/>
              </w:rPr>
              <w:t>Број становника</w:t>
            </w:r>
          </w:p>
        </w:tc>
        <w:tc>
          <w:tcPr>
            <w:tcW w:w="1929" w:type="dxa"/>
            <w:vMerge w:val="restart"/>
            <w:shd w:val="clear" w:color="auto" w:fill="C5E0B3" w:themeFill="accent6" w:themeFillTint="66"/>
            <w:vAlign w:val="center"/>
          </w:tcPr>
          <w:p>
            <w:pPr>
              <w:jc w:val="center"/>
              <w:rPr>
                <w:rFonts w:asciiTheme="minorHAnsi" w:hAnsiTheme="minorHAnsi" w:cstheme="minorHAnsi"/>
                <w:b/>
                <w:lang w:val="sr-Cyrl-CS"/>
              </w:rPr>
            </w:pPr>
            <w:r>
              <w:rPr>
                <w:rFonts w:asciiTheme="minorHAnsi" w:hAnsiTheme="minorHAnsi" w:cstheme="minorHAnsi"/>
                <w:b/>
                <w:lang w:val="sr-Cyrl-CS"/>
              </w:rPr>
              <w:t>Учешће у РС 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4" w:type="dxa"/>
            <w:vMerge w:val="continue"/>
            <w:shd w:val="clear" w:color="auto" w:fill="C5E0B3" w:themeFill="accent6" w:themeFillTint="66"/>
          </w:tcPr>
          <w:p>
            <w:pPr>
              <w:rPr>
                <w:rFonts w:asciiTheme="minorHAnsi" w:hAnsiTheme="minorHAnsi" w:cstheme="minorHAnsi"/>
                <w:b/>
                <w:lang w:val="sr-Cyrl-CS"/>
              </w:rPr>
            </w:pPr>
          </w:p>
        </w:tc>
        <w:tc>
          <w:tcPr>
            <w:tcW w:w="1513" w:type="dxa"/>
            <w:shd w:val="clear" w:color="auto" w:fill="E2EFD9" w:themeFill="accent6" w:themeFillTint="33"/>
          </w:tcPr>
          <w:p>
            <w:pPr>
              <w:jc w:val="center"/>
              <w:rPr>
                <w:rFonts w:asciiTheme="minorHAnsi" w:hAnsiTheme="minorHAnsi" w:cstheme="minorHAnsi"/>
                <w:b/>
                <w:lang w:val="sr-Cyrl-CS"/>
              </w:rPr>
            </w:pPr>
            <w:r>
              <w:rPr>
                <w:rFonts w:asciiTheme="minorHAnsi" w:hAnsiTheme="minorHAnsi" w:cstheme="minorHAnsi"/>
                <w:b/>
                <w:lang w:val="sr-Cyrl-CS"/>
              </w:rPr>
              <w:t>Република Српска</w:t>
            </w:r>
          </w:p>
        </w:tc>
        <w:tc>
          <w:tcPr>
            <w:tcW w:w="1262" w:type="dxa"/>
            <w:shd w:val="clear" w:color="auto" w:fill="E2EFD9" w:themeFill="accent6" w:themeFillTint="33"/>
          </w:tcPr>
          <w:p>
            <w:pPr>
              <w:jc w:val="center"/>
              <w:rPr>
                <w:rFonts w:asciiTheme="minorHAnsi" w:hAnsiTheme="minorHAnsi" w:cstheme="minorHAnsi"/>
                <w:b/>
                <w:lang w:val="sr-Cyrl-CS"/>
              </w:rPr>
            </w:pPr>
            <w:r>
              <w:rPr>
                <w:rFonts w:asciiTheme="minorHAnsi" w:hAnsiTheme="minorHAnsi" w:cstheme="minorHAnsi"/>
                <w:b/>
                <w:lang w:val="sr-Cyrl-CS"/>
              </w:rPr>
              <w:t>Ланчани индекс</w:t>
            </w:r>
          </w:p>
        </w:tc>
        <w:tc>
          <w:tcPr>
            <w:tcW w:w="1860" w:type="dxa"/>
            <w:shd w:val="clear" w:color="auto" w:fill="E2EFD9" w:themeFill="accent6" w:themeFillTint="33"/>
            <w:vAlign w:val="center"/>
          </w:tcPr>
          <w:p>
            <w:pPr>
              <w:jc w:val="center"/>
              <w:rPr>
                <w:rFonts w:asciiTheme="minorHAnsi" w:hAnsiTheme="minorHAnsi" w:cstheme="minorHAnsi"/>
                <w:b/>
                <w:lang w:val="sr-Cyrl-CS"/>
              </w:rPr>
            </w:pPr>
            <w:r>
              <w:rPr>
                <w:rFonts w:asciiTheme="minorHAnsi" w:hAnsiTheme="minorHAnsi" w:cstheme="minorHAnsi"/>
                <w:b/>
                <w:lang w:val="sr-Cyrl-CS"/>
              </w:rPr>
              <w:t>Бања</w:t>
            </w:r>
            <w:r>
              <w:rPr>
                <w:rFonts w:asciiTheme="minorHAnsi" w:hAnsiTheme="minorHAnsi" w:cstheme="minorHAnsi"/>
                <w:b/>
                <w:lang w:val="en-US"/>
              </w:rPr>
              <w:t xml:space="preserve"> L</w:t>
            </w:r>
            <w:r>
              <w:rPr>
                <w:rFonts w:asciiTheme="minorHAnsi" w:hAnsiTheme="minorHAnsi" w:cstheme="minorHAnsi"/>
                <w:b/>
                <w:lang w:val="sr-Cyrl-CS"/>
              </w:rPr>
              <w:t>ука</w:t>
            </w:r>
          </w:p>
        </w:tc>
        <w:tc>
          <w:tcPr>
            <w:tcW w:w="1448" w:type="dxa"/>
            <w:shd w:val="clear" w:color="auto" w:fill="E2EFD9" w:themeFill="accent6" w:themeFillTint="33"/>
          </w:tcPr>
          <w:p>
            <w:pPr>
              <w:jc w:val="center"/>
              <w:rPr>
                <w:rFonts w:asciiTheme="minorHAnsi" w:hAnsiTheme="minorHAnsi" w:cstheme="minorHAnsi"/>
                <w:b/>
                <w:lang w:val="sr-Cyrl-CS"/>
              </w:rPr>
            </w:pPr>
            <w:r>
              <w:rPr>
                <w:rFonts w:asciiTheme="minorHAnsi" w:hAnsiTheme="minorHAnsi" w:cstheme="minorHAnsi"/>
                <w:b/>
                <w:lang w:val="sr-Cyrl-CS"/>
              </w:rPr>
              <w:t>Ланчани индекс</w:t>
            </w:r>
          </w:p>
        </w:tc>
        <w:tc>
          <w:tcPr>
            <w:tcW w:w="1929" w:type="dxa"/>
            <w:vMerge w:val="continue"/>
            <w:shd w:val="clear" w:color="auto" w:fill="C5E0B3" w:themeFill="accent6" w:themeFillTint="66"/>
          </w:tcPr>
          <w:p>
            <w:pPr>
              <w:jc w:val="center"/>
              <w:rPr>
                <w:rFonts w:asciiTheme="minorHAnsi" w:hAnsiTheme="minorHAnsi" w:cstheme="minorHAnsi"/>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4" w:type="dxa"/>
          </w:tcPr>
          <w:p>
            <w:pPr>
              <w:jc w:val="center"/>
              <w:rPr>
                <w:rFonts w:asciiTheme="minorHAnsi" w:hAnsiTheme="minorHAnsi" w:cstheme="minorHAnsi"/>
                <w:lang w:val="sr-Cyrl-CS"/>
              </w:rPr>
            </w:pPr>
            <w:r>
              <w:rPr>
                <w:rFonts w:asciiTheme="minorHAnsi" w:hAnsiTheme="minorHAnsi" w:cstheme="minorHAnsi"/>
                <w:lang w:val="sr-Cyrl-CS"/>
              </w:rPr>
              <w:t>2012</w:t>
            </w:r>
          </w:p>
        </w:tc>
        <w:tc>
          <w:tcPr>
            <w:tcW w:w="1513" w:type="dxa"/>
          </w:tcPr>
          <w:p>
            <w:pPr>
              <w:jc w:val="right"/>
              <w:rPr>
                <w:rFonts w:asciiTheme="minorHAnsi" w:hAnsiTheme="minorHAnsi" w:cstheme="minorHAnsi"/>
                <w:lang w:val="sr-Cyrl-CS"/>
              </w:rPr>
            </w:pPr>
            <w:r>
              <w:rPr>
                <w:rFonts w:asciiTheme="minorHAnsi" w:hAnsiTheme="minorHAnsi" w:cstheme="minorHAnsi"/>
                <w:lang w:val="sr-Cyrl-CS"/>
              </w:rPr>
              <w:t>1.173.131</w:t>
            </w:r>
          </w:p>
        </w:tc>
        <w:tc>
          <w:tcPr>
            <w:tcW w:w="1262" w:type="dxa"/>
          </w:tcPr>
          <w:p>
            <w:pPr>
              <w:jc w:val="right"/>
              <w:rPr>
                <w:rFonts w:asciiTheme="minorHAnsi" w:hAnsiTheme="minorHAnsi" w:cstheme="minorHAnsi"/>
                <w:lang w:val="sr-Cyrl-CS"/>
              </w:rPr>
            </w:pPr>
            <w:r>
              <w:rPr>
                <w:rFonts w:asciiTheme="minorHAnsi" w:hAnsiTheme="minorHAnsi" w:cstheme="minorHAnsi"/>
                <w:lang w:val="sr-Cyrl-CS"/>
              </w:rPr>
              <w:t>82,1</w:t>
            </w:r>
          </w:p>
        </w:tc>
        <w:tc>
          <w:tcPr>
            <w:tcW w:w="1860" w:type="dxa"/>
          </w:tcPr>
          <w:p>
            <w:pPr>
              <w:jc w:val="right"/>
              <w:rPr>
                <w:rFonts w:asciiTheme="minorHAnsi" w:hAnsiTheme="minorHAnsi" w:cstheme="minorHAnsi"/>
                <w:lang w:val="sr-Cyrl-CS"/>
              </w:rPr>
            </w:pPr>
            <w:r>
              <w:rPr>
                <w:rFonts w:asciiTheme="minorHAnsi" w:hAnsiTheme="minorHAnsi" w:cstheme="minorHAnsi"/>
                <w:lang w:val="sr-Cyrl-CS"/>
              </w:rPr>
              <w:t>179.174</w:t>
            </w:r>
          </w:p>
        </w:tc>
        <w:tc>
          <w:tcPr>
            <w:tcW w:w="1448" w:type="dxa"/>
          </w:tcPr>
          <w:p>
            <w:pPr>
              <w:jc w:val="right"/>
              <w:rPr>
                <w:rFonts w:asciiTheme="minorHAnsi" w:hAnsiTheme="minorHAnsi" w:cstheme="minorHAnsi"/>
                <w:lang w:val="sr-Cyrl-CS"/>
              </w:rPr>
            </w:pPr>
            <w:r>
              <w:rPr>
                <w:rFonts w:asciiTheme="minorHAnsi" w:hAnsiTheme="minorHAnsi" w:cstheme="minorHAnsi"/>
                <w:lang w:val="sr-Cyrl-CS"/>
              </w:rPr>
              <w:t>100,6</w:t>
            </w:r>
          </w:p>
        </w:tc>
        <w:tc>
          <w:tcPr>
            <w:tcW w:w="1929"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4" w:type="dxa"/>
          </w:tcPr>
          <w:p>
            <w:pPr>
              <w:jc w:val="center"/>
              <w:rPr>
                <w:rFonts w:asciiTheme="minorHAnsi" w:hAnsiTheme="minorHAnsi" w:cstheme="minorHAnsi"/>
                <w:lang w:val="sr-Cyrl-CS"/>
              </w:rPr>
            </w:pPr>
            <w:r>
              <w:rPr>
                <w:rFonts w:asciiTheme="minorHAnsi" w:hAnsiTheme="minorHAnsi" w:cstheme="minorHAnsi"/>
                <w:lang w:val="sr-Cyrl-CS"/>
              </w:rPr>
              <w:t>2013</w:t>
            </w:r>
          </w:p>
        </w:tc>
        <w:tc>
          <w:tcPr>
            <w:tcW w:w="1513" w:type="dxa"/>
          </w:tcPr>
          <w:p>
            <w:pPr>
              <w:jc w:val="right"/>
              <w:rPr>
                <w:rFonts w:asciiTheme="minorHAnsi" w:hAnsiTheme="minorHAnsi" w:cstheme="minorHAnsi"/>
                <w:lang w:val="sr-Cyrl-CS"/>
              </w:rPr>
            </w:pPr>
            <w:r>
              <w:rPr>
                <w:rFonts w:asciiTheme="minorHAnsi" w:hAnsiTheme="minorHAnsi" w:cstheme="minorHAnsi"/>
                <w:lang w:val="sr-Cyrl-CS"/>
              </w:rPr>
              <w:t>1.171.179</w:t>
            </w:r>
          </w:p>
        </w:tc>
        <w:tc>
          <w:tcPr>
            <w:tcW w:w="1262" w:type="dxa"/>
          </w:tcPr>
          <w:p>
            <w:pPr>
              <w:jc w:val="right"/>
              <w:rPr>
                <w:rFonts w:asciiTheme="minorHAnsi" w:hAnsiTheme="minorHAnsi" w:cstheme="minorHAnsi"/>
                <w:lang w:val="sr-Cyrl-CS"/>
              </w:rPr>
            </w:pPr>
            <w:r>
              <w:rPr>
                <w:rFonts w:asciiTheme="minorHAnsi" w:hAnsiTheme="minorHAnsi" w:cstheme="minorHAnsi"/>
                <w:lang w:val="sr-Cyrl-CS"/>
              </w:rPr>
              <w:t>81,9</w:t>
            </w:r>
          </w:p>
        </w:tc>
        <w:tc>
          <w:tcPr>
            <w:tcW w:w="1860" w:type="dxa"/>
          </w:tcPr>
          <w:p>
            <w:pPr>
              <w:jc w:val="right"/>
              <w:rPr>
                <w:rFonts w:asciiTheme="minorHAnsi" w:hAnsiTheme="minorHAnsi" w:cstheme="minorHAnsi"/>
                <w:lang w:val="sr-Cyrl-CS"/>
              </w:rPr>
            </w:pPr>
            <w:r>
              <w:rPr>
                <w:rFonts w:asciiTheme="minorHAnsi" w:hAnsiTheme="minorHAnsi" w:cstheme="minorHAnsi"/>
                <w:lang w:val="sr-Cyrl-CS"/>
              </w:rPr>
              <w:t>180.056</w:t>
            </w:r>
          </w:p>
        </w:tc>
        <w:tc>
          <w:tcPr>
            <w:tcW w:w="1448" w:type="dxa"/>
          </w:tcPr>
          <w:p>
            <w:pPr>
              <w:jc w:val="right"/>
              <w:rPr>
                <w:rFonts w:asciiTheme="minorHAnsi" w:hAnsiTheme="minorHAnsi" w:cstheme="minorHAnsi"/>
                <w:lang w:val="sr-Cyrl-CS"/>
              </w:rPr>
            </w:pPr>
            <w:r>
              <w:rPr>
                <w:rFonts w:asciiTheme="minorHAnsi" w:hAnsiTheme="minorHAnsi" w:cstheme="minorHAnsi"/>
                <w:lang w:val="sr-Cyrl-CS"/>
              </w:rPr>
              <w:t>101,1</w:t>
            </w:r>
          </w:p>
        </w:tc>
        <w:tc>
          <w:tcPr>
            <w:tcW w:w="1929"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4" w:type="dxa"/>
          </w:tcPr>
          <w:p>
            <w:pPr>
              <w:jc w:val="center"/>
              <w:rPr>
                <w:rFonts w:asciiTheme="minorHAnsi" w:hAnsiTheme="minorHAnsi" w:cstheme="minorHAnsi"/>
                <w:lang w:val="sr-Cyrl-CS"/>
              </w:rPr>
            </w:pPr>
            <w:r>
              <w:rPr>
                <w:rFonts w:asciiTheme="minorHAnsi" w:hAnsiTheme="minorHAnsi" w:cstheme="minorHAnsi"/>
                <w:lang w:val="sr-Cyrl-CS"/>
              </w:rPr>
              <w:t>2014</w:t>
            </w:r>
          </w:p>
        </w:tc>
        <w:tc>
          <w:tcPr>
            <w:tcW w:w="1513" w:type="dxa"/>
          </w:tcPr>
          <w:p>
            <w:pPr>
              <w:jc w:val="right"/>
              <w:rPr>
                <w:rFonts w:asciiTheme="minorHAnsi" w:hAnsiTheme="minorHAnsi" w:cstheme="minorHAnsi"/>
                <w:lang w:val="sr-Cyrl-CS"/>
              </w:rPr>
            </w:pPr>
            <w:r>
              <w:rPr>
                <w:rFonts w:asciiTheme="minorHAnsi" w:hAnsiTheme="minorHAnsi" w:cstheme="minorHAnsi"/>
                <w:lang w:val="sr-Cyrl-CS"/>
              </w:rPr>
              <w:t>1.167.082</w:t>
            </w:r>
          </w:p>
        </w:tc>
        <w:tc>
          <w:tcPr>
            <w:tcW w:w="1262" w:type="dxa"/>
          </w:tcPr>
          <w:p>
            <w:pPr>
              <w:jc w:val="right"/>
              <w:rPr>
                <w:rFonts w:asciiTheme="minorHAnsi" w:hAnsiTheme="minorHAnsi" w:cstheme="minorHAnsi"/>
                <w:lang w:val="sr-Cyrl-CS"/>
              </w:rPr>
            </w:pPr>
            <w:r>
              <w:rPr>
                <w:rFonts w:asciiTheme="minorHAnsi" w:hAnsiTheme="minorHAnsi" w:cstheme="minorHAnsi"/>
                <w:lang w:val="sr-Cyrl-CS"/>
              </w:rPr>
              <w:t>81,6</w:t>
            </w:r>
          </w:p>
        </w:tc>
        <w:tc>
          <w:tcPr>
            <w:tcW w:w="1860" w:type="dxa"/>
          </w:tcPr>
          <w:p>
            <w:pPr>
              <w:jc w:val="right"/>
              <w:rPr>
                <w:rFonts w:asciiTheme="minorHAnsi" w:hAnsiTheme="minorHAnsi" w:cstheme="minorHAnsi"/>
                <w:lang w:val="sr-Cyrl-CS"/>
              </w:rPr>
            </w:pPr>
            <w:r>
              <w:rPr>
                <w:rFonts w:asciiTheme="minorHAnsi" w:hAnsiTheme="minorHAnsi" w:cstheme="minorHAnsi"/>
                <w:lang w:val="sr-Cyrl-CS"/>
              </w:rPr>
              <w:t>180.961</w:t>
            </w:r>
          </w:p>
        </w:tc>
        <w:tc>
          <w:tcPr>
            <w:tcW w:w="1448" w:type="dxa"/>
          </w:tcPr>
          <w:p>
            <w:pPr>
              <w:jc w:val="right"/>
              <w:rPr>
                <w:rFonts w:asciiTheme="minorHAnsi" w:hAnsiTheme="minorHAnsi" w:cstheme="minorHAnsi"/>
                <w:lang w:val="sr-Cyrl-CS"/>
              </w:rPr>
            </w:pPr>
            <w:r>
              <w:rPr>
                <w:rFonts w:asciiTheme="minorHAnsi" w:hAnsiTheme="minorHAnsi" w:cstheme="minorHAnsi"/>
                <w:lang w:val="sr-Cyrl-CS"/>
              </w:rPr>
              <w:t>101,6</w:t>
            </w:r>
          </w:p>
        </w:tc>
        <w:tc>
          <w:tcPr>
            <w:tcW w:w="1929"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4" w:type="dxa"/>
          </w:tcPr>
          <w:p>
            <w:pPr>
              <w:jc w:val="center"/>
              <w:rPr>
                <w:rFonts w:asciiTheme="minorHAnsi" w:hAnsiTheme="minorHAnsi" w:cstheme="minorHAnsi"/>
                <w:lang w:val="sr-Cyrl-CS"/>
              </w:rPr>
            </w:pPr>
            <w:r>
              <w:rPr>
                <w:rFonts w:asciiTheme="minorHAnsi" w:hAnsiTheme="minorHAnsi" w:cstheme="minorHAnsi"/>
                <w:lang w:val="sr-Cyrl-CS"/>
              </w:rPr>
              <w:t>2015</w:t>
            </w:r>
          </w:p>
        </w:tc>
        <w:tc>
          <w:tcPr>
            <w:tcW w:w="1513" w:type="dxa"/>
          </w:tcPr>
          <w:p>
            <w:pPr>
              <w:jc w:val="right"/>
              <w:rPr>
                <w:rFonts w:asciiTheme="minorHAnsi" w:hAnsiTheme="minorHAnsi" w:cstheme="minorHAnsi"/>
                <w:lang w:val="sr-Cyrl-CS"/>
              </w:rPr>
            </w:pPr>
            <w:r>
              <w:rPr>
                <w:rFonts w:asciiTheme="minorHAnsi" w:hAnsiTheme="minorHAnsi" w:cstheme="minorHAnsi"/>
                <w:lang w:val="sr-Cyrl-CS"/>
              </w:rPr>
              <w:t>1.162.164</w:t>
            </w:r>
          </w:p>
        </w:tc>
        <w:tc>
          <w:tcPr>
            <w:tcW w:w="1262" w:type="dxa"/>
          </w:tcPr>
          <w:p>
            <w:pPr>
              <w:jc w:val="right"/>
              <w:rPr>
                <w:rFonts w:asciiTheme="minorHAnsi" w:hAnsiTheme="minorHAnsi" w:cstheme="minorHAnsi"/>
                <w:lang w:val="sr-Cyrl-CS"/>
              </w:rPr>
            </w:pPr>
            <w:r>
              <w:rPr>
                <w:rFonts w:asciiTheme="minorHAnsi" w:hAnsiTheme="minorHAnsi" w:cstheme="minorHAnsi"/>
                <w:lang w:val="sr-Cyrl-CS"/>
              </w:rPr>
              <w:t>81,3</w:t>
            </w:r>
          </w:p>
        </w:tc>
        <w:tc>
          <w:tcPr>
            <w:tcW w:w="1860" w:type="dxa"/>
          </w:tcPr>
          <w:p>
            <w:pPr>
              <w:jc w:val="right"/>
              <w:rPr>
                <w:rFonts w:asciiTheme="minorHAnsi" w:hAnsiTheme="minorHAnsi" w:cstheme="minorHAnsi"/>
                <w:lang w:val="sr-Cyrl-CS"/>
              </w:rPr>
            </w:pPr>
            <w:r>
              <w:rPr>
                <w:rFonts w:asciiTheme="minorHAnsi" w:hAnsiTheme="minorHAnsi" w:cstheme="minorHAnsi"/>
                <w:lang w:val="sr-Cyrl-CS"/>
              </w:rPr>
              <w:t>181.956</w:t>
            </w:r>
          </w:p>
        </w:tc>
        <w:tc>
          <w:tcPr>
            <w:tcW w:w="1448" w:type="dxa"/>
          </w:tcPr>
          <w:p>
            <w:pPr>
              <w:jc w:val="right"/>
              <w:rPr>
                <w:rFonts w:asciiTheme="minorHAnsi" w:hAnsiTheme="minorHAnsi" w:cstheme="minorHAnsi"/>
                <w:lang w:val="sr-Cyrl-CS"/>
              </w:rPr>
            </w:pPr>
            <w:r>
              <w:rPr>
                <w:rFonts w:asciiTheme="minorHAnsi" w:hAnsiTheme="minorHAnsi" w:cstheme="minorHAnsi"/>
                <w:lang w:val="sr-Cyrl-CS"/>
              </w:rPr>
              <w:t>102,1</w:t>
            </w:r>
          </w:p>
        </w:tc>
        <w:tc>
          <w:tcPr>
            <w:tcW w:w="1929"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4" w:type="dxa"/>
          </w:tcPr>
          <w:p>
            <w:pPr>
              <w:jc w:val="center"/>
              <w:rPr>
                <w:rFonts w:asciiTheme="minorHAnsi" w:hAnsiTheme="minorHAnsi" w:cstheme="minorHAnsi"/>
                <w:lang w:val="sr-Cyrl-CS"/>
              </w:rPr>
            </w:pPr>
            <w:r>
              <w:rPr>
                <w:rFonts w:asciiTheme="minorHAnsi" w:hAnsiTheme="minorHAnsi" w:cstheme="minorHAnsi"/>
                <w:lang w:val="sr-Cyrl-CS"/>
              </w:rPr>
              <w:t>2016</w:t>
            </w:r>
          </w:p>
        </w:tc>
        <w:tc>
          <w:tcPr>
            <w:tcW w:w="1513" w:type="dxa"/>
          </w:tcPr>
          <w:p>
            <w:pPr>
              <w:jc w:val="right"/>
              <w:rPr>
                <w:rFonts w:asciiTheme="minorHAnsi" w:hAnsiTheme="minorHAnsi" w:cstheme="minorHAnsi"/>
                <w:lang w:val="sr-Cyrl-CS"/>
              </w:rPr>
            </w:pPr>
            <w:r>
              <w:rPr>
                <w:rFonts w:asciiTheme="minorHAnsi" w:hAnsiTheme="minorHAnsi" w:cstheme="minorHAnsi"/>
                <w:lang w:val="sr-Cyrl-CS"/>
              </w:rPr>
              <w:t>1.157.516</w:t>
            </w:r>
          </w:p>
        </w:tc>
        <w:tc>
          <w:tcPr>
            <w:tcW w:w="1262" w:type="dxa"/>
          </w:tcPr>
          <w:p>
            <w:pPr>
              <w:jc w:val="right"/>
              <w:rPr>
                <w:rFonts w:asciiTheme="minorHAnsi" w:hAnsiTheme="minorHAnsi" w:cstheme="minorHAnsi"/>
                <w:lang w:val="sr-Cyrl-CS"/>
              </w:rPr>
            </w:pPr>
            <w:r>
              <w:rPr>
                <w:rFonts w:asciiTheme="minorHAnsi" w:hAnsiTheme="minorHAnsi" w:cstheme="minorHAnsi"/>
                <w:lang w:val="sr-Cyrl-CS"/>
              </w:rPr>
              <w:t>81,0</w:t>
            </w:r>
          </w:p>
        </w:tc>
        <w:tc>
          <w:tcPr>
            <w:tcW w:w="1860" w:type="dxa"/>
          </w:tcPr>
          <w:p>
            <w:pPr>
              <w:jc w:val="right"/>
              <w:rPr>
                <w:rFonts w:asciiTheme="minorHAnsi" w:hAnsiTheme="minorHAnsi" w:cstheme="minorHAnsi"/>
                <w:lang w:val="sr-Cyrl-CS"/>
              </w:rPr>
            </w:pPr>
            <w:r>
              <w:rPr>
                <w:rFonts w:asciiTheme="minorHAnsi" w:hAnsiTheme="minorHAnsi" w:cstheme="minorHAnsi"/>
                <w:lang w:val="sr-Cyrl-CS"/>
              </w:rPr>
              <w:t>182.848</w:t>
            </w:r>
          </w:p>
        </w:tc>
        <w:tc>
          <w:tcPr>
            <w:tcW w:w="1448" w:type="dxa"/>
          </w:tcPr>
          <w:p>
            <w:pPr>
              <w:jc w:val="right"/>
              <w:rPr>
                <w:rFonts w:asciiTheme="minorHAnsi" w:hAnsiTheme="minorHAnsi" w:cstheme="minorHAnsi"/>
                <w:lang w:val="sr-Cyrl-CS"/>
              </w:rPr>
            </w:pPr>
            <w:r>
              <w:rPr>
                <w:rFonts w:asciiTheme="minorHAnsi" w:hAnsiTheme="minorHAnsi" w:cstheme="minorHAnsi"/>
                <w:lang w:val="sr-Cyrl-CS"/>
              </w:rPr>
              <w:t>102,6</w:t>
            </w:r>
          </w:p>
        </w:tc>
        <w:tc>
          <w:tcPr>
            <w:tcW w:w="1929"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564" w:type="dxa"/>
          </w:tcPr>
          <w:p>
            <w:pPr>
              <w:jc w:val="center"/>
              <w:rPr>
                <w:rFonts w:asciiTheme="minorHAnsi" w:hAnsiTheme="minorHAnsi" w:cstheme="minorHAnsi"/>
                <w:lang w:val="sr-Cyrl-CS"/>
              </w:rPr>
            </w:pPr>
            <w:r>
              <w:rPr>
                <w:rFonts w:asciiTheme="minorHAnsi" w:hAnsiTheme="minorHAnsi" w:cstheme="minorHAnsi"/>
                <w:lang w:val="sr-Cyrl-CS"/>
              </w:rPr>
              <w:t>Геометријска стопа раста</w:t>
            </w:r>
          </w:p>
          <w:p>
            <w:pPr>
              <w:jc w:val="center"/>
              <w:rPr>
                <w:rFonts w:asciiTheme="minorHAnsi" w:hAnsiTheme="minorHAnsi" w:cstheme="minorHAnsi"/>
                <w:lang w:val="sr-Cyrl-CS"/>
              </w:rPr>
            </w:pPr>
            <w:r>
              <w:rPr>
                <w:rFonts w:asciiTheme="minorHAnsi" w:hAnsiTheme="minorHAnsi" w:cstheme="minorHAnsi"/>
                <w:lang w:val="sr-Cyrl-CS"/>
              </w:rPr>
              <w:t>(2012-2016)</w:t>
            </w:r>
          </w:p>
        </w:tc>
        <w:tc>
          <w:tcPr>
            <w:tcW w:w="1513" w:type="dxa"/>
          </w:tcPr>
          <w:p>
            <w:pPr>
              <w:jc w:val="right"/>
              <w:rPr>
                <w:rFonts w:asciiTheme="minorHAnsi" w:hAnsiTheme="minorHAnsi" w:cstheme="minorHAnsi"/>
                <w:lang w:val="sr-Cyrl-CS"/>
              </w:rPr>
            </w:pPr>
          </w:p>
          <w:p>
            <w:pPr>
              <w:jc w:val="right"/>
              <w:rPr>
                <w:rFonts w:asciiTheme="minorHAnsi" w:hAnsiTheme="minorHAnsi" w:cstheme="minorHAnsi"/>
                <w:lang w:val="sr-Cyrl-CS"/>
              </w:rPr>
            </w:pPr>
            <w:r>
              <w:rPr>
                <w:rFonts w:asciiTheme="minorHAnsi" w:hAnsiTheme="minorHAnsi" w:cstheme="minorHAnsi"/>
                <w:lang w:val="sr-Cyrl-CS"/>
              </w:rPr>
              <w:t>-</w:t>
            </w:r>
          </w:p>
        </w:tc>
        <w:tc>
          <w:tcPr>
            <w:tcW w:w="1262" w:type="dxa"/>
          </w:tcPr>
          <w:p>
            <w:pPr>
              <w:jc w:val="right"/>
              <w:rPr>
                <w:rFonts w:asciiTheme="minorHAnsi" w:hAnsiTheme="minorHAnsi" w:cstheme="minorHAnsi"/>
                <w:lang w:val="sr-Cyrl-CS"/>
              </w:rPr>
            </w:pPr>
          </w:p>
          <w:p>
            <w:pPr>
              <w:jc w:val="right"/>
              <w:rPr>
                <w:rFonts w:asciiTheme="minorHAnsi" w:hAnsiTheme="minorHAnsi" w:cstheme="minorHAnsi"/>
                <w:lang w:val="sr-Cyrl-CS"/>
              </w:rPr>
            </w:pPr>
            <w:r>
              <w:rPr>
                <w:rFonts w:asciiTheme="minorHAnsi" w:hAnsiTheme="minorHAnsi" w:cstheme="minorHAnsi"/>
                <w:lang w:val="sr-Cyrl-CS"/>
              </w:rPr>
              <w:t>-2,7%</w:t>
            </w:r>
          </w:p>
          <w:p>
            <w:pPr>
              <w:jc w:val="center"/>
              <w:rPr>
                <w:rFonts w:asciiTheme="minorHAnsi" w:hAnsiTheme="minorHAnsi" w:cstheme="minorHAnsi"/>
                <w:lang w:val="sr-Cyrl-CS"/>
              </w:rPr>
            </w:pPr>
          </w:p>
        </w:tc>
        <w:tc>
          <w:tcPr>
            <w:tcW w:w="1860" w:type="dxa"/>
          </w:tcPr>
          <w:p>
            <w:pPr>
              <w:jc w:val="right"/>
              <w:rPr>
                <w:rFonts w:asciiTheme="minorHAnsi" w:hAnsiTheme="minorHAnsi" w:cstheme="minorHAnsi"/>
                <w:lang w:val="sr-Cyrl-CS"/>
              </w:rPr>
            </w:pPr>
          </w:p>
          <w:p>
            <w:pPr>
              <w:jc w:val="right"/>
              <w:rPr>
                <w:rFonts w:asciiTheme="minorHAnsi" w:hAnsiTheme="minorHAnsi" w:cstheme="minorHAnsi"/>
                <w:lang w:val="sr-Cyrl-CS"/>
              </w:rPr>
            </w:pPr>
            <w:r>
              <w:rPr>
                <w:rFonts w:asciiTheme="minorHAnsi" w:hAnsiTheme="minorHAnsi" w:cstheme="minorHAnsi"/>
                <w:lang w:val="sr-Cyrl-CS"/>
              </w:rPr>
              <w:t>-</w:t>
            </w:r>
          </w:p>
        </w:tc>
        <w:tc>
          <w:tcPr>
            <w:tcW w:w="1448" w:type="dxa"/>
          </w:tcPr>
          <w:p>
            <w:pPr>
              <w:jc w:val="right"/>
              <w:rPr>
                <w:rFonts w:asciiTheme="minorHAnsi" w:hAnsiTheme="minorHAnsi" w:cstheme="minorHAnsi"/>
                <w:lang w:val="sr-Cyrl-CS"/>
              </w:rPr>
            </w:pPr>
          </w:p>
          <w:p>
            <w:pPr>
              <w:jc w:val="right"/>
              <w:rPr>
                <w:rFonts w:asciiTheme="minorHAnsi" w:hAnsiTheme="minorHAnsi" w:cstheme="minorHAnsi"/>
                <w:lang w:val="sr-Cyrl-CS"/>
              </w:rPr>
            </w:pPr>
            <w:r>
              <w:rPr>
                <w:rFonts w:asciiTheme="minorHAnsi" w:hAnsiTheme="minorHAnsi" w:cstheme="minorHAnsi"/>
                <w:lang w:val="sr-Cyrl-CS"/>
              </w:rPr>
              <w:t>4,1%</w:t>
            </w:r>
          </w:p>
        </w:tc>
        <w:tc>
          <w:tcPr>
            <w:tcW w:w="1929" w:type="dxa"/>
            <w:vAlign w:val="center"/>
          </w:tcPr>
          <w:p>
            <w:pPr>
              <w:jc w:val="right"/>
              <w:rPr>
                <w:rFonts w:asciiTheme="minorHAnsi" w:hAnsiTheme="minorHAnsi" w:cstheme="minorHAnsi"/>
                <w:color w:val="000000"/>
                <w:lang w:val="sr-Cyrl-CS"/>
              </w:rPr>
            </w:pPr>
            <w:r>
              <w:rPr>
                <w:rFonts w:asciiTheme="minorHAnsi" w:hAnsiTheme="minorHAnsi" w:cstheme="minorHAnsi"/>
                <w:color w:val="000000"/>
                <w:lang w:val="sr-Cyrl-CS"/>
              </w:rPr>
              <w:t>-</w:t>
            </w:r>
          </w:p>
        </w:tc>
      </w:tr>
    </w:tbl>
    <w:p>
      <w:pPr>
        <w:jc w:val="both"/>
        <w:rPr>
          <w:rFonts w:asciiTheme="minorHAnsi" w:hAnsiTheme="minorHAnsi" w:cstheme="minorHAnsi"/>
          <w:sz w:val="18"/>
          <w:szCs w:val="18"/>
          <w:lang w:val="sr-Cyrl-CS"/>
        </w:rPr>
      </w:pPr>
      <w:r>
        <w:rPr>
          <w:rFonts w:asciiTheme="minorHAnsi" w:hAnsiTheme="minorHAnsi" w:cstheme="minorHAnsi"/>
          <w:sz w:val="18"/>
          <w:szCs w:val="18"/>
          <w:lang w:val="sr-Cyrl-CS"/>
        </w:rPr>
        <w:t>Извор: Републички завод за статистику</w:t>
      </w:r>
    </w:p>
    <w:p>
      <w:pPr>
        <w:rPr>
          <w:rFonts w:ascii="Times New Roman" w:hAnsi="Times New Roman"/>
          <w:lang w:val="sr-Latn-RS"/>
        </w:rPr>
      </w:pPr>
      <w:r>
        <w:rPr>
          <w:rFonts w:asciiTheme="minorHAnsi" w:hAnsiTheme="minorHAnsi" w:cstheme="minorHAnsi"/>
          <w:sz w:val="18"/>
          <w:szCs w:val="18"/>
          <w:lang w:val="sr-Cyrl-CS"/>
        </w:rPr>
        <w:t xml:space="preserve">Легенда: Геометријска стопа раста/пада становништва </w:t>
      </w:r>
      <w:r>
        <w:rPr>
          <w:rFonts w:ascii="Times New Roman" w:hAnsi="Times New Roman"/>
          <w:lang w:val="sr-Latn-RS"/>
        </w:rPr>
        <w:t>r =</w:t>
      </w:r>
      <m:oMath>
        <m:d>
          <m:dPr>
            <m:ctrlPr>
              <w:rPr>
                <w:rFonts w:ascii="Cambria Math" w:hAnsi="Cambria Math"/>
                <w:i/>
                <w:lang w:val="sr-Latn-CS"/>
              </w:rPr>
            </m:ctrlPr>
          </m:dPr>
          <m:e>
            <m:rad>
              <m:radPr>
                <m:ctrlPr>
                  <w:rPr>
                    <w:rFonts w:ascii="Cambria Math" w:hAnsi="Cambria Math"/>
                    <w:i/>
                    <w:lang w:val="sr-Latn-CS"/>
                  </w:rPr>
                </m:ctrlPr>
              </m:radPr>
              <m:deg>
                <m:r>
                  <w:rPr>
                    <w:rFonts w:ascii="Cambria Math" w:hAnsi="Cambria Math"/>
                    <w:lang w:val="sr-Latn-RS"/>
                  </w:rPr>
                  <m:t>n</m:t>
                </m:r>
                <m:ctrlPr>
                  <w:rPr>
                    <w:rFonts w:ascii="Cambria Math" w:hAnsi="Cambria Math"/>
                    <w:i/>
                    <w:lang w:val="sr-Latn-CS"/>
                  </w:rPr>
                </m:ctrlPr>
              </m:deg>
              <m:e>
                <m:f>
                  <m:fPr>
                    <m:ctrlPr>
                      <w:rPr>
                        <w:rFonts w:ascii="Cambria Math" w:hAnsi="Cambria Math"/>
                        <w:i/>
                        <w:lang w:val="sr-Latn-CS"/>
                      </w:rPr>
                    </m:ctrlPr>
                  </m:fPr>
                  <m:num>
                    <m:sSub>
                      <m:sSubPr>
                        <m:ctrlPr>
                          <w:rPr>
                            <w:rFonts w:ascii="Cambria Math" w:hAnsi="Cambria Math"/>
                            <w:i/>
                            <w:lang w:val="sr-Latn-CS"/>
                          </w:rPr>
                        </m:ctrlPr>
                      </m:sSubPr>
                      <m:e>
                        <m:r>
                          <w:rPr>
                            <w:rFonts w:ascii="Cambria Math" w:hAnsi="Cambria Math"/>
                            <w:lang w:val="sr-Latn-RS"/>
                          </w:rPr>
                          <m:t>P</m:t>
                        </m:r>
                        <m:ctrlPr>
                          <w:rPr>
                            <w:rFonts w:ascii="Cambria Math" w:hAnsi="Cambria Math"/>
                            <w:i/>
                            <w:lang w:val="sr-Latn-CS"/>
                          </w:rPr>
                        </m:ctrlPr>
                      </m:e>
                      <m:sub>
                        <m:r>
                          <w:rPr>
                            <w:rFonts w:ascii="Cambria Math" w:hAnsi="Cambria Math"/>
                            <w:lang w:val="sr-Latn-RS"/>
                          </w:rPr>
                          <m:t>n</m:t>
                        </m:r>
                        <m:ctrlPr>
                          <w:rPr>
                            <w:rFonts w:ascii="Cambria Math" w:hAnsi="Cambria Math"/>
                            <w:i/>
                            <w:lang w:val="sr-Latn-CS"/>
                          </w:rPr>
                        </m:ctrlPr>
                      </m:sub>
                    </m:sSub>
                    <m:ctrlPr>
                      <w:rPr>
                        <w:rFonts w:ascii="Cambria Math" w:hAnsi="Cambria Math"/>
                        <w:i/>
                        <w:lang w:val="sr-Latn-CS"/>
                      </w:rPr>
                    </m:ctrlPr>
                  </m:num>
                  <m:den>
                    <m:sSub>
                      <m:sSubPr>
                        <m:ctrlPr>
                          <w:rPr>
                            <w:rFonts w:ascii="Cambria Math" w:hAnsi="Cambria Math"/>
                            <w:i/>
                            <w:lang w:val="sr-Latn-CS"/>
                          </w:rPr>
                        </m:ctrlPr>
                      </m:sSubPr>
                      <m:e>
                        <m:r>
                          <w:rPr>
                            <w:rFonts w:ascii="Cambria Math" w:hAnsi="Cambria Math"/>
                            <w:lang w:val="sr-Latn-RS"/>
                          </w:rPr>
                          <m:t>P</m:t>
                        </m:r>
                        <m:ctrlPr>
                          <w:rPr>
                            <w:rFonts w:ascii="Cambria Math" w:hAnsi="Cambria Math"/>
                            <w:i/>
                            <w:lang w:val="sr-Latn-CS"/>
                          </w:rPr>
                        </m:ctrlPr>
                      </m:e>
                      <m:sub>
                        <m:r>
                          <w:rPr>
                            <w:rFonts w:ascii="Cambria Math" w:hAnsi="Cambria Math"/>
                            <w:lang w:val="sr-Latn-RS"/>
                          </w:rPr>
                          <m:t>0</m:t>
                        </m:r>
                        <m:ctrlPr>
                          <w:rPr>
                            <w:rFonts w:ascii="Cambria Math" w:hAnsi="Cambria Math"/>
                            <w:i/>
                            <w:lang w:val="sr-Latn-CS"/>
                          </w:rPr>
                        </m:ctrlPr>
                      </m:sub>
                    </m:sSub>
                    <m:ctrlPr>
                      <w:rPr>
                        <w:rFonts w:ascii="Cambria Math" w:hAnsi="Cambria Math"/>
                        <w:i/>
                        <w:lang w:val="sr-Latn-CS"/>
                      </w:rPr>
                    </m:ctrlPr>
                  </m:den>
                </m:f>
                <m:ctrlPr>
                  <w:rPr>
                    <w:rFonts w:ascii="Cambria Math" w:hAnsi="Cambria Math"/>
                    <w:i/>
                    <w:lang w:val="sr-Latn-CS"/>
                  </w:rPr>
                </m:ctrlPr>
              </m:e>
            </m:rad>
            <m:r>
              <m:rPr>
                <m:sty m:val="p"/>
              </m:rPr>
              <w:rPr>
                <w:rFonts w:ascii="Cambria Math" w:hAnsi="Cambria Math" w:eastAsiaTheme="minorEastAsia"/>
                <w:lang w:val="sr-Latn-RS"/>
              </w:rPr>
              <m:t xml:space="preserve"> -1 </m:t>
            </m:r>
            <m:ctrlPr>
              <w:rPr>
                <w:rFonts w:ascii="Cambria Math" w:hAnsi="Cambria Math"/>
                <w:i/>
                <w:lang w:val="sr-Latn-CS"/>
              </w:rPr>
            </m:ctrlPr>
          </m:e>
        </m:d>
      </m:oMath>
      <w:r>
        <w:rPr>
          <w:rFonts w:ascii="Times New Roman" w:hAnsi="Times New Roman"/>
          <w:lang w:val="sr-Latn-RS"/>
        </w:rPr>
        <w:t xml:space="preserve"> * 1000</w:t>
      </w:r>
    </w:p>
    <w:p>
      <w:pPr>
        <w:ind w:firstLine="720"/>
        <w:jc w:val="both"/>
        <w:rPr>
          <w:rFonts w:ascii="Times New Roman" w:hAnsi="Times New Roman"/>
          <w:color w:val="FF0000"/>
          <w:sz w:val="24"/>
          <w:szCs w:val="24"/>
          <w:lang w:val="sr-Cyrl-CS"/>
        </w:rPr>
      </w:pPr>
    </w:p>
    <w:p>
      <w:pPr>
        <w:jc w:val="both"/>
        <w:rPr>
          <w:rFonts w:asciiTheme="minorHAnsi" w:hAnsiTheme="minorHAnsi" w:cstheme="minorHAnsi"/>
          <w:color w:val="FF0000"/>
          <w:lang w:val="sr-Cyrl-CS"/>
        </w:rPr>
      </w:pPr>
      <w:r>
        <w:rPr>
          <w:rFonts w:asciiTheme="minorHAnsi" w:hAnsiTheme="minorHAnsi" w:cstheme="minorHAnsi"/>
          <w:lang w:val="sr-Cyrl-CS"/>
        </w:rPr>
        <w:t>У сљедећим табеларним прегледима представљено је кретање демографских структура на подручју града Бања Луке у периоду од 2012. до 2016. године, из којих је евидентно у посматаном периоду уједначено кретање унутар категорија полне (око 52% женске популације и 48% мушке популације) и старосне структуре становништва Бања Луке (око 70% радно активно становништво, а по 15% популација животне доби до 14 година и становништва старијег од 65 година). Старосна структура становништва је битно демографско обиљежје јер представља популациону категорију из које се регрутује радни контингент, а величина предрадног контингента детерминише потребе за предшколским и  образовним капацитетим.</w:t>
      </w:r>
    </w:p>
    <w:p>
      <w:pPr>
        <w:rPr>
          <w:rFonts w:ascii="Times New Roman" w:hAnsi="Times New Roman"/>
          <w:b/>
          <w:sz w:val="24"/>
          <w:szCs w:val="28"/>
          <w:lang w:val="sr-Cyrl-CS"/>
        </w:rPr>
      </w:pPr>
    </w:p>
    <w:tbl>
      <w:tblPr>
        <w:tblStyle w:val="37"/>
        <w:tblW w:w="75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130"/>
        <w:gridCol w:w="851"/>
        <w:gridCol w:w="1134"/>
        <w:gridCol w:w="850"/>
        <w:gridCol w:w="1134"/>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55" w:type="dxa"/>
            <w:gridSpan w:val="7"/>
            <w:shd w:val="clear" w:color="auto" w:fill="C5E0B3" w:themeFill="accent6" w:themeFillTint="66"/>
            <w:vAlign w:val="center"/>
          </w:tcPr>
          <w:p>
            <w:pPr>
              <w:jc w:val="center"/>
              <w:rPr>
                <w:rFonts w:asciiTheme="minorHAnsi" w:hAnsiTheme="minorHAnsi" w:cstheme="minorHAnsi"/>
                <w:lang w:val="sr-Cyrl-CS"/>
              </w:rPr>
            </w:pPr>
            <w:r>
              <w:rPr>
                <w:rFonts w:asciiTheme="minorHAnsi" w:hAnsiTheme="minorHAnsi" w:cstheme="minorHAnsi"/>
                <w:lang w:val="sr-Cyrl-CS"/>
              </w:rPr>
              <w:t>Полна структура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8" w:type="dxa"/>
            <w:vMerge w:val="restart"/>
            <w:vAlign w:val="center"/>
          </w:tcPr>
          <w:p>
            <w:pPr>
              <w:jc w:val="center"/>
              <w:rPr>
                <w:rFonts w:asciiTheme="minorHAnsi" w:hAnsiTheme="minorHAnsi" w:cstheme="minorHAnsi"/>
                <w:b/>
                <w:lang w:val="sr-Cyrl-CS"/>
              </w:rPr>
            </w:pPr>
            <w:r>
              <w:rPr>
                <w:rFonts w:asciiTheme="minorHAnsi" w:hAnsiTheme="minorHAnsi" w:cstheme="minorHAnsi"/>
                <w:b/>
                <w:lang w:val="sr-Cyrl-CS"/>
              </w:rPr>
              <w:t>Година</w:t>
            </w:r>
          </w:p>
        </w:tc>
        <w:tc>
          <w:tcPr>
            <w:tcW w:w="1981" w:type="dxa"/>
            <w:gridSpan w:val="2"/>
          </w:tcPr>
          <w:p>
            <w:pPr>
              <w:rPr>
                <w:rFonts w:asciiTheme="minorHAnsi" w:hAnsiTheme="minorHAnsi" w:cstheme="minorHAnsi"/>
                <w:b/>
                <w:lang w:val="sr-Cyrl-CS"/>
              </w:rPr>
            </w:pPr>
            <w:r>
              <w:rPr>
                <w:rFonts w:asciiTheme="minorHAnsi" w:hAnsiTheme="minorHAnsi" w:cstheme="minorHAnsi"/>
                <w:b/>
                <w:lang w:val="sr-Cyrl-CS"/>
              </w:rPr>
              <w:t>Мушки пол</w:t>
            </w:r>
          </w:p>
        </w:tc>
        <w:tc>
          <w:tcPr>
            <w:tcW w:w="1984" w:type="dxa"/>
            <w:gridSpan w:val="2"/>
          </w:tcPr>
          <w:p>
            <w:pPr>
              <w:rPr>
                <w:rFonts w:asciiTheme="minorHAnsi" w:hAnsiTheme="minorHAnsi" w:cstheme="minorHAnsi"/>
                <w:b/>
                <w:lang w:val="sr-Cyrl-CS"/>
              </w:rPr>
            </w:pPr>
            <w:r>
              <w:rPr>
                <w:rFonts w:asciiTheme="minorHAnsi" w:hAnsiTheme="minorHAnsi" w:cstheme="minorHAnsi"/>
                <w:b/>
                <w:lang w:val="sr-Cyrl-CS"/>
              </w:rPr>
              <w:t>Женски пол</w:t>
            </w:r>
          </w:p>
        </w:tc>
        <w:tc>
          <w:tcPr>
            <w:tcW w:w="2242" w:type="dxa"/>
            <w:gridSpan w:val="2"/>
          </w:tcPr>
          <w:p>
            <w:pPr>
              <w:rPr>
                <w:rFonts w:asciiTheme="minorHAnsi" w:hAnsiTheme="minorHAnsi" w:cstheme="minorHAnsi"/>
                <w:b/>
                <w:lang w:val="sr-Cyrl-CS"/>
              </w:rPr>
            </w:pPr>
            <w:r>
              <w:rPr>
                <w:rFonts w:asciiTheme="minorHAnsi" w:hAnsiTheme="minorHAnsi" w:cstheme="minorHAnsi"/>
                <w:b/>
                <w:lang w:val="sr-Cyrl-CS"/>
              </w:rPr>
              <w:t>Укупно Бањалука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8" w:type="dxa"/>
            <w:vMerge w:val="continue"/>
          </w:tcPr>
          <w:p>
            <w:pPr>
              <w:rPr>
                <w:rFonts w:asciiTheme="minorHAnsi" w:hAnsiTheme="minorHAnsi" w:cstheme="minorHAnsi"/>
                <w:lang w:val="sr-Cyrl-CS"/>
              </w:rPr>
            </w:pPr>
          </w:p>
        </w:tc>
        <w:tc>
          <w:tcPr>
            <w:tcW w:w="1130" w:type="dxa"/>
          </w:tcPr>
          <w:p>
            <w:pPr>
              <w:jc w:val="center"/>
              <w:rPr>
                <w:rFonts w:asciiTheme="minorHAnsi" w:hAnsiTheme="minorHAnsi" w:cstheme="minorHAnsi"/>
                <w:b/>
                <w:lang w:val="sr-Cyrl-CS"/>
              </w:rPr>
            </w:pPr>
            <w:r>
              <w:rPr>
                <w:rFonts w:asciiTheme="minorHAnsi" w:hAnsiTheme="minorHAnsi" w:cstheme="minorHAnsi"/>
                <w:b/>
                <w:lang w:val="sr-Cyrl-CS"/>
              </w:rPr>
              <w:t>Број</w:t>
            </w:r>
          </w:p>
        </w:tc>
        <w:tc>
          <w:tcPr>
            <w:tcW w:w="851" w:type="dxa"/>
          </w:tcPr>
          <w:p>
            <w:pPr>
              <w:jc w:val="center"/>
              <w:rPr>
                <w:rFonts w:asciiTheme="minorHAnsi" w:hAnsiTheme="minorHAnsi" w:cstheme="minorHAnsi"/>
                <w:b/>
                <w:lang w:val="sr-Cyrl-CS"/>
              </w:rPr>
            </w:pPr>
            <w:r>
              <w:rPr>
                <w:rFonts w:asciiTheme="minorHAnsi" w:hAnsiTheme="minorHAnsi" w:cstheme="minorHAnsi"/>
                <w:b/>
                <w:lang w:val="sr-Cyrl-CS"/>
              </w:rPr>
              <w:t>%</w:t>
            </w:r>
          </w:p>
        </w:tc>
        <w:tc>
          <w:tcPr>
            <w:tcW w:w="1134" w:type="dxa"/>
          </w:tcPr>
          <w:p>
            <w:pPr>
              <w:jc w:val="center"/>
              <w:rPr>
                <w:rFonts w:asciiTheme="minorHAnsi" w:hAnsiTheme="minorHAnsi" w:cstheme="minorHAnsi"/>
                <w:b/>
                <w:lang w:val="sr-Cyrl-CS"/>
              </w:rPr>
            </w:pPr>
            <w:r>
              <w:rPr>
                <w:rFonts w:asciiTheme="minorHAnsi" w:hAnsiTheme="minorHAnsi" w:cstheme="minorHAnsi"/>
                <w:b/>
                <w:lang w:val="sr-Cyrl-CS"/>
              </w:rPr>
              <w:t>Број</w:t>
            </w:r>
          </w:p>
        </w:tc>
        <w:tc>
          <w:tcPr>
            <w:tcW w:w="850" w:type="dxa"/>
          </w:tcPr>
          <w:p>
            <w:pPr>
              <w:jc w:val="center"/>
              <w:rPr>
                <w:rFonts w:asciiTheme="minorHAnsi" w:hAnsiTheme="minorHAnsi" w:cstheme="minorHAnsi"/>
                <w:b/>
                <w:lang w:val="sr-Cyrl-CS"/>
              </w:rPr>
            </w:pPr>
            <w:r>
              <w:rPr>
                <w:rFonts w:asciiTheme="minorHAnsi" w:hAnsiTheme="minorHAnsi" w:cstheme="minorHAnsi"/>
                <w:b/>
                <w:lang w:val="sr-Cyrl-CS"/>
              </w:rPr>
              <w:t>%</w:t>
            </w:r>
          </w:p>
        </w:tc>
        <w:tc>
          <w:tcPr>
            <w:tcW w:w="1134" w:type="dxa"/>
          </w:tcPr>
          <w:p>
            <w:pPr>
              <w:jc w:val="center"/>
              <w:rPr>
                <w:rFonts w:asciiTheme="minorHAnsi" w:hAnsiTheme="minorHAnsi" w:cstheme="minorHAnsi"/>
                <w:b/>
                <w:lang w:val="sr-Cyrl-CS"/>
              </w:rPr>
            </w:pPr>
            <w:r>
              <w:rPr>
                <w:rFonts w:asciiTheme="minorHAnsi" w:hAnsiTheme="minorHAnsi" w:cstheme="minorHAnsi"/>
                <w:b/>
                <w:lang w:val="sr-Cyrl-CS"/>
              </w:rPr>
              <w:t>Број</w:t>
            </w:r>
          </w:p>
        </w:tc>
        <w:tc>
          <w:tcPr>
            <w:tcW w:w="1108" w:type="dxa"/>
          </w:tcPr>
          <w:p>
            <w:pPr>
              <w:jc w:val="center"/>
              <w:rPr>
                <w:rFonts w:asciiTheme="minorHAnsi" w:hAnsiTheme="minorHAnsi" w:cstheme="minorHAnsi"/>
                <w:b/>
                <w:lang w:val="sr-Cyrl-CS"/>
              </w:rPr>
            </w:pPr>
            <w:r>
              <w:rPr>
                <w:rFonts w:asciiTheme="minorHAnsi" w:hAnsiTheme="minorHAnsi" w:cstheme="minorHAnsi"/>
                <w:b/>
                <w:lang w:val="sr-Cyrl-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8" w:type="dxa"/>
          </w:tcPr>
          <w:p>
            <w:pPr>
              <w:jc w:val="center"/>
              <w:rPr>
                <w:rFonts w:asciiTheme="minorHAnsi" w:hAnsiTheme="minorHAnsi" w:cstheme="minorHAnsi"/>
                <w:lang w:val="sr-Cyrl-CS"/>
              </w:rPr>
            </w:pPr>
            <w:r>
              <w:rPr>
                <w:rFonts w:asciiTheme="minorHAnsi" w:hAnsiTheme="minorHAnsi" w:cstheme="minorHAnsi"/>
                <w:lang w:val="sr-Cyrl-CS"/>
              </w:rPr>
              <w:t>2012</w:t>
            </w:r>
          </w:p>
        </w:tc>
        <w:tc>
          <w:tcPr>
            <w:tcW w:w="1130" w:type="dxa"/>
            <w:vAlign w:val="bottom"/>
          </w:tcPr>
          <w:p>
            <w:pPr>
              <w:jc w:val="right"/>
              <w:rPr>
                <w:rFonts w:asciiTheme="minorHAnsi" w:hAnsiTheme="minorHAnsi" w:cstheme="minorHAnsi"/>
                <w:color w:val="000000"/>
              </w:rPr>
            </w:pPr>
            <w:r>
              <w:rPr>
                <w:rFonts w:asciiTheme="minorHAnsi" w:hAnsiTheme="minorHAnsi" w:cstheme="minorHAnsi"/>
                <w:color w:val="000000"/>
              </w:rPr>
              <w:t>86.232</w:t>
            </w:r>
          </w:p>
        </w:tc>
        <w:tc>
          <w:tcPr>
            <w:tcW w:w="851"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48,1</w:t>
            </w:r>
          </w:p>
        </w:tc>
        <w:tc>
          <w:tcPr>
            <w:tcW w:w="1134" w:type="dxa"/>
            <w:vAlign w:val="bottom"/>
          </w:tcPr>
          <w:p>
            <w:pPr>
              <w:jc w:val="right"/>
              <w:rPr>
                <w:rFonts w:asciiTheme="minorHAnsi" w:hAnsiTheme="minorHAnsi" w:cstheme="minorHAnsi"/>
                <w:color w:val="000000"/>
              </w:rPr>
            </w:pPr>
            <w:r>
              <w:rPr>
                <w:rFonts w:asciiTheme="minorHAnsi" w:hAnsiTheme="minorHAnsi" w:cstheme="minorHAnsi"/>
                <w:color w:val="000000"/>
              </w:rPr>
              <w:t>92.942</w:t>
            </w:r>
          </w:p>
        </w:tc>
        <w:tc>
          <w:tcPr>
            <w:tcW w:w="85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51,9</w:t>
            </w:r>
          </w:p>
        </w:tc>
        <w:tc>
          <w:tcPr>
            <w:tcW w:w="1134" w:type="dxa"/>
          </w:tcPr>
          <w:p>
            <w:pPr>
              <w:jc w:val="right"/>
              <w:rPr>
                <w:rFonts w:asciiTheme="minorHAnsi" w:hAnsiTheme="minorHAnsi" w:cstheme="minorHAnsi"/>
                <w:lang w:val="sr-Cyrl-CS"/>
              </w:rPr>
            </w:pPr>
            <w:r>
              <w:rPr>
                <w:rFonts w:asciiTheme="minorHAnsi" w:hAnsiTheme="minorHAnsi" w:cstheme="minorHAnsi"/>
                <w:lang w:val="sr-Cyrl-CS"/>
              </w:rPr>
              <w:t>179.174</w:t>
            </w:r>
          </w:p>
        </w:tc>
        <w:tc>
          <w:tcPr>
            <w:tcW w:w="1108"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8" w:type="dxa"/>
          </w:tcPr>
          <w:p>
            <w:pPr>
              <w:jc w:val="center"/>
              <w:rPr>
                <w:rFonts w:asciiTheme="minorHAnsi" w:hAnsiTheme="minorHAnsi" w:cstheme="minorHAnsi"/>
                <w:lang w:val="sr-Cyrl-CS"/>
              </w:rPr>
            </w:pPr>
            <w:r>
              <w:rPr>
                <w:rFonts w:asciiTheme="minorHAnsi" w:hAnsiTheme="minorHAnsi" w:cstheme="minorHAnsi"/>
                <w:lang w:val="sr-Cyrl-CS"/>
              </w:rPr>
              <w:t>2013</w:t>
            </w:r>
          </w:p>
        </w:tc>
        <w:tc>
          <w:tcPr>
            <w:tcW w:w="113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86.497</w:t>
            </w:r>
          </w:p>
        </w:tc>
        <w:tc>
          <w:tcPr>
            <w:tcW w:w="851"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48,0</w:t>
            </w:r>
          </w:p>
        </w:tc>
        <w:tc>
          <w:tcPr>
            <w:tcW w:w="1134"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93.559</w:t>
            </w:r>
          </w:p>
        </w:tc>
        <w:tc>
          <w:tcPr>
            <w:tcW w:w="85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52,0</w:t>
            </w:r>
          </w:p>
        </w:tc>
        <w:tc>
          <w:tcPr>
            <w:tcW w:w="1134" w:type="dxa"/>
          </w:tcPr>
          <w:p>
            <w:pPr>
              <w:jc w:val="right"/>
              <w:rPr>
                <w:rFonts w:asciiTheme="minorHAnsi" w:hAnsiTheme="minorHAnsi" w:cstheme="minorHAnsi"/>
                <w:lang w:val="sr-Cyrl-CS"/>
              </w:rPr>
            </w:pPr>
            <w:r>
              <w:rPr>
                <w:rFonts w:asciiTheme="minorHAnsi" w:hAnsiTheme="minorHAnsi" w:cstheme="minorHAnsi"/>
                <w:lang w:val="sr-Cyrl-CS"/>
              </w:rPr>
              <w:t>180.056</w:t>
            </w:r>
          </w:p>
        </w:tc>
        <w:tc>
          <w:tcPr>
            <w:tcW w:w="1108"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8" w:type="dxa"/>
          </w:tcPr>
          <w:p>
            <w:pPr>
              <w:jc w:val="center"/>
              <w:rPr>
                <w:rFonts w:asciiTheme="minorHAnsi" w:hAnsiTheme="minorHAnsi" w:cstheme="minorHAnsi"/>
                <w:lang w:val="sr-Cyrl-CS"/>
              </w:rPr>
            </w:pPr>
            <w:r>
              <w:rPr>
                <w:rFonts w:asciiTheme="minorHAnsi" w:hAnsiTheme="minorHAnsi" w:cstheme="minorHAnsi"/>
                <w:lang w:val="sr-Cyrl-CS"/>
              </w:rPr>
              <w:t>2014</w:t>
            </w:r>
          </w:p>
        </w:tc>
        <w:tc>
          <w:tcPr>
            <w:tcW w:w="113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86.843</w:t>
            </w:r>
          </w:p>
        </w:tc>
        <w:tc>
          <w:tcPr>
            <w:tcW w:w="851"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48,0</w:t>
            </w:r>
          </w:p>
        </w:tc>
        <w:tc>
          <w:tcPr>
            <w:tcW w:w="1134"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94.118</w:t>
            </w:r>
          </w:p>
        </w:tc>
        <w:tc>
          <w:tcPr>
            <w:tcW w:w="85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52,0</w:t>
            </w:r>
          </w:p>
        </w:tc>
        <w:tc>
          <w:tcPr>
            <w:tcW w:w="1134" w:type="dxa"/>
          </w:tcPr>
          <w:p>
            <w:pPr>
              <w:jc w:val="right"/>
              <w:rPr>
                <w:rFonts w:asciiTheme="minorHAnsi" w:hAnsiTheme="minorHAnsi" w:cstheme="minorHAnsi"/>
                <w:lang w:val="sr-Cyrl-CS"/>
              </w:rPr>
            </w:pPr>
            <w:r>
              <w:rPr>
                <w:rFonts w:asciiTheme="minorHAnsi" w:hAnsiTheme="minorHAnsi" w:cstheme="minorHAnsi"/>
                <w:lang w:val="sr-Cyrl-CS"/>
              </w:rPr>
              <w:t>180.961</w:t>
            </w:r>
          </w:p>
        </w:tc>
        <w:tc>
          <w:tcPr>
            <w:tcW w:w="1108"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8" w:type="dxa"/>
          </w:tcPr>
          <w:p>
            <w:pPr>
              <w:jc w:val="center"/>
              <w:rPr>
                <w:rFonts w:asciiTheme="minorHAnsi" w:hAnsiTheme="minorHAnsi" w:cstheme="minorHAnsi"/>
                <w:lang w:val="sr-Cyrl-CS"/>
              </w:rPr>
            </w:pPr>
            <w:r>
              <w:rPr>
                <w:rFonts w:asciiTheme="minorHAnsi" w:hAnsiTheme="minorHAnsi" w:cstheme="minorHAnsi"/>
                <w:lang w:val="sr-Cyrl-CS"/>
              </w:rPr>
              <w:t>2015</w:t>
            </w:r>
          </w:p>
        </w:tc>
        <w:tc>
          <w:tcPr>
            <w:tcW w:w="113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87.269</w:t>
            </w:r>
          </w:p>
        </w:tc>
        <w:tc>
          <w:tcPr>
            <w:tcW w:w="851"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47,9</w:t>
            </w:r>
          </w:p>
        </w:tc>
        <w:tc>
          <w:tcPr>
            <w:tcW w:w="1134"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94.687</w:t>
            </w:r>
          </w:p>
        </w:tc>
        <w:tc>
          <w:tcPr>
            <w:tcW w:w="85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52,0</w:t>
            </w:r>
          </w:p>
        </w:tc>
        <w:tc>
          <w:tcPr>
            <w:tcW w:w="1134" w:type="dxa"/>
          </w:tcPr>
          <w:p>
            <w:pPr>
              <w:jc w:val="right"/>
              <w:rPr>
                <w:rFonts w:asciiTheme="minorHAnsi" w:hAnsiTheme="minorHAnsi" w:cstheme="minorHAnsi"/>
                <w:lang w:val="sr-Cyrl-CS"/>
              </w:rPr>
            </w:pPr>
            <w:r>
              <w:rPr>
                <w:rFonts w:asciiTheme="minorHAnsi" w:hAnsiTheme="minorHAnsi" w:cstheme="minorHAnsi"/>
                <w:lang w:val="sr-Cyrl-CS"/>
              </w:rPr>
              <w:t>181.956</w:t>
            </w:r>
          </w:p>
        </w:tc>
        <w:tc>
          <w:tcPr>
            <w:tcW w:w="1108"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8" w:type="dxa"/>
          </w:tcPr>
          <w:p>
            <w:pPr>
              <w:jc w:val="center"/>
              <w:rPr>
                <w:rFonts w:asciiTheme="minorHAnsi" w:hAnsiTheme="minorHAnsi" w:cstheme="minorHAnsi"/>
                <w:lang w:val="sr-Cyrl-CS"/>
              </w:rPr>
            </w:pPr>
            <w:r>
              <w:rPr>
                <w:rFonts w:asciiTheme="minorHAnsi" w:hAnsiTheme="minorHAnsi" w:cstheme="minorHAnsi"/>
                <w:lang w:val="sr-Cyrl-CS"/>
              </w:rPr>
              <w:t>2016</w:t>
            </w:r>
          </w:p>
        </w:tc>
        <w:tc>
          <w:tcPr>
            <w:tcW w:w="113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87.634</w:t>
            </w:r>
          </w:p>
        </w:tc>
        <w:tc>
          <w:tcPr>
            <w:tcW w:w="851"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47,9</w:t>
            </w:r>
          </w:p>
        </w:tc>
        <w:tc>
          <w:tcPr>
            <w:tcW w:w="1134"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95.214</w:t>
            </w:r>
          </w:p>
        </w:tc>
        <w:tc>
          <w:tcPr>
            <w:tcW w:w="850"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52,1</w:t>
            </w:r>
          </w:p>
        </w:tc>
        <w:tc>
          <w:tcPr>
            <w:tcW w:w="1134" w:type="dxa"/>
          </w:tcPr>
          <w:p>
            <w:pPr>
              <w:jc w:val="right"/>
              <w:rPr>
                <w:rFonts w:asciiTheme="minorHAnsi" w:hAnsiTheme="minorHAnsi" w:cstheme="minorHAnsi"/>
                <w:lang w:val="sr-Cyrl-CS"/>
              </w:rPr>
            </w:pPr>
            <w:r>
              <w:rPr>
                <w:rFonts w:asciiTheme="minorHAnsi" w:hAnsiTheme="minorHAnsi" w:cstheme="minorHAnsi"/>
                <w:lang w:val="sr-Cyrl-CS"/>
              </w:rPr>
              <w:t>182.848</w:t>
            </w:r>
          </w:p>
        </w:tc>
        <w:tc>
          <w:tcPr>
            <w:tcW w:w="1108" w:type="dxa"/>
          </w:tcPr>
          <w:p>
            <w:pPr>
              <w:jc w:val="right"/>
              <w:rPr>
                <w:rFonts w:asciiTheme="minorHAnsi" w:hAnsiTheme="minorHAnsi" w:cstheme="minorHAnsi"/>
                <w:lang w:val="sr-Cyrl-CS"/>
              </w:rPr>
            </w:pPr>
            <w:r>
              <w:rPr>
                <w:rFonts w:asciiTheme="minorHAnsi" w:hAnsiTheme="minorHAnsi" w:cstheme="minorHAnsi"/>
                <w:lang w:val="sr-Cyrl-CS"/>
              </w:rPr>
              <w:t>100,0</w:t>
            </w:r>
          </w:p>
        </w:tc>
      </w:tr>
    </w:tbl>
    <w:p>
      <w:pPr>
        <w:rPr>
          <w:rFonts w:asciiTheme="minorHAnsi" w:hAnsiTheme="minorHAnsi" w:cstheme="minorHAnsi"/>
          <w:sz w:val="18"/>
          <w:szCs w:val="18"/>
          <w:lang w:val="sr-Cyrl-CS"/>
        </w:rPr>
      </w:pPr>
      <w:r>
        <w:rPr>
          <w:rFonts w:ascii="Times New Roman" w:hAnsi="Times New Roman"/>
          <w:sz w:val="24"/>
          <w:szCs w:val="28"/>
          <w:lang w:val="sr-Latn-RS"/>
        </w:rPr>
        <w:t xml:space="preserve">               </w:t>
      </w:r>
      <w:r>
        <w:rPr>
          <w:rFonts w:asciiTheme="minorHAnsi" w:hAnsiTheme="minorHAnsi" w:cstheme="minorHAnsi"/>
          <w:sz w:val="18"/>
          <w:szCs w:val="18"/>
          <w:lang w:val="sr-Cyrl-CS"/>
        </w:rPr>
        <w:t>Извор: Републички завод за статистику</w:t>
      </w:r>
    </w:p>
    <w:p>
      <w:pPr>
        <w:spacing w:after="160" w:line="259" w:lineRule="auto"/>
        <w:rPr>
          <w:rFonts w:asciiTheme="minorHAnsi" w:hAnsiTheme="minorHAnsi" w:cstheme="minorHAnsi"/>
          <w:sz w:val="18"/>
          <w:szCs w:val="18"/>
          <w:lang w:val="sr-Cyrl-CS"/>
        </w:rPr>
      </w:pPr>
      <w:r>
        <w:rPr>
          <w:rFonts w:asciiTheme="minorHAnsi" w:hAnsiTheme="minorHAnsi" w:cstheme="minorHAnsi"/>
          <w:sz w:val="18"/>
          <w:szCs w:val="18"/>
          <w:lang w:val="sr-Cyrl-CS"/>
        </w:rPr>
        <w:br w:type="page"/>
      </w:r>
    </w:p>
    <w:tbl>
      <w:tblPr>
        <w:tblStyle w:val="37"/>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028"/>
        <w:gridCol w:w="756"/>
        <w:gridCol w:w="1023"/>
        <w:gridCol w:w="756"/>
        <w:gridCol w:w="966"/>
        <w:gridCol w:w="958"/>
        <w:gridCol w:w="996"/>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9" w:type="dxa"/>
            <w:gridSpan w:val="9"/>
            <w:shd w:val="clear" w:color="auto" w:fill="C5E0B3" w:themeFill="accent6" w:themeFillTint="66"/>
            <w:vAlign w:val="center"/>
          </w:tcPr>
          <w:p>
            <w:pPr>
              <w:jc w:val="center"/>
              <w:rPr>
                <w:rFonts w:asciiTheme="minorHAnsi" w:hAnsiTheme="minorHAnsi" w:cstheme="minorHAnsi"/>
                <w:lang w:val="sr-Cyrl-CS"/>
              </w:rPr>
            </w:pPr>
            <w:r>
              <w:rPr>
                <w:rFonts w:asciiTheme="minorHAnsi" w:hAnsiTheme="minorHAnsi" w:cstheme="minorHAnsi"/>
                <w:lang w:val="sr-Cyrl-CS"/>
              </w:rPr>
              <w:t>Старосна структура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vMerge w:val="restart"/>
            <w:vAlign w:val="center"/>
          </w:tcPr>
          <w:p>
            <w:pPr>
              <w:jc w:val="center"/>
              <w:rPr>
                <w:rFonts w:asciiTheme="minorHAnsi" w:hAnsiTheme="minorHAnsi" w:cstheme="minorHAnsi"/>
                <w:b/>
                <w:lang w:val="sr-Cyrl-CS"/>
              </w:rPr>
            </w:pPr>
            <w:r>
              <w:rPr>
                <w:rFonts w:asciiTheme="minorHAnsi" w:hAnsiTheme="minorHAnsi" w:cstheme="minorHAnsi"/>
                <w:b/>
                <w:lang w:val="sr-Cyrl-CS"/>
              </w:rPr>
              <w:t>Година</w:t>
            </w:r>
          </w:p>
        </w:tc>
        <w:tc>
          <w:tcPr>
            <w:tcW w:w="1784" w:type="dxa"/>
            <w:gridSpan w:val="2"/>
          </w:tcPr>
          <w:p>
            <w:pPr>
              <w:jc w:val="center"/>
              <w:rPr>
                <w:rFonts w:asciiTheme="minorHAnsi" w:hAnsiTheme="minorHAnsi" w:cstheme="minorHAnsi"/>
                <w:b/>
                <w:lang w:val="sr-Cyrl-CS"/>
              </w:rPr>
            </w:pPr>
            <w:r>
              <w:rPr>
                <w:rFonts w:eastAsia="Times New Roman" w:asciiTheme="minorHAnsi" w:hAnsiTheme="minorHAnsi" w:cstheme="minorHAnsi"/>
                <w:b/>
                <w:color w:val="000000"/>
              </w:rPr>
              <w:t>0-14</w:t>
            </w:r>
          </w:p>
        </w:tc>
        <w:tc>
          <w:tcPr>
            <w:tcW w:w="1779" w:type="dxa"/>
            <w:gridSpan w:val="2"/>
          </w:tcPr>
          <w:p>
            <w:pPr>
              <w:jc w:val="center"/>
              <w:rPr>
                <w:rFonts w:asciiTheme="minorHAnsi" w:hAnsiTheme="minorHAnsi" w:cstheme="minorHAnsi"/>
                <w:b/>
                <w:lang w:val="sr-Cyrl-CS"/>
              </w:rPr>
            </w:pPr>
            <w:r>
              <w:rPr>
                <w:rFonts w:eastAsia="Times New Roman" w:asciiTheme="minorHAnsi" w:hAnsiTheme="minorHAnsi" w:cstheme="minorHAnsi"/>
                <w:b/>
                <w:color w:val="000000"/>
              </w:rPr>
              <w:t>15-64</w:t>
            </w:r>
          </w:p>
        </w:tc>
        <w:tc>
          <w:tcPr>
            <w:tcW w:w="1924" w:type="dxa"/>
            <w:gridSpan w:val="2"/>
          </w:tcPr>
          <w:p>
            <w:pPr>
              <w:jc w:val="center"/>
              <w:rPr>
                <w:rFonts w:asciiTheme="minorHAnsi" w:hAnsiTheme="minorHAnsi" w:cstheme="minorHAnsi"/>
                <w:b/>
                <w:lang w:val="sr-Cyrl-CS"/>
              </w:rPr>
            </w:pPr>
            <w:r>
              <w:rPr>
                <w:rFonts w:eastAsia="Times New Roman" w:asciiTheme="minorHAnsi" w:hAnsiTheme="minorHAnsi" w:cstheme="minorHAnsi"/>
                <w:b/>
                <w:color w:val="000000"/>
              </w:rPr>
              <w:t>65+</w:t>
            </w:r>
          </w:p>
        </w:tc>
        <w:tc>
          <w:tcPr>
            <w:tcW w:w="2368" w:type="dxa"/>
            <w:gridSpan w:val="2"/>
          </w:tcPr>
          <w:p>
            <w:pPr>
              <w:rPr>
                <w:rFonts w:asciiTheme="minorHAnsi" w:hAnsiTheme="minorHAnsi" w:cstheme="minorHAnsi"/>
                <w:b/>
                <w:lang w:val="sr-Cyrl-CS"/>
              </w:rPr>
            </w:pPr>
            <w:r>
              <w:rPr>
                <w:rFonts w:asciiTheme="minorHAnsi" w:hAnsiTheme="minorHAnsi" w:cstheme="minorHAnsi"/>
                <w:b/>
                <w:lang w:val="sr-Cyrl-CS"/>
              </w:rPr>
              <w:t>Укупно Бањалука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vMerge w:val="continue"/>
          </w:tcPr>
          <w:p>
            <w:pPr>
              <w:rPr>
                <w:rFonts w:asciiTheme="minorHAnsi" w:hAnsiTheme="minorHAnsi" w:cstheme="minorHAnsi"/>
                <w:b/>
                <w:lang w:val="sr-Cyrl-CS"/>
              </w:rPr>
            </w:pPr>
          </w:p>
        </w:tc>
        <w:tc>
          <w:tcPr>
            <w:tcW w:w="1028" w:type="dxa"/>
          </w:tcPr>
          <w:p>
            <w:pPr>
              <w:jc w:val="center"/>
              <w:rPr>
                <w:rFonts w:asciiTheme="minorHAnsi" w:hAnsiTheme="minorHAnsi" w:cstheme="minorHAnsi"/>
                <w:b/>
                <w:lang w:val="sr-Cyrl-CS"/>
              </w:rPr>
            </w:pPr>
            <w:r>
              <w:rPr>
                <w:rFonts w:asciiTheme="minorHAnsi" w:hAnsiTheme="minorHAnsi" w:cstheme="minorHAnsi"/>
                <w:b/>
                <w:lang w:val="sr-Cyrl-CS"/>
              </w:rPr>
              <w:t>Број</w:t>
            </w:r>
          </w:p>
        </w:tc>
        <w:tc>
          <w:tcPr>
            <w:tcW w:w="756" w:type="dxa"/>
          </w:tcPr>
          <w:p>
            <w:pPr>
              <w:jc w:val="center"/>
              <w:rPr>
                <w:rFonts w:asciiTheme="minorHAnsi" w:hAnsiTheme="minorHAnsi" w:cstheme="minorHAnsi"/>
                <w:b/>
                <w:lang w:val="sr-Cyrl-CS"/>
              </w:rPr>
            </w:pPr>
            <w:r>
              <w:rPr>
                <w:rFonts w:asciiTheme="minorHAnsi" w:hAnsiTheme="minorHAnsi" w:cstheme="minorHAnsi"/>
                <w:b/>
                <w:lang w:val="sr-Cyrl-CS"/>
              </w:rPr>
              <w:t>%</w:t>
            </w:r>
          </w:p>
        </w:tc>
        <w:tc>
          <w:tcPr>
            <w:tcW w:w="1023" w:type="dxa"/>
          </w:tcPr>
          <w:p>
            <w:pPr>
              <w:jc w:val="center"/>
              <w:rPr>
                <w:rFonts w:asciiTheme="minorHAnsi" w:hAnsiTheme="minorHAnsi" w:cstheme="minorHAnsi"/>
                <w:b/>
                <w:lang w:val="sr-Cyrl-CS"/>
              </w:rPr>
            </w:pPr>
            <w:r>
              <w:rPr>
                <w:rFonts w:asciiTheme="minorHAnsi" w:hAnsiTheme="minorHAnsi" w:cstheme="minorHAnsi"/>
                <w:b/>
                <w:lang w:val="sr-Cyrl-CS"/>
              </w:rPr>
              <w:t>Број</w:t>
            </w:r>
          </w:p>
        </w:tc>
        <w:tc>
          <w:tcPr>
            <w:tcW w:w="756" w:type="dxa"/>
          </w:tcPr>
          <w:p>
            <w:pPr>
              <w:jc w:val="center"/>
              <w:rPr>
                <w:rFonts w:asciiTheme="minorHAnsi" w:hAnsiTheme="minorHAnsi" w:cstheme="minorHAnsi"/>
                <w:b/>
                <w:lang w:val="sr-Cyrl-CS"/>
              </w:rPr>
            </w:pPr>
            <w:r>
              <w:rPr>
                <w:rFonts w:asciiTheme="minorHAnsi" w:hAnsiTheme="minorHAnsi" w:cstheme="minorHAnsi"/>
                <w:b/>
                <w:lang w:val="sr-Cyrl-CS"/>
              </w:rPr>
              <w:t>%</w:t>
            </w:r>
          </w:p>
        </w:tc>
        <w:tc>
          <w:tcPr>
            <w:tcW w:w="966" w:type="dxa"/>
          </w:tcPr>
          <w:p>
            <w:pPr>
              <w:jc w:val="center"/>
              <w:rPr>
                <w:rFonts w:asciiTheme="minorHAnsi" w:hAnsiTheme="minorHAnsi" w:cstheme="minorHAnsi"/>
                <w:b/>
                <w:lang w:val="sr-Cyrl-CS"/>
              </w:rPr>
            </w:pPr>
            <w:r>
              <w:rPr>
                <w:rFonts w:asciiTheme="minorHAnsi" w:hAnsiTheme="minorHAnsi" w:cstheme="minorHAnsi"/>
                <w:b/>
                <w:lang w:val="sr-Cyrl-CS"/>
              </w:rPr>
              <w:t>Број</w:t>
            </w:r>
          </w:p>
        </w:tc>
        <w:tc>
          <w:tcPr>
            <w:tcW w:w="958" w:type="dxa"/>
          </w:tcPr>
          <w:p>
            <w:pPr>
              <w:jc w:val="center"/>
              <w:rPr>
                <w:rFonts w:asciiTheme="minorHAnsi" w:hAnsiTheme="minorHAnsi" w:cstheme="minorHAnsi"/>
                <w:b/>
                <w:lang w:val="sr-Cyrl-CS"/>
              </w:rPr>
            </w:pPr>
            <w:r>
              <w:rPr>
                <w:rFonts w:asciiTheme="minorHAnsi" w:hAnsiTheme="minorHAnsi" w:cstheme="minorHAnsi"/>
                <w:b/>
                <w:lang w:val="sr-Cyrl-CS"/>
              </w:rPr>
              <w:t>%</w:t>
            </w:r>
          </w:p>
        </w:tc>
        <w:tc>
          <w:tcPr>
            <w:tcW w:w="996" w:type="dxa"/>
          </w:tcPr>
          <w:p>
            <w:pPr>
              <w:jc w:val="center"/>
              <w:rPr>
                <w:rFonts w:asciiTheme="minorHAnsi" w:hAnsiTheme="minorHAnsi" w:cstheme="minorHAnsi"/>
                <w:b/>
                <w:lang w:val="sr-Cyrl-CS"/>
              </w:rPr>
            </w:pPr>
            <w:r>
              <w:rPr>
                <w:rFonts w:asciiTheme="minorHAnsi" w:hAnsiTheme="minorHAnsi" w:cstheme="minorHAnsi"/>
                <w:b/>
                <w:lang w:val="sr-Cyrl-CS"/>
              </w:rPr>
              <w:t>Број</w:t>
            </w:r>
          </w:p>
        </w:tc>
        <w:tc>
          <w:tcPr>
            <w:tcW w:w="1372" w:type="dxa"/>
          </w:tcPr>
          <w:p>
            <w:pPr>
              <w:jc w:val="center"/>
              <w:rPr>
                <w:rFonts w:asciiTheme="minorHAnsi" w:hAnsiTheme="minorHAnsi" w:cstheme="minorHAnsi"/>
                <w:b/>
                <w:lang w:val="sr-Cyrl-CS"/>
              </w:rPr>
            </w:pPr>
            <w:r>
              <w:rPr>
                <w:rFonts w:asciiTheme="minorHAnsi" w:hAnsiTheme="minorHAnsi" w:cstheme="minorHAnsi"/>
                <w:b/>
                <w:lang w:val="sr-Cyrl-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tcPr>
          <w:p>
            <w:pPr>
              <w:jc w:val="center"/>
              <w:rPr>
                <w:rFonts w:asciiTheme="minorHAnsi" w:hAnsiTheme="minorHAnsi" w:cstheme="minorHAnsi"/>
                <w:lang w:val="sr-Cyrl-CS"/>
              </w:rPr>
            </w:pPr>
            <w:r>
              <w:rPr>
                <w:rFonts w:asciiTheme="minorHAnsi" w:hAnsiTheme="minorHAnsi" w:cstheme="minorHAnsi"/>
                <w:lang w:val="sr-Cyrl-CS"/>
              </w:rPr>
              <w:t>2012</w:t>
            </w:r>
          </w:p>
        </w:tc>
        <w:tc>
          <w:tcPr>
            <w:tcW w:w="1028" w:type="dxa"/>
          </w:tcPr>
          <w:p>
            <w:pPr>
              <w:jc w:val="right"/>
              <w:rPr>
                <w:rFonts w:asciiTheme="minorHAnsi" w:hAnsiTheme="minorHAnsi" w:cstheme="minorHAnsi"/>
                <w:lang w:val="sr-Cyrl-CS"/>
              </w:rPr>
            </w:pPr>
            <w:r>
              <w:rPr>
                <w:rFonts w:asciiTheme="minorHAnsi" w:hAnsiTheme="minorHAnsi" w:cstheme="minorHAnsi"/>
                <w:lang w:val="sr-Cyrl-CS"/>
              </w:rPr>
              <w:t>26.177</w:t>
            </w:r>
          </w:p>
        </w:tc>
        <w:tc>
          <w:tcPr>
            <w:tcW w:w="756" w:type="dxa"/>
          </w:tcPr>
          <w:p>
            <w:pPr>
              <w:jc w:val="right"/>
              <w:rPr>
                <w:rFonts w:asciiTheme="minorHAnsi" w:hAnsiTheme="minorHAnsi" w:cstheme="minorHAnsi"/>
                <w:lang w:val="sr-Cyrl-CS"/>
              </w:rPr>
            </w:pPr>
            <w:r>
              <w:rPr>
                <w:rFonts w:asciiTheme="minorHAnsi" w:hAnsiTheme="minorHAnsi" w:cstheme="minorHAnsi"/>
                <w:lang w:val="sr-Cyrl-CS"/>
              </w:rPr>
              <w:t>14,61</w:t>
            </w:r>
          </w:p>
        </w:tc>
        <w:tc>
          <w:tcPr>
            <w:tcW w:w="1023" w:type="dxa"/>
          </w:tcPr>
          <w:p>
            <w:pPr>
              <w:jc w:val="right"/>
              <w:rPr>
                <w:rFonts w:asciiTheme="minorHAnsi" w:hAnsiTheme="minorHAnsi" w:cstheme="minorHAnsi"/>
                <w:lang w:val="sr-Cyrl-CS"/>
              </w:rPr>
            </w:pPr>
            <w:r>
              <w:rPr>
                <w:rFonts w:asciiTheme="minorHAnsi" w:hAnsiTheme="minorHAnsi" w:cstheme="minorHAnsi"/>
                <w:lang w:val="sr-Cyrl-CS"/>
              </w:rPr>
              <w:t>126.766</w:t>
            </w:r>
          </w:p>
        </w:tc>
        <w:tc>
          <w:tcPr>
            <w:tcW w:w="756" w:type="dxa"/>
          </w:tcPr>
          <w:p>
            <w:pPr>
              <w:jc w:val="right"/>
              <w:rPr>
                <w:rFonts w:asciiTheme="minorHAnsi" w:hAnsiTheme="minorHAnsi" w:cstheme="minorHAnsi"/>
                <w:lang w:val="sr-Cyrl-CS"/>
              </w:rPr>
            </w:pPr>
            <w:r>
              <w:rPr>
                <w:rFonts w:asciiTheme="minorHAnsi" w:hAnsiTheme="minorHAnsi" w:cstheme="minorHAnsi"/>
                <w:lang w:val="sr-Cyrl-CS"/>
              </w:rPr>
              <w:t>70,75</w:t>
            </w:r>
          </w:p>
        </w:tc>
        <w:tc>
          <w:tcPr>
            <w:tcW w:w="966" w:type="dxa"/>
          </w:tcPr>
          <w:p>
            <w:pPr>
              <w:jc w:val="right"/>
              <w:rPr>
                <w:rFonts w:asciiTheme="minorHAnsi" w:hAnsiTheme="minorHAnsi" w:cstheme="minorHAnsi"/>
                <w:lang w:val="sr-Cyrl-CS"/>
              </w:rPr>
            </w:pPr>
            <w:r>
              <w:rPr>
                <w:rFonts w:asciiTheme="minorHAnsi" w:hAnsiTheme="minorHAnsi" w:cstheme="minorHAnsi"/>
                <w:lang w:val="sr-Cyrl-CS"/>
              </w:rPr>
              <w:t>26.231</w:t>
            </w:r>
          </w:p>
        </w:tc>
        <w:tc>
          <w:tcPr>
            <w:tcW w:w="958" w:type="dxa"/>
          </w:tcPr>
          <w:p>
            <w:pPr>
              <w:jc w:val="right"/>
              <w:rPr>
                <w:rFonts w:asciiTheme="minorHAnsi" w:hAnsiTheme="minorHAnsi" w:cstheme="minorHAnsi"/>
                <w:lang w:val="sr-Cyrl-CS"/>
              </w:rPr>
            </w:pPr>
            <w:r>
              <w:rPr>
                <w:rFonts w:asciiTheme="minorHAnsi" w:hAnsiTheme="minorHAnsi" w:cstheme="minorHAnsi"/>
                <w:lang w:val="sr-Cyrl-CS"/>
              </w:rPr>
              <w:t>14,64</w:t>
            </w:r>
          </w:p>
        </w:tc>
        <w:tc>
          <w:tcPr>
            <w:tcW w:w="996" w:type="dxa"/>
          </w:tcPr>
          <w:p>
            <w:pPr>
              <w:jc w:val="right"/>
              <w:rPr>
                <w:rFonts w:asciiTheme="minorHAnsi" w:hAnsiTheme="minorHAnsi" w:cstheme="minorHAnsi"/>
                <w:lang w:val="sr-Cyrl-CS"/>
              </w:rPr>
            </w:pPr>
            <w:r>
              <w:rPr>
                <w:rFonts w:asciiTheme="minorHAnsi" w:hAnsiTheme="minorHAnsi" w:cstheme="minorHAnsi"/>
                <w:lang w:val="sr-Cyrl-CS"/>
              </w:rPr>
              <w:t>179.174</w:t>
            </w:r>
          </w:p>
        </w:tc>
        <w:tc>
          <w:tcPr>
            <w:tcW w:w="1372"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tcPr>
          <w:p>
            <w:pPr>
              <w:jc w:val="center"/>
              <w:rPr>
                <w:rFonts w:asciiTheme="minorHAnsi" w:hAnsiTheme="minorHAnsi" w:cstheme="minorHAnsi"/>
                <w:lang w:val="sr-Cyrl-CS"/>
              </w:rPr>
            </w:pPr>
            <w:r>
              <w:rPr>
                <w:rFonts w:asciiTheme="minorHAnsi" w:hAnsiTheme="minorHAnsi" w:cstheme="minorHAnsi"/>
                <w:lang w:val="sr-Cyrl-CS"/>
              </w:rPr>
              <w:t>2013</w:t>
            </w:r>
          </w:p>
        </w:tc>
        <w:tc>
          <w:tcPr>
            <w:tcW w:w="102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26.473</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14,7</w:t>
            </w:r>
          </w:p>
        </w:tc>
        <w:tc>
          <w:tcPr>
            <w:tcW w:w="1023"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126.559</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70,3</w:t>
            </w:r>
          </w:p>
        </w:tc>
        <w:tc>
          <w:tcPr>
            <w:tcW w:w="96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27.024</w:t>
            </w:r>
          </w:p>
        </w:tc>
        <w:tc>
          <w:tcPr>
            <w:tcW w:w="958" w:type="dxa"/>
            <w:vAlign w:val="center"/>
          </w:tcPr>
          <w:p>
            <w:pPr>
              <w:jc w:val="right"/>
              <w:rPr>
                <w:rFonts w:asciiTheme="minorHAnsi" w:hAnsiTheme="minorHAnsi" w:cstheme="minorHAnsi"/>
                <w:color w:val="000000"/>
                <w:lang w:val="sr-Cyrl-CS"/>
              </w:rPr>
            </w:pPr>
            <w:r>
              <w:rPr>
                <w:rFonts w:asciiTheme="minorHAnsi" w:hAnsiTheme="minorHAnsi" w:cstheme="minorHAnsi"/>
                <w:color w:val="000000"/>
              </w:rPr>
              <w:t>15,0</w:t>
            </w:r>
          </w:p>
        </w:tc>
        <w:tc>
          <w:tcPr>
            <w:tcW w:w="996" w:type="dxa"/>
          </w:tcPr>
          <w:p>
            <w:pPr>
              <w:jc w:val="right"/>
              <w:rPr>
                <w:rFonts w:asciiTheme="minorHAnsi" w:hAnsiTheme="minorHAnsi" w:cstheme="minorHAnsi"/>
                <w:lang w:val="sr-Cyrl-CS"/>
              </w:rPr>
            </w:pPr>
            <w:r>
              <w:rPr>
                <w:rFonts w:asciiTheme="minorHAnsi" w:hAnsiTheme="minorHAnsi" w:cstheme="minorHAnsi"/>
                <w:lang w:val="sr-Cyrl-CS"/>
              </w:rPr>
              <w:t>180.056</w:t>
            </w:r>
          </w:p>
        </w:tc>
        <w:tc>
          <w:tcPr>
            <w:tcW w:w="1372"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tcPr>
          <w:p>
            <w:pPr>
              <w:jc w:val="center"/>
              <w:rPr>
                <w:rFonts w:asciiTheme="minorHAnsi" w:hAnsiTheme="minorHAnsi" w:cstheme="minorHAnsi"/>
                <w:lang w:val="sr-Cyrl-CS"/>
              </w:rPr>
            </w:pPr>
            <w:r>
              <w:rPr>
                <w:rFonts w:asciiTheme="minorHAnsi" w:hAnsiTheme="minorHAnsi" w:cstheme="minorHAnsi"/>
                <w:lang w:val="sr-Cyrl-CS"/>
              </w:rPr>
              <w:t>2014</w:t>
            </w:r>
          </w:p>
        </w:tc>
        <w:tc>
          <w:tcPr>
            <w:tcW w:w="102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26.778</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14,8</w:t>
            </w:r>
          </w:p>
        </w:tc>
        <w:tc>
          <w:tcPr>
            <w:tcW w:w="1023"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126.234</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69,8</w:t>
            </w:r>
          </w:p>
        </w:tc>
        <w:tc>
          <w:tcPr>
            <w:tcW w:w="96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27.949</w:t>
            </w:r>
          </w:p>
        </w:tc>
        <w:tc>
          <w:tcPr>
            <w:tcW w:w="95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15,4</w:t>
            </w:r>
          </w:p>
        </w:tc>
        <w:tc>
          <w:tcPr>
            <w:tcW w:w="996" w:type="dxa"/>
          </w:tcPr>
          <w:p>
            <w:pPr>
              <w:jc w:val="right"/>
              <w:rPr>
                <w:rFonts w:asciiTheme="minorHAnsi" w:hAnsiTheme="minorHAnsi" w:cstheme="minorHAnsi"/>
                <w:lang w:val="sr-Cyrl-CS"/>
              </w:rPr>
            </w:pPr>
            <w:r>
              <w:rPr>
                <w:rFonts w:asciiTheme="minorHAnsi" w:hAnsiTheme="minorHAnsi" w:cstheme="minorHAnsi"/>
                <w:lang w:val="sr-Cyrl-CS"/>
              </w:rPr>
              <w:t>180.961</w:t>
            </w:r>
          </w:p>
        </w:tc>
        <w:tc>
          <w:tcPr>
            <w:tcW w:w="1372"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tcPr>
          <w:p>
            <w:pPr>
              <w:jc w:val="center"/>
              <w:rPr>
                <w:rFonts w:asciiTheme="minorHAnsi" w:hAnsiTheme="minorHAnsi" w:cstheme="minorHAnsi"/>
                <w:lang w:val="sr-Cyrl-CS"/>
              </w:rPr>
            </w:pPr>
            <w:r>
              <w:rPr>
                <w:rFonts w:asciiTheme="minorHAnsi" w:hAnsiTheme="minorHAnsi" w:cstheme="minorHAnsi"/>
                <w:lang w:val="sr-Cyrl-CS"/>
              </w:rPr>
              <w:t>2015</w:t>
            </w:r>
          </w:p>
        </w:tc>
        <w:tc>
          <w:tcPr>
            <w:tcW w:w="102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27.192</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14,9</w:t>
            </w:r>
          </w:p>
        </w:tc>
        <w:tc>
          <w:tcPr>
            <w:tcW w:w="1023"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125.819</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69,2</w:t>
            </w:r>
          </w:p>
        </w:tc>
        <w:tc>
          <w:tcPr>
            <w:tcW w:w="96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28.945</w:t>
            </w:r>
          </w:p>
        </w:tc>
        <w:tc>
          <w:tcPr>
            <w:tcW w:w="95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15,9</w:t>
            </w:r>
          </w:p>
        </w:tc>
        <w:tc>
          <w:tcPr>
            <w:tcW w:w="996" w:type="dxa"/>
          </w:tcPr>
          <w:p>
            <w:pPr>
              <w:jc w:val="right"/>
              <w:rPr>
                <w:rFonts w:asciiTheme="minorHAnsi" w:hAnsiTheme="minorHAnsi" w:cstheme="minorHAnsi"/>
                <w:lang w:val="sr-Cyrl-CS"/>
              </w:rPr>
            </w:pPr>
            <w:r>
              <w:rPr>
                <w:rFonts w:asciiTheme="minorHAnsi" w:hAnsiTheme="minorHAnsi" w:cstheme="minorHAnsi"/>
                <w:lang w:val="sr-Cyrl-CS"/>
              </w:rPr>
              <w:t>181.956</w:t>
            </w:r>
          </w:p>
        </w:tc>
        <w:tc>
          <w:tcPr>
            <w:tcW w:w="1372" w:type="dxa"/>
          </w:tcPr>
          <w:p>
            <w:pPr>
              <w:jc w:val="right"/>
              <w:rPr>
                <w:rFonts w:asciiTheme="minorHAnsi" w:hAnsiTheme="minorHAnsi" w:cstheme="minorHAnsi"/>
                <w:lang w:val="sr-Cyrl-CS"/>
              </w:rPr>
            </w:pPr>
            <w:r>
              <w:rPr>
                <w:rFonts w:asciiTheme="minorHAnsi" w:hAnsiTheme="minorHAnsi" w:cstheme="minorHAnsi"/>
                <w:lang w:val="sr-Cyrl-C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tcPr>
          <w:p>
            <w:pPr>
              <w:jc w:val="center"/>
              <w:rPr>
                <w:rFonts w:asciiTheme="minorHAnsi" w:hAnsiTheme="minorHAnsi" w:cstheme="minorHAnsi"/>
                <w:lang w:val="sr-Cyrl-CS"/>
              </w:rPr>
            </w:pPr>
            <w:r>
              <w:rPr>
                <w:rFonts w:asciiTheme="minorHAnsi" w:hAnsiTheme="minorHAnsi" w:cstheme="minorHAnsi"/>
                <w:lang w:val="sr-Cyrl-CS"/>
              </w:rPr>
              <w:t>2016</w:t>
            </w:r>
          </w:p>
        </w:tc>
        <w:tc>
          <w:tcPr>
            <w:tcW w:w="102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27.603</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15,1</w:t>
            </w:r>
          </w:p>
        </w:tc>
        <w:tc>
          <w:tcPr>
            <w:tcW w:w="1023"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125.438</w:t>
            </w:r>
          </w:p>
        </w:tc>
        <w:tc>
          <w:tcPr>
            <w:tcW w:w="75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68,6</w:t>
            </w:r>
          </w:p>
        </w:tc>
        <w:tc>
          <w:tcPr>
            <w:tcW w:w="966"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29.807</w:t>
            </w:r>
          </w:p>
        </w:tc>
        <w:tc>
          <w:tcPr>
            <w:tcW w:w="95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16,3</w:t>
            </w:r>
          </w:p>
        </w:tc>
        <w:tc>
          <w:tcPr>
            <w:tcW w:w="996" w:type="dxa"/>
          </w:tcPr>
          <w:p>
            <w:pPr>
              <w:jc w:val="right"/>
              <w:rPr>
                <w:rFonts w:asciiTheme="minorHAnsi" w:hAnsiTheme="minorHAnsi" w:cstheme="minorHAnsi"/>
                <w:lang w:val="sr-Cyrl-CS"/>
              </w:rPr>
            </w:pPr>
            <w:r>
              <w:rPr>
                <w:rFonts w:asciiTheme="minorHAnsi" w:hAnsiTheme="minorHAnsi" w:cstheme="minorHAnsi"/>
                <w:lang w:val="sr-Cyrl-CS"/>
              </w:rPr>
              <w:t>182.848</w:t>
            </w:r>
          </w:p>
        </w:tc>
        <w:tc>
          <w:tcPr>
            <w:tcW w:w="1372" w:type="dxa"/>
          </w:tcPr>
          <w:p>
            <w:pPr>
              <w:jc w:val="right"/>
              <w:rPr>
                <w:rFonts w:asciiTheme="minorHAnsi" w:hAnsiTheme="minorHAnsi" w:cstheme="minorHAnsi"/>
                <w:lang w:val="sr-Cyrl-CS"/>
              </w:rPr>
            </w:pPr>
            <w:r>
              <w:rPr>
                <w:rFonts w:asciiTheme="minorHAnsi" w:hAnsiTheme="minorHAnsi" w:cstheme="minorHAnsi"/>
                <w:lang w:val="sr-Cyrl-CS"/>
              </w:rPr>
              <w:t>100,0</w:t>
            </w:r>
          </w:p>
        </w:tc>
      </w:tr>
    </w:tbl>
    <w:p>
      <w:pPr>
        <w:jc w:val="both"/>
        <w:rPr>
          <w:rFonts w:asciiTheme="minorHAnsi" w:hAnsiTheme="minorHAnsi" w:cstheme="minorHAnsi"/>
          <w:sz w:val="18"/>
          <w:szCs w:val="18"/>
          <w:lang w:val="sr-Cyrl-CS"/>
        </w:rPr>
      </w:pPr>
      <w:r>
        <w:rPr>
          <w:rFonts w:asciiTheme="minorHAnsi" w:hAnsiTheme="minorHAnsi" w:cstheme="minorHAnsi"/>
          <w:sz w:val="18"/>
          <w:szCs w:val="18"/>
          <w:lang w:val="sr-Cyrl-CS"/>
        </w:rPr>
        <w:t>Извор: Републички завод за статистику</w:t>
      </w:r>
    </w:p>
    <w:p>
      <w:pPr>
        <w:ind w:firstLine="720"/>
        <w:rPr>
          <w:rFonts w:ascii="Times New Roman" w:hAnsi="Times New Roman"/>
          <w:sz w:val="24"/>
          <w:szCs w:val="24"/>
          <w:lang w:val="sr-Cyrl-CS"/>
        </w:rPr>
      </w:pPr>
    </w:p>
    <w:p>
      <w:pPr>
        <w:jc w:val="both"/>
        <w:rPr>
          <w:rFonts w:ascii="Times New Roman" w:hAnsi="Times New Roman"/>
          <w:sz w:val="24"/>
          <w:szCs w:val="24"/>
          <w:lang w:val="sr-Cyrl-CS"/>
        </w:rPr>
      </w:pPr>
      <w:r>
        <w:rPr>
          <w:rFonts w:asciiTheme="minorHAnsi" w:hAnsiTheme="minorHAnsi" w:cstheme="minorHAnsi"/>
          <w:b/>
          <w:i/>
          <w:lang w:val="sr-Cyrl-CS"/>
        </w:rPr>
        <w:t xml:space="preserve">Природни прираштај. </w:t>
      </w:r>
      <w:r>
        <w:rPr>
          <w:rFonts w:asciiTheme="minorHAnsi" w:hAnsiTheme="minorHAnsi" w:cstheme="minorHAnsi"/>
          <w:lang w:val="sr-Cyrl-CS"/>
        </w:rPr>
        <w:t>Уколико природни прираштај посматрамо као разлику између број рођених и умрлих, евидентно је да је у периоду од</w:t>
      </w:r>
      <w:r>
        <w:rPr>
          <w:rFonts w:asciiTheme="minorHAnsi" w:hAnsiTheme="minorHAnsi" w:cstheme="minorHAnsi"/>
        </w:rPr>
        <w:t xml:space="preserve"> 2012</w:t>
      </w:r>
      <w:r>
        <w:rPr>
          <w:rFonts w:asciiTheme="minorHAnsi" w:hAnsiTheme="minorHAnsi" w:cstheme="minorHAnsi"/>
          <w:lang w:val="sr-Cyrl-CS"/>
        </w:rPr>
        <w:t xml:space="preserve">. до </w:t>
      </w:r>
      <w:r>
        <w:rPr>
          <w:rFonts w:asciiTheme="minorHAnsi" w:hAnsiTheme="minorHAnsi" w:cstheme="minorHAnsi"/>
        </w:rPr>
        <w:t>2016. године природни прираштај у граду Бањ</w:t>
      </w:r>
      <w:r>
        <w:rPr>
          <w:rFonts w:asciiTheme="minorHAnsi" w:hAnsiTheme="minorHAnsi" w:cstheme="minorHAnsi"/>
          <w:lang w:val="sr-Cyrl-CS"/>
        </w:rPr>
        <w:t>а Луци</w:t>
      </w:r>
      <w:r>
        <w:rPr>
          <w:rFonts w:asciiTheme="minorHAnsi" w:hAnsiTheme="minorHAnsi" w:cstheme="minorHAnsi"/>
        </w:rPr>
        <w:t xml:space="preserve"> позитиван</w:t>
      </w:r>
      <w:r>
        <w:rPr>
          <w:rFonts w:asciiTheme="minorHAnsi" w:hAnsiTheme="minorHAnsi" w:cstheme="minorHAnsi"/>
          <w:lang w:val="sr-Cyrl-RS"/>
        </w:rPr>
        <w:t>. Највећи</w:t>
      </w:r>
      <w:r>
        <w:rPr>
          <w:rFonts w:asciiTheme="minorHAnsi" w:hAnsiTheme="minorHAnsi" w:cstheme="minorHAnsi"/>
        </w:rPr>
        <w:t xml:space="preserve"> природни прираштај забиљежен је 2012.</w:t>
      </w:r>
      <w:r>
        <w:rPr>
          <w:rFonts w:asciiTheme="minorHAnsi" w:hAnsiTheme="minorHAnsi" w:cstheme="minorHAnsi"/>
          <w:lang w:val="sr-Cyrl-RS"/>
        </w:rPr>
        <w:t xml:space="preserve"> </w:t>
      </w:r>
      <w:r>
        <w:rPr>
          <w:rFonts w:asciiTheme="minorHAnsi" w:hAnsiTheme="minorHAnsi" w:cstheme="minorHAnsi"/>
        </w:rPr>
        <w:t xml:space="preserve">године </w:t>
      </w:r>
      <w:r>
        <w:rPr>
          <w:rFonts w:asciiTheme="minorHAnsi" w:hAnsiTheme="minorHAnsi" w:cstheme="minorHAnsi"/>
          <w:lang w:val="sr-Cyrl-CS"/>
        </w:rPr>
        <w:t>(</w:t>
      </w:r>
      <w:r>
        <w:rPr>
          <w:rFonts w:asciiTheme="minorHAnsi" w:hAnsiTheme="minorHAnsi" w:cstheme="minorHAnsi"/>
          <w:lang w:val="sr-Cyrl-RS"/>
        </w:rPr>
        <w:t>194 лица), а најнижи</w:t>
      </w:r>
      <w:r>
        <w:rPr>
          <w:rFonts w:asciiTheme="minorHAnsi" w:hAnsiTheme="minorHAnsi" w:cstheme="minorHAnsi"/>
          <w:lang w:val="sr-Cyrl-CS"/>
        </w:rPr>
        <w:t xml:space="preserve"> </w:t>
      </w:r>
      <w:r>
        <w:rPr>
          <w:rFonts w:asciiTheme="minorHAnsi" w:hAnsiTheme="minorHAnsi" w:cstheme="minorHAnsi"/>
        </w:rPr>
        <w:t>201</w:t>
      </w:r>
      <w:r>
        <w:rPr>
          <w:rFonts w:asciiTheme="minorHAnsi" w:hAnsiTheme="minorHAnsi" w:cstheme="minorHAnsi"/>
          <w:lang w:val="sr-Cyrl-RS"/>
        </w:rPr>
        <w:t>6</w:t>
      </w:r>
      <w:r>
        <w:rPr>
          <w:rFonts w:asciiTheme="minorHAnsi" w:hAnsiTheme="minorHAnsi" w:cstheme="minorHAnsi"/>
        </w:rPr>
        <w:t>.</w:t>
      </w:r>
      <w:r>
        <w:rPr>
          <w:rFonts w:asciiTheme="minorHAnsi" w:hAnsiTheme="minorHAnsi" w:cstheme="minorHAnsi"/>
          <w:lang w:val="sr-Cyrl-RS"/>
        </w:rPr>
        <w:t xml:space="preserve"> </w:t>
      </w:r>
      <w:r>
        <w:rPr>
          <w:rFonts w:asciiTheme="minorHAnsi" w:hAnsiTheme="minorHAnsi" w:cstheme="minorHAnsi"/>
        </w:rPr>
        <w:t>годин</w:t>
      </w:r>
      <w:r>
        <w:rPr>
          <w:rFonts w:asciiTheme="minorHAnsi" w:hAnsiTheme="minorHAnsi" w:cstheme="minorHAnsi"/>
          <w:lang w:val="sr-Cyrl-CS"/>
        </w:rPr>
        <w:t xml:space="preserve">е, када је </w:t>
      </w:r>
      <w:r>
        <w:rPr>
          <w:rFonts w:asciiTheme="minorHAnsi" w:hAnsiTheme="minorHAnsi" w:cstheme="minorHAnsi"/>
          <w:lang w:val="sr-Cyrl-RS"/>
        </w:rPr>
        <w:t xml:space="preserve">у апсолутном броју износио 131. </w:t>
      </w:r>
    </w:p>
    <w:p>
      <w:pPr>
        <w:jc w:val="both"/>
        <w:rPr>
          <w:rFonts w:asciiTheme="minorHAnsi" w:hAnsiTheme="minorHAnsi" w:cstheme="minorHAnsi"/>
        </w:rPr>
      </w:pPr>
      <w:r>
        <w:rPr>
          <w:rFonts w:asciiTheme="minorHAnsi" w:hAnsiTheme="minorHAnsi" w:cstheme="minorHAnsi"/>
          <w:lang w:val="sr-Cyrl-CS"/>
        </w:rPr>
        <w:t>У сложенијим демографским анализама природног прираштаја, поред значајног утицаја броја рођених и броја умрлих на одређеном подручју, примјењује се и фактор миграционих кретања, односно миграциони салдо, као разлика између броја досељених и исељених становника. Према тој методологији, стопа природног прираштаја исказана 2012. године (5,79‰-на 1.000 становника око 6 нових становника, а најнижи 2013. године 4,71‰).</w:t>
      </w:r>
      <w:r>
        <w:rPr>
          <w:rFonts w:asciiTheme="minorHAnsi" w:hAnsiTheme="minorHAnsi" w:cstheme="minorHAnsi"/>
        </w:rPr>
        <w:t xml:space="preserve"> </w:t>
      </w:r>
    </w:p>
    <w:p>
      <w:pPr>
        <w:jc w:val="both"/>
        <w:rPr>
          <w:rFonts w:ascii="Times New Roman" w:hAnsi="Times New Roman"/>
          <w:sz w:val="24"/>
          <w:szCs w:val="24"/>
          <w:lang w:val="sr-Cyrl-CS"/>
        </w:rPr>
      </w:pPr>
    </w:p>
    <w:p>
      <w:pPr>
        <w:jc w:val="both"/>
        <w:rPr>
          <w:rFonts w:asciiTheme="minorHAnsi" w:hAnsiTheme="minorHAnsi" w:cstheme="minorHAnsi"/>
          <w:lang w:val="sr-Cyrl-CS"/>
        </w:rPr>
      </w:pPr>
      <w:bookmarkStart w:id="17" w:name="_Toc505580593"/>
      <w:bookmarkStart w:id="18" w:name="_Toc526170579"/>
      <w:r>
        <w:rPr>
          <w:b/>
          <w:i/>
        </w:rPr>
        <w:t>Миграције становништва</w:t>
      </w:r>
      <w:bookmarkEnd w:id="17"/>
      <w:bookmarkEnd w:id="18"/>
      <w:r>
        <w:rPr>
          <w:b/>
          <w:i/>
          <w:lang w:val="sr-Cyrl-RS"/>
        </w:rPr>
        <w:t xml:space="preserve">. </w:t>
      </w:r>
      <w:r>
        <w:rPr>
          <w:rFonts w:asciiTheme="minorHAnsi" w:hAnsiTheme="minorHAnsi" w:cstheme="minorHAnsi"/>
          <w:lang w:val="sr-Cyrl-CS"/>
        </w:rPr>
        <w:t xml:space="preserve">Према Одлуци о образовању, организовању, пословима и начину финансирања мјесних заједница на подручју Града Бања Лука – Пречишћени текст („Службени гласник града Бања Лука“ број 3/10, 17/11 и 25/14) у члану 3. мјесне заједнице су образоване за насељена мјеста и за дио територије града, тако да мјесних заједница за насељено мјесто има 35 (МЗ Агино село, МЗ Бистрица, МЗ Борковићи, МЗ Бочац, МЗ Бронзан Мајдан, МЗ Верићи, МЗ Голеши, МЗ Горња Пискавица, МЗ Дебељаци, МЗ Доња Кола, МЗ Драгочај, МЗ Дракулић, МЗ Залужани, МЗ Карановац, МЗ Кмећани, МЗ Кола, МЗ Крмине, МЗ Крупа на Врбасу, МЗ Љубачево, МЗ Мишин Хан, МЗ Мотике, МЗ Павићи, МЗ Пискавица, МЗ Поткозарје, МЗ Пријаковци, МЗ Рекавице </w:t>
      </w:r>
      <w:r>
        <w:rPr>
          <w:rFonts w:asciiTheme="minorHAnsi" w:hAnsiTheme="minorHAnsi" w:cstheme="minorHAnsi"/>
        </w:rPr>
        <w:t>I</w:t>
      </w:r>
      <w:r>
        <w:rPr>
          <w:rFonts w:asciiTheme="minorHAnsi" w:hAnsiTheme="minorHAnsi" w:cstheme="minorHAnsi"/>
          <w:lang w:val="sr-Cyrl-CS"/>
        </w:rPr>
        <w:t xml:space="preserve">, МЗ Рекавице </w:t>
      </w:r>
      <w:r>
        <w:rPr>
          <w:rFonts w:asciiTheme="minorHAnsi" w:hAnsiTheme="minorHAnsi" w:cstheme="minorHAnsi"/>
        </w:rPr>
        <w:t>II</w:t>
      </w:r>
      <w:r>
        <w:rPr>
          <w:rFonts w:asciiTheme="minorHAnsi" w:hAnsiTheme="minorHAnsi" w:cstheme="minorHAnsi"/>
          <w:lang w:val="sr-Cyrl-CS"/>
        </w:rPr>
        <w:t xml:space="preserve">, МЗ Сарачица, МЗ Стратинска, МЗ Стричићи, МЗ Шарговац, МЗ Шимићи, МЗ Куљани, МЗ Пријечани), које представљају руралне мјесне заједнице и 22 мјесне заједнице образоване за дио територије града (МЗ Ада, МЗ Борик </w:t>
      </w:r>
      <w:r>
        <w:rPr>
          <w:rFonts w:asciiTheme="minorHAnsi" w:hAnsiTheme="minorHAnsi" w:cstheme="minorHAnsi"/>
        </w:rPr>
        <w:t xml:space="preserve">I, </w:t>
      </w:r>
      <w:r>
        <w:rPr>
          <w:rFonts w:asciiTheme="minorHAnsi" w:hAnsiTheme="minorHAnsi" w:cstheme="minorHAnsi"/>
          <w:lang w:val="sr-Cyrl-CS"/>
        </w:rPr>
        <w:t xml:space="preserve">МЗ Борик </w:t>
      </w:r>
      <w:r>
        <w:rPr>
          <w:rFonts w:asciiTheme="minorHAnsi" w:hAnsiTheme="minorHAnsi" w:cstheme="minorHAnsi"/>
        </w:rPr>
        <w:t xml:space="preserve">II, </w:t>
      </w:r>
      <w:r>
        <w:rPr>
          <w:rFonts w:asciiTheme="minorHAnsi" w:hAnsiTheme="minorHAnsi" w:cstheme="minorHAnsi"/>
          <w:lang w:val="sr-Cyrl-CS"/>
        </w:rPr>
        <w:t xml:space="preserve">МЗ Булевар, МЗ Врбања, МЗ Кочићев Вијенац, МЗ Лазарево </w:t>
      </w:r>
      <w:r>
        <w:rPr>
          <w:rFonts w:asciiTheme="minorHAnsi" w:hAnsiTheme="minorHAnsi" w:cstheme="minorHAnsi"/>
        </w:rPr>
        <w:t>I</w:t>
      </w:r>
      <w:r>
        <w:rPr>
          <w:rFonts w:asciiTheme="minorHAnsi" w:hAnsiTheme="minorHAnsi" w:cstheme="minorHAnsi"/>
          <w:lang w:val="sr-Cyrl-CS"/>
        </w:rPr>
        <w:t xml:space="preserve">, МЗ Лазарево </w:t>
      </w:r>
      <w:r>
        <w:rPr>
          <w:rFonts w:asciiTheme="minorHAnsi" w:hAnsiTheme="minorHAnsi" w:cstheme="minorHAnsi"/>
        </w:rPr>
        <w:t>II</w:t>
      </w:r>
      <w:r>
        <w:rPr>
          <w:rFonts w:asciiTheme="minorHAnsi" w:hAnsiTheme="minorHAnsi" w:cstheme="minorHAnsi"/>
          <w:lang w:val="sr-Cyrl-CS"/>
        </w:rPr>
        <w:t xml:space="preserve">, МЗ Лауш </w:t>
      </w:r>
      <w:r>
        <w:rPr>
          <w:rFonts w:asciiTheme="minorHAnsi" w:hAnsiTheme="minorHAnsi" w:cstheme="minorHAnsi"/>
        </w:rPr>
        <w:t>I</w:t>
      </w:r>
      <w:r>
        <w:rPr>
          <w:rFonts w:asciiTheme="minorHAnsi" w:hAnsiTheme="minorHAnsi" w:cstheme="minorHAnsi"/>
          <w:lang w:val="sr-Cyrl-CS"/>
        </w:rPr>
        <w:t xml:space="preserve">, МЗ Лауш </w:t>
      </w:r>
      <w:r>
        <w:rPr>
          <w:rFonts w:asciiTheme="minorHAnsi" w:hAnsiTheme="minorHAnsi" w:cstheme="minorHAnsi"/>
        </w:rPr>
        <w:t>II</w:t>
      </w:r>
      <w:r>
        <w:rPr>
          <w:rFonts w:asciiTheme="minorHAnsi" w:hAnsiTheme="minorHAnsi" w:cstheme="minorHAnsi"/>
          <w:lang w:val="sr-Cyrl-CS"/>
        </w:rPr>
        <w:t xml:space="preserve">, МЗ Нова Варош, МЗ Обилићево </w:t>
      </w:r>
      <w:r>
        <w:rPr>
          <w:rFonts w:asciiTheme="minorHAnsi" w:hAnsiTheme="minorHAnsi" w:cstheme="minorHAnsi"/>
        </w:rPr>
        <w:t>I</w:t>
      </w:r>
      <w:r>
        <w:rPr>
          <w:rFonts w:asciiTheme="minorHAnsi" w:hAnsiTheme="minorHAnsi" w:cstheme="minorHAnsi"/>
          <w:lang w:val="sr-Cyrl-CS"/>
        </w:rPr>
        <w:t xml:space="preserve">, МЗ Обилићево </w:t>
      </w:r>
      <w:r>
        <w:rPr>
          <w:rFonts w:asciiTheme="minorHAnsi" w:hAnsiTheme="minorHAnsi" w:cstheme="minorHAnsi"/>
        </w:rPr>
        <w:t>II</w:t>
      </w:r>
      <w:r>
        <w:rPr>
          <w:rFonts w:asciiTheme="minorHAnsi" w:hAnsiTheme="minorHAnsi" w:cstheme="minorHAnsi"/>
          <w:lang w:val="sr-Cyrl-CS"/>
        </w:rPr>
        <w:t xml:space="preserve">, МЗ Паприковац, МЗ Петрићевац, МЗ Побрђе, МЗ Росуље, МЗ Српске Топлице, МЗ Старчевица, МЗ Центар </w:t>
      </w:r>
      <w:r>
        <w:rPr>
          <w:rFonts w:asciiTheme="minorHAnsi" w:hAnsiTheme="minorHAnsi" w:cstheme="minorHAnsi"/>
        </w:rPr>
        <w:t>I</w:t>
      </w:r>
      <w:r>
        <w:rPr>
          <w:rFonts w:asciiTheme="minorHAnsi" w:hAnsiTheme="minorHAnsi" w:cstheme="minorHAnsi"/>
          <w:lang w:val="sr-Cyrl-CS"/>
        </w:rPr>
        <w:t xml:space="preserve">, МЗ Центар </w:t>
      </w:r>
      <w:r>
        <w:rPr>
          <w:rFonts w:asciiTheme="minorHAnsi" w:hAnsiTheme="minorHAnsi" w:cstheme="minorHAnsi"/>
        </w:rPr>
        <w:t>II</w:t>
      </w:r>
      <w:r>
        <w:rPr>
          <w:rFonts w:asciiTheme="minorHAnsi" w:hAnsiTheme="minorHAnsi" w:cstheme="minorHAnsi"/>
          <w:lang w:val="sr-Cyrl-CS"/>
        </w:rPr>
        <w:t xml:space="preserve"> и МЗ Чесма).</w:t>
      </w:r>
    </w:p>
    <w:p>
      <w:pPr>
        <w:ind w:firstLine="720"/>
        <w:jc w:val="both"/>
        <w:rPr>
          <w:rFonts w:ascii="Times New Roman" w:hAnsi="Times New Roman"/>
          <w:color w:val="FF0000"/>
          <w:sz w:val="24"/>
          <w:szCs w:val="24"/>
        </w:rPr>
      </w:pPr>
    </w:p>
    <w:p>
      <w:pPr>
        <w:jc w:val="both"/>
        <w:rPr>
          <w:rFonts w:asciiTheme="minorHAnsi" w:hAnsiTheme="minorHAnsi" w:cstheme="minorHAnsi"/>
          <w:lang w:val="sr-Cyrl-CS"/>
        </w:rPr>
      </w:pPr>
      <w:r>
        <w:rPr>
          <w:rFonts w:asciiTheme="minorHAnsi" w:hAnsiTheme="minorHAnsi" w:cstheme="minorHAnsi"/>
        </w:rPr>
        <w:t>Према Попису становништва из 2013. године</w:t>
      </w:r>
      <w:r>
        <w:rPr>
          <w:rFonts w:asciiTheme="minorHAnsi" w:hAnsiTheme="minorHAnsi" w:cstheme="minorHAnsi"/>
          <w:lang w:val="sr-Cyrl-CS"/>
        </w:rPr>
        <w:t>,</w:t>
      </w:r>
      <w:r>
        <w:rPr>
          <w:rFonts w:asciiTheme="minorHAnsi" w:hAnsiTheme="minorHAnsi" w:cstheme="minorHAnsi"/>
        </w:rPr>
        <w:t xml:space="preserve"> у урбаном д</w:t>
      </w:r>
      <w:r>
        <w:rPr>
          <w:rFonts w:asciiTheme="minorHAnsi" w:hAnsiTheme="minorHAnsi" w:cstheme="minorHAnsi"/>
          <w:lang w:val="sr-Cyrl-CS"/>
        </w:rPr>
        <w:t>иј</w:t>
      </w:r>
      <w:r>
        <w:rPr>
          <w:rFonts w:asciiTheme="minorHAnsi" w:hAnsiTheme="minorHAnsi" w:cstheme="minorHAnsi"/>
        </w:rPr>
        <w:t>елу града жив</w:t>
      </w:r>
      <w:r>
        <w:rPr>
          <w:rFonts w:asciiTheme="minorHAnsi" w:hAnsiTheme="minorHAnsi" w:cstheme="minorHAnsi"/>
          <w:lang w:val="sr-Cyrl-CS"/>
        </w:rPr>
        <w:t xml:space="preserve">јело је </w:t>
      </w:r>
      <w:r>
        <w:rPr>
          <w:rFonts w:asciiTheme="minorHAnsi" w:hAnsiTheme="minorHAnsi" w:cstheme="minorHAnsi"/>
        </w:rPr>
        <w:t xml:space="preserve"> </w:t>
      </w:r>
      <w:r>
        <w:rPr>
          <w:rFonts w:asciiTheme="minorHAnsi" w:hAnsiTheme="minorHAnsi" w:cstheme="minorHAnsi"/>
          <w:lang w:val="sr-Cyrl-CS"/>
        </w:rPr>
        <w:t>135.059</w:t>
      </w:r>
      <w:r>
        <w:rPr>
          <w:rFonts w:asciiTheme="minorHAnsi" w:hAnsiTheme="minorHAnsi" w:cstheme="minorHAnsi"/>
        </w:rPr>
        <w:t xml:space="preserve"> становника, односно 75</w:t>
      </w:r>
      <w:r>
        <w:rPr>
          <w:rFonts w:asciiTheme="minorHAnsi" w:hAnsiTheme="minorHAnsi" w:cstheme="minorHAnsi"/>
          <w:lang w:val="sr-Cyrl-CS"/>
        </w:rPr>
        <w:t>,0</w:t>
      </w:r>
      <w:r>
        <w:rPr>
          <w:rFonts w:asciiTheme="minorHAnsi" w:hAnsiTheme="minorHAnsi" w:cstheme="minorHAnsi"/>
        </w:rPr>
        <w:t>% укупног броја становника. Према Попису становништва из 1991. године</w:t>
      </w:r>
      <w:r>
        <w:rPr>
          <w:rFonts w:asciiTheme="minorHAnsi" w:hAnsiTheme="minorHAnsi" w:cstheme="minorHAnsi"/>
          <w:lang w:val="sr-Cyrl-RS"/>
        </w:rPr>
        <w:t>,</w:t>
      </w:r>
      <w:r>
        <w:rPr>
          <w:rFonts w:asciiTheme="minorHAnsi" w:hAnsiTheme="minorHAnsi" w:cstheme="minorHAnsi"/>
        </w:rPr>
        <w:t xml:space="preserve"> у урбаној средини жив</w:t>
      </w:r>
      <w:r>
        <w:rPr>
          <w:rFonts w:asciiTheme="minorHAnsi" w:hAnsiTheme="minorHAnsi" w:cstheme="minorHAnsi"/>
          <w:lang w:val="sr-Cyrl-RS"/>
        </w:rPr>
        <w:t>ј</w:t>
      </w:r>
      <w:r>
        <w:rPr>
          <w:rFonts w:asciiTheme="minorHAnsi" w:hAnsiTheme="minorHAnsi" w:cstheme="minorHAnsi"/>
        </w:rPr>
        <w:t>ело је 73,1 % укупног становништва</w:t>
      </w:r>
      <w:r>
        <w:rPr>
          <w:rFonts w:asciiTheme="minorHAnsi" w:hAnsiTheme="minorHAnsi" w:cstheme="minorHAnsi"/>
          <w:lang w:val="sr-Cyrl-CS"/>
        </w:rPr>
        <w:t>, што значи да</w:t>
      </w:r>
      <w:r>
        <w:rPr>
          <w:rFonts w:asciiTheme="minorHAnsi" w:hAnsiTheme="minorHAnsi" w:cstheme="minorHAnsi"/>
        </w:rPr>
        <w:t xml:space="preserve"> миграције из руралних у урбану средину између два пописа нису </w:t>
      </w:r>
      <w:r>
        <w:rPr>
          <w:rFonts w:asciiTheme="minorHAnsi" w:hAnsiTheme="minorHAnsi" w:cstheme="minorHAnsi"/>
          <w:lang w:val="sr-Cyrl-RS"/>
        </w:rPr>
        <w:t>значајне</w:t>
      </w:r>
      <w:r>
        <w:rPr>
          <w:rFonts w:asciiTheme="minorHAnsi" w:hAnsiTheme="minorHAnsi" w:cstheme="minorHAnsi"/>
          <w:lang w:val="sr-Cyrl-CS"/>
        </w:rPr>
        <w:t xml:space="preserve">. Међутим, </w:t>
      </w:r>
      <w:r>
        <w:rPr>
          <w:rFonts w:asciiTheme="minorHAnsi" w:hAnsiTheme="minorHAnsi" w:cstheme="minorHAnsi"/>
        </w:rPr>
        <w:t xml:space="preserve">у појединим руралним срединама забиљежене су </w:t>
      </w:r>
      <w:r>
        <w:rPr>
          <w:rFonts w:asciiTheme="minorHAnsi" w:hAnsiTheme="minorHAnsi" w:cstheme="minorHAnsi"/>
          <w:lang w:val="sr-Cyrl-CS"/>
        </w:rPr>
        <w:t xml:space="preserve">знатне </w:t>
      </w:r>
      <w:r>
        <w:rPr>
          <w:rFonts w:asciiTheme="minorHAnsi" w:hAnsiTheme="minorHAnsi" w:cstheme="minorHAnsi"/>
        </w:rPr>
        <w:t xml:space="preserve">промене броја становника, </w:t>
      </w:r>
      <w:r>
        <w:rPr>
          <w:rFonts w:asciiTheme="minorHAnsi" w:hAnsiTheme="minorHAnsi" w:cstheme="minorHAnsi"/>
          <w:lang w:val="sr-Cyrl-CS"/>
        </w:rPr>
        <w:t xml:space="preserve">у смислу повећања или смањења </w:t>
      </w:r>
      <w:r>
        <w:rPr>
          <w:rFonts w:asciiTheme="minorHAnsi" w:hAnsiTheme="minorHAnsi" w:cstheme="minorHAnsi"/>
        </w:rPr>
        <w:t>и до три пута</w:t>
      </w:r>
      <w:r>
        <w:rPr>
          <w:rFonts w:asciiTheme="minorHAnsi" w:hAnsiTheme="minorHAnsi" w:cstheme="minorHAnsi"/>
          <w:lang w:val="sr-Cyrl-CS"/>
        </w:rPr>
        <w:t>.</w:t>
      </w:r>
    </w:p>
    <w:p>
      <w:pPr>
        <w:ind w:firstLine="720"/>
        <w:jc w:val="both"/>
        <w:rPr>
          <w:rFonts w:asciiTheme="minorHAnsi" w:hAnsiTheme="minorHAnsi" w:cstheme="minorHAnsi"/>
          <w:color w:val="FF0000"/>
        </w:rPr>
      </w:pPr>
    </w:p>
    <w:p>
      <w:pPr>
        <w:jc w:val="both"/>
        <w:rPr>
          <w:rFonts w:asciiTheme="minorHAnsi" w:hAnsiTheme="minorHAnsi" w:cstheme="minorHAnsi"/>
        </w:rPr>
      </w:pPr>
      <w:r>
        <w:rPr>
          <w:rFonts w:asciiTheme="minorHAnsi" w:hAnsiTheme="minorHAnsi" w:cstheme="minorHAnsi"/>
        </w:rPr>
        <w:t>Према попису становништва из 2013. године, у руралном подручју живјело је 44</w:t>
      </w:r>
      <w:r>
        <w:rPr>
          <w:rFonts w:asciiTheme="minorHAnsi" w:hAnsiTheme="minorHAnsi" w:cstheme="minorHAnsi"/>
          <w:lang w:val="sr-Cyrl-RS"/>
        </w:rPr>
        <w:t>.</w:t>
      </w:r>
      <w:r>
        <w:rPr>
          <w:rFonts w:asciiTheme="minorHAnsi" w:hAnsiTheme="minorHAnsi" w:cstheme="minorHAnsi"/>
        </w:rPr>
        <w:t>994 становника, од којих највише становника у мјесним заједницама: Драгочај (4.697), Куљани (4</w:t>
      </w:r>
      <w:r>
        <w:rPr>
          <w:rFonts w:asciiTheme="minorHAnsi" w:hAnsiTheme="minorHAnsi" w:cstheme="minorHAnsi"/>
          <w:lang w:val="sr-Cyrl-CS"/>
        </w:rPr>
        <w:t>.</w:t>
      </w:r>
      <w:r>
        <w:rPr>
          <w:rFonts w:asciiTheme="minorHAnsi" w:hAnsiTheme="minorHAnsi" w:cstheme="minorHAnsi"/>
        </w:rPr>
        <w:t>126), Шарговац (3</w:t>
      </w:r>
      <w:r>
        <w:rPr>
          <w:rFonts w:asciiTheme="minorHAnsi" w:hAnsiTheme="minorHAnsi" w:cstheme="minorHAnsi"/>
          <w:lang w:val="sr-Cyrl-CS"/>
        </w:rPr>
        <w:t>.</w:t>
      </w:r>
      <w:r>
        <w:rPr>
          <w:rFonts w:asciiTheme="minorHAnsi" w:hAnsiTheme="minorHAnsi" w:cstheme="minorHAnsi"/>
        </w:rPr>
        <w:t>014), Поткозарје (2</w:t>
      </w:r>
      <w:r>
        <w:rPr>
          <w:rFonts w:asciiTheme="minorHAnsi" w:hAnsiTheme="minorHAnsi" w:cstheme="minorHAnsi"/>
          <w:lang w:val="sr-Cyrl-CS"/>
        </w:rPr>
        <w:t>.</w:t>
      </w:r>
      <w:r>
        <w:rPr>
          <w:rFonts w:asciiTheme="minorHAnsi" w:hAnsiTheme="minorHAnsi" w:cstheme="minorHAnsi"/>
        </w:rPr>
        <w:t>965), Пискавица (2</w:t>
      </w:r>
      <w:r>
        <w:rPr>
          <w:rFonts w:asciiTheme="minorHAnsi" w:hAnsiTheme="minorHAnsi" w:cstheme="minorHAnsi"/>
          <w:lang w:val="sr-Cyrl-CS"/>
        </w:rPr>
        <w:t>.</w:t>
      </w:r>
      <w:r>
        <w:rPr>
          <w:rFonts w:asciiTheme="minorHAnsi" w:hAnsiTheme="minorHAnsi" w:cstheme="minorHAnsi"/>
        </w:rPr>
        <w:t>885) и Мотике (2</w:t>
      </w:r>
      <w:r>
        <w:rPr>
          <w:rFonts w:asciiTheme="minorHAnsi" w:hAnsiTheme="minorHAnsi" w:cstheme="minorHAnsi"/>
          <w:lang w:val="sr-Cyrl-CS"/>
        </w:rPr>
        <w:t>.</w:t>
      </w:r>
      <w:r>
        <w:rPr>
          <w:rFonts w:asciiTheme="minorHAnsi" w:hAnsiTheme="minorHAnsi" w:cstheme="minorHAnsi"/>
        </w:rPr>
        <w:t>475), док мјесне заједнице Шимићи (43), Стратинска (196) и Кмећани (205) имају најмањи број становника.</w:t>
      </w:r>
    </w:p>
    <w:p>
      <w:pPr>
        <w:tabs>
          <w:tab w:val="left" w:pos="180"/>
        </w:tabs>
        <w:ind w:right="-288" w:firstLine="720"/>
        <w:jc w:val="both"/>
        <w:rPr>
          <w:rFonts w:ascii="Times New Roman" w:hAnsi="Times New Roman"/>
          <w:sz w:val="24"/>
          <w:szCs w:val="24"/>
          <w:lang w:val="sr-Cyrl-CS"/>
        </w:rPr>
      </w:pPr>
    </w:p>
    <w:p>
      <w:pPr>
        <w:tabs>
          <w:tab w:val="left" w:pos="180"/>
        </w:tabs>
        <w:ind w:right="-288"/>
        <w:jc w:val="both"/>
        <w:rPr>
          <w:rFonts w:asciiTheme="minorHAnsi" w:hAnsiTheme="minorHAnsi" w:cstheme="minorHAnsi"/>
        </w:rPr>
      </w:pPr>
      <w:r>
        <w:rPr>
          <w:rFonts w:asciiTheme="minorHAnsi" w:hAnsiTheme="minorHAnsi" w:cstheme="minorHAnsi"/>
          <w:lang w:val="sr-Cyrl-CS"/>
        </w:rPr>
        <w:t xml:space="preserve">У периоду између два пописа становништва, односно у периоду од 22 године, забиљежено је знатно </w:t>
      </w:r>
      <w:r>
        <w:rPr>
          <w:rFonts w:asciiTheme="minorHAnsi" w:hAnsiTheme="minorHAnsi" w:cstheme="minorHAnsi"/>
        </w:rPr>
        <w:t>смањење броја становника у мјесним заједницама Бронзани Мајдан</w:t>
      </w:r>
      <w:r>
        <w:rPr>
          <w:rFonts w:asciiTheme="minorHAnsi" w:hAnsiTheme="minorHAnsi" w:cstheme="minorHAnsi"/>
          <w:lang w:val="sr-Cyrl-CS"/>
        </w:rPr>
        <w:t>,</w:t>
      </w:r>
      <w:r>
        <w:rPr>
          <w:rFonts w:asciiTheme="minorHAnsi" w:hAnsiTheme="minorHAnsi" w:cstheme="minorHAnsi"/>
        </w:rPr>
        <w:t xml:space="preserve"> са 3</w:t>
      </w:r>
      <w:r>
        <w:rPr>
          <w:rFonts w:asciiTheme="minorHAnsi" w:hAnsiTheme="minorHAnsi" w:cstheme="minorHAnsi"/>
          <w:lang w:val="sr-Cyrl-RS"/>
        </w:rPr>
        <w:t>.</w:t>
      </w:r>
      <w:r>
        <w:rPr>
          <w:rFonts w:asciiTheme="minorHAnsi" w:hAnsiTheme="minorHAnsi" w:cstheme="minorHAnsi"/>
        </w:rPr>
        <w:t>325 на 1</w:t>
      </w:r>
      <w:r>
        <w:rPr>
          <w:rFonts w:asciiTheme="minorHAnsi" w:hAnsiTheme="minorHAnsi" w:cstheme="minorHAnsi"/>
          <w:lang w:val="sr-Cyrl-RS"/>
        </w:rPr>
        <w:t>.</w:t>
      </w:r>
      <w:r>
        <w:rPr>
          <w:rFonts w:asciiTheme="minorHAnsi" w:hAnsiTheme="minorHAnsi" w:cstheme="minorHAnsi"/>
        </w:rPr>
        <w:t>798 становника, Шимићи са 1</w:t>
      </w:r>
      <w:r>
        <w:rPr>
          <w:rFonts w:asciiTheme="minorHAnsi" w:hAnsiTheme="minorHAnsi" w:cstheme="minorHAnsi"/>
          <w:lang w:val="sr-Cyrl-RS"/>
        </w:rPr>
        <w:t>.</w:t>
      </w:r>
      <w:r>
        <w:rPr>
          <w:rFonts w:asciiTheme="minorHAnsi" w:hAnsiTheme="minorHAnsi" w:cstheme="minorHAnsi"/>
        </w:rPr>
        <w:t>516 на 43, Пискавица 4</w:t>
      </w:r>
      <w:r>
        <w:rPr>
          <w:rFonts w:asciiTheme="minorHAnsi" w:hAnsiTheme="minorHAnsi" w:cstheme="minorHAnsi"/>
          <w:lang w:val="sr-Cyrl-RS"/>
        </w:rPr>
        <w:t>.</w:t>
      </w:r>
      <w:r>
        <w:rPr>
          <w:rFonts w:asciiTheme="minorHAnsi" w:hAnsiTheme="minorHAnsi" w:cstheme="minorHAnsi"/>
        </w:rPr>
        <w:t>312 на 2</w:t>
      </w:r>
      <w:r>
        <w:rPr>
          <w:rFonts w:asciiTheme="minorHAnsi" w:hAnsiTheme="minorHAnsi" w:cstheme="minorHAnsi"/>
          <w:lang w:val="sr-Cyrl-RS"/>
        </w:rPr>
        <w:t>.</w:t>
      </w:r>
      <w:r>
        <w:rPr>
          <w:rFonts w:asciiTheme="minorHAnsi" w:hAnsiTheme="minorHAnsi" w:cstheme="minorHAnsi"/>
        </w:rPr>
        <w:t>885, Поткозарје 4</w:t>
      </w:r>
      <w:r>
        <w:rPr>
          <w:rFonts w:asciiTheme="minorHAnsi" w:hAnsiTheme="minorHAnsi" w:cstheme="minorHAnsi"/>
          <w:lang w:val="sr-Cyrl-RS"/>
        </w:rPr>
        <w:t>.</w:t>
      </w:r>
      <w:r>
        <w:rPr>
          <w:rFonts w:asciiTheme="minorHAnsi" w:hAnsiTheme="minorHAnsi" w:cstheme="minorHAnsi"/>
        </w:rPr>
        <w:t>577 на 2</w:t>
      </w:r>
      <w:r>
        <w:rPr>
          <w:rFonts w:asciiTheme="minorHAnsi" w:hAnsiTheme="minorHAnsi" w:cstheme="minorHAnsi"/>
          <w:lang w:val="sr-Cyrl-RS"/>
        </w:rPr>
        <w:t>.</w:t>
      </w:r>
      <w:r>
        <w:rPr>
          <w:rFonts w:asciiTheme="minorHAnsi" w:hAnsiTheme="minorHAnsi" w:cstheme="minorHAnsi"/>
        </w:rPr>
        <w:t>965, Стратинска са 730 на 196, Кола са 2</w:t>
      </w:r>
      <w:r>
        <w:rPr>
          <w:rFonts w:asciiTheme="minorHAnsi" w:hAnsiTheme="minorHAnsi" w:cstheme="minorHAnsi"/>
          <w:lang w:val="sr-Cyrl-RS"/>
        </w:rPr>
        <w:t>.</w:t>
      </w:r>
      <w:r>
        <w:rPr>
          <w:rFonts w:asciiTheme="minorHAnsi" w:hAnsiTheme="minorHAnsi" w:cstheme="minorHAnsi"/>
        </w:rPr>
        <w:t>364 на 1</w:t>
      </w:r>
      <w:r>
        <w:rPr>
          <w:rFonts w:asciiTheme="minorHAnsi" w:hAnsiTheme="minorHAnsi" w:cstheme="minorHAnsi"/>
          <w:lang w:val="sr-Cyrl-RS"/>
        </w:rPr>
        <w:t>.</w:t>
      </w:r>
      <w:r>
        <w:rPr>
          <w:rFonts w:asciiTheme="minorHAnsi" w:hAnsiTheme="minorHAnsi" w:cstheme="minorHAnsi"/>
        </w:rPr>
        <w:t xml:space="preserve">266 становника, док је у </w:t>
      </w:r>
      <w:r>
        <w:rPr>
          <w:rFonts w:asciiTheme="minorHAnsi" w:hAnsiTheme="minorHAnsi" w:cstheme="minorHAnsi"/>
          <w:lang w:val="sr-Cyrl-CS"/>
        </w:rPr>
        <w:t xml:space="preserve">сљедећим </w:t>
      </w:r>
      <w:r>
        <w:rPr>
          <w:rFonts w:asciiTheme="minorHAnsi" w:hAnsiTheme="minorHAnsi" w:cstheme="minorHAnsi"/>
        </w:rPr>
        <w:t>м</w:t>
      </w:r>
      <w:r>
        <w:rPr>
          <w:rFonts w:asciiTheme="minorHAnsi" w:hAnsiTheme="minorHAnsi" w:cstheme="minorHAnsi"/>
          <w:lang w:val="sr-Cyrl-CS"/>
        </w:rPr>
        <w:t>ј</w:t>
      </w:r>
      <w:r>
        <w:rPr>
          <w:rFonts w:asciiTheme="minorHAnsi" w:hAnsiTheme="minorHAnsi" w:cstheme="minorHAnsi"/>
        </w:rPr>
        <w:t xml:space="preserve">есним заједницама </w:t>
      </w:r>
      <w:r>
        <w:rPr>
          <w:rFonts w:asciiTheme="minorHAnsi" w:hAnsiTheme="minorHAnsi" w:cstheme="minorHAnsi"/>
          <w:lang w:val="sr-Cyrl-CS"/>
        </w:rPr>
        <w:t>евидентан</w:t>
      </w:r>
      <w:r>
        <w:rPr>
          <w:rFonts w:asciiTheme="minorHAnsi" w:hAnsiTheme="minorHAnsi" w:cstheme="minorHAnsi"/>
        </w:rPr>
        <w:t xml:space="preserve"> пораст броја становника: Куљани са 1.207 на 4.126, Дракулић са 319 на 1</w:t>
      </w:r>
      <w:r>
        <w:rPr>
          <w:rFonts w:asciiTheme="minorHAnsi" w:hAnsiTheme="minorHAnsi" w:cstheme="minorHAnsi"/>
          <w:lang w:val="sr-Cyrl-RS"/>
        </w:rPr>
        <w:t>.</w:t>
      </w:r>
      <w:r>
        <w:rPr>
          <w:rFonts w:asciiTheme="minorHAnsi" w:hAnsiTheme="minorHAnsi" w:cstheme="minorHAnsi"/>
        </w:rPr>
        <w:t>262 становника, Пријечани са 840 на 1</w:t>
      </w:r>
      <w:r>
        <w:rPr>
          <w:rFonts w:asciiTheme="minorHAnsi" w:hAnsiTheme="minorHAnsi" w:cstheme="minorHAnsi"/>
          <w:lang w:val="sr-Cyrl-RS"/>
        </w:rPr>
        <w:t>.</w:t>
      </w:r>
      <w:r>
        <w:rPr>
          <w:rFonts w:asciiTheme="minorHAnsi" w:hAnsiTheme="minorHAnsi" w:cstheme="minorHAnsi"/>
        </w:rPr>
        <w:t>992, Шарговац 1</w:t>
      </w:r>
      <w:r>
        <w:rPr>
          <w:rFonts w:asciiTheme="minorHAnsi" w:hAnsiTheme="minorHAnsi" w:cstheme="minorHAnsi"/>
          <w:lang w:val="sr-Cyrl-RS"/>
        </w:rPr>
        <w:t>.</w:t>
      </w:r>
      <w:r>
        <w:rPr>
          <w:rFonts w:asciiTheme="minorHAnsi" w:hAnsiTheme="minorHAnsi" w:cstheme="minorHAnsi"/>
        </w:rPr>
        <w:t>313 на 3</w:t>
      </w:r>
      <w:r>
        <w:rPr>
          <w:rFonts w:asciiTheme="minorHAnsi" w:hAnsiTheme="minorHAnsi" w:cstheme="minorHAnsi"/>
          <w:lang w:val="sr-Cyrl-RS"/>
        </w:rPr>
        <w:t>.</w:t>
      </w:r>
      <w:r>
        <w:rPr>
          <w:rFonts w:asciiTheme="minorHAnsi" w:hAnsiTheme="minorHAnsi" w:cstheme="minorHAnsi"/>
        </w:rPr>
        <w:t xml:space="preserve">014 становника. </w:t>
      </w:r>
    </w:p>
    <w:p>
      <w:pPr>
        <w:tabs>
          <w:tab w:val="left" w:pos="180"/>
        </w:tabs>
        <w:ind w:right="-288"/>
        <w:jc w:val="both"/>
        <w:rPr>
          <w:rFonts w:asciiTheme="minorHAnsi" w:hAnsiTheme="minorHAnsi" w:cstheme="minorHAnsi"/>
        </w:rPr>
      </w:pPr>
    </w:p>
    <w:p>
      <w:pPr>
        <w:tabs>
          <w:tab w:val="left" w:pos="180"/>
        </w:tabs>
        <w:ind w:right="-288"/>
        <w:jc w:val="both"/>
        <w:rPr>
          <w:rFonts w:asciiTheme="minorHAnsi" w:hAnsiTheme="minorHAnsi" w:cstheme="minorHAnsi"/>
        </w:rPr>
      </w:pPr>
      <w:r>
        <w:rPr>
          <w:rFonts w:asciiTheme="minorHAnsi" w:hAnsiTheme="minorHAnsi" w:cstheme="minorHAnsi"/>
        </w:rPr>
        <w:t xml:space="preserve">Знатан пораст броја становника, у односу на 1991. годину, </w:t>
      </w:r>
      <w:r>
        <w:rPr>
          <w:rFonts w:asciiTheme="minorHAnsi" w:hAnsiTheme="minorHAnsi" w:cstheme="minorHAnsi"/>
          <w:bCs/>
        </w:rPr>
        <w:t>забиљежен је у мјесним заједницама Куљани, Дра</w:t>
      </w:r>
      <w:r>
        <w:rPr>
          <w:rFonts w:asciiTheme="minorHAnsi" w:hAnsiTheme="minorHAnsi" w:cstheme="minorHAnsi"/>
          <w:bCs/>
          <w:lang w:val="sr-Cyrl-CS"/>
        </w:rPr>
        <w:t>гочај</w:t>
      </w:r>
      <w:r>
        <w:rPr>
          <w:rFonts w:asciiTheme="minorHAnsi" w:hAnsiTheme="minorHAnsi" w:cstheme="minorHAnsi"/>
          <w:bCs/>
        </w:rPr>
        <w:t>, Пријечани и Шарговац, који је настао усљед ратних и послијератних миграционих кретања становништва, с обзиром да су се расељена лица у наведеним руралним подручјима насељавала и под повољним условима градил</w:t>
      </w:r>
      <w:r>
        <w:rPr>
          <w:rFonts w:asciiTheme="minorHAnsi" w:hAnsiTheme="minorHAnsi" w:cstheme="minorHAnsi"/>
          <w:bCs/>
          <w:lang w:val="sr-Cyrl-CS"/>
        </w:rPr>
        <w:t>а</w:t>
      </w:r>
      <w:r>
        <w:rPr>
          <w:rFonts w:asciiTheme="minorHAnsi" w:hAnsiTheme="minorHAnsi" w:cstheme="minorHAnsi"/>
          <w:bCs/>
        </w:rPr>
        <w:t xml:space="preserve"> стамбене објекте. Међутим, до смањења броја становника у већем броју удаљених мјесних заједница дошло је усљед одласка младих са села, старачких домаћинстава и немогућности подизања запуштене пољопривредне производње (Бронзани Мајдан, Пискавица, Кола), док у Шимићима и Поткозарју, с предратним претежним хрватским становништв</w:t>
      </w:r>
      <w:r>
        <w:rPr>
          <w:rFonts w:asciiTheme="minorHAnsi" w:hAnsiTheme="minorHAnsi" w:cstheme="minorHAnsi"/>
          <w:bCs/>
          <w:lang w:val="sr-Cyrl-RS"/>
        </w:rPr>
        <w:t>о</w:t>
      </w:r>
      <w:r>
        <w:rPr>
          <w:rFonts w:asciiTheme="minorHAnsi" w:hAnsiTheme="minorHAnsi" w:cstheme="minorHAnsi"/>
          <w:bCs/>
        </w:rPr>
        <w:t>м, и након обнове кућа, није дошло до повратка становништва у предратна пребивалишта</w:t>
      </w:r>
      <w:r>
        <w:rPr>
          <w:rFonts w:asciiTheme="minorHAnsi" w:hAnsiTheme="minorHAnsi" w:cstheme="minorHAnsi"/>
          <w:b/>
          <w:bCs/>
        </w:rPr>
        <w:t>.</w:t>
      </w:r>
      <w:r>
        <w:rPr>
          <w:rFonts w:asciiTheme="minorHAnsi" w:hAnsiTheme="minorHAnsi" w:cstheme="minorHAnsi"/>
        </w:rPr>
        <w:t xml:space="preserve"> </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 xml:space="preserve">У периоду од 2012. до 2016. године, уочен је позитиван салдо миграције становништва, који је </w:t>
      </w:r>
      <w:r>
        <w:rPr>
          <w:rFonts w:asciiTheme="minorHAnsi" w:hAnsiTheme="minorHAnsi" w:cstheme="minorHAnsi"/>
          <w:lang w:val="sr-Cyrl-CS"/>
        </w:rPr>
        <w:t xml:space="preserve">био </w:t>
      </w:r>
      <w:r>
        <w:rPr>
          <w:rFonts w:asciiTheme="minorHAnsi" w:hAnsiTheme="minorHAnsi" w:cstheme="minorHAnsi"/>
        </w:rPr>
        <w:t>највиш</w:t>
      </w:r>
      <w:r>
        <w:rPr>
          <w:rFonts w:asciiTheme="minorHAnsi" w:hAnsiTheme="minorHAnsi" w:cstheme="minorHAnsi"/>
          <w:lang w:val="sr-Cyrl-CS"/>
        </w:rPr>
        <w:t>и</w:t>
      </w:r>
      <w:r>
        <w:rPr>
          <w:rFonts w:asciiTheme="minorHAnsi" w:hAnsiTheme="minorHAnsi" w:cstheme="minorHAnsi"/>
        </w:rPr>
        <w:t xml:space="preserve"> 2014.</w:t>
      </w:r>
      <w:r>
        <w:rPr>
          <w:rFonts w:asciiTheme="minorHAnsi" w:hAnsiTheme="minorHAnsi" w:cstheme="minorHAnsi"/>
          <w:lang w:val="sr-Cyrl-RS"/>
        </w:rPr>
        <w:t xml:space="preserve"> </w:t>
      </w:r>
      <w:r>
        <w:rPr>
          <w:rFonts w:asciiTheme="minorHAnsi" w:hAnsiTheme="minorHAnsi" w:cstheme="minorHAnsi"/>
        </w:rPr>
        <w:t>годин</w:t>
      </w:r>
      <w:r>
        <w:rPr>
          <w:rFonts w:asciiTheme="minorHAnsi" w:hAnsiTheme="minorHAnsi" w:cstheme="minorHAnsi"/>
          <w:lang w:val="sr-Cyrl-CS"/>
        </w:rPr>
        <w:t>е</w:t>
      </w:r>
      <w:r>
        <w:rPr>
          <w:rFonts w:asciiTheme="minorHAnsi" w:hAnsiTheme="minorHAnsi" w:cstheme="minorHAnsi"/>
        </w:rPr>
        <w:t xml:space="preserve"> (925)</w:t>
      </w:r>
      <w:r>
        <w:rPr>
          <w:rFonts w:asciiTheme="minorHAnsi" w:hAnsiTheme="minorHAnsi" w:cstheme="minorHAnsi"/>
          <w:lang w:val="sr-Cyrl-CS"/>
        </w:rPr>
        <w:t>, а најнижи 2016. године (624), када је забиљежена најнижа разлика између</w:t>
      </w:r>
      <w:r>
        <w:rPr>
          <w:rFonts w:asciiTheme="minorHAnsi" w:hAnsiTheme="minorHAnsi" w:cstheme="minorHAnsi"/>
        </w:rPr>
        <w:t xml:space="preserve"> досе</w:t>
      </w:r>
      <w:r>
        <w:rPr>
          <w:rFonts w:asciiTheme="minorHAnsi" w:hAnsiTheme="minorHAnsi" w:cstheme="minorHAnsi"/>
          <w:lang w:val="sr-Cyrl-CS"/>
        </w:rPr>
        <w:t>љених и исељених становника.</w:t>
      </w:r>
      <w:r>
        <w:rPr>
          <w:rFonts w:asciiTheme="minorHAnsi" w:hAnsiTheme="minorHAnsi" w:cstheme="minorHAnsi"/>
        </w:rPr>
        <w:t xml:space="preserve"> </w:t>
      </w:r>
    </w:p>
    <w:p>
      <w:pPr>
        <w:jc w:val="both"/>
        <w:rPr>
          <w:rFonts w:asciiTheme="minorHAnsi" w:hAnsiTheme="minorHAnsi" w:cstheme="minorHAnsi"/>
        </w:rPr>
      </w:pPr>
    </w:p>
    <w:tbl>
      <w:tblPr>
        <w:tblStyle w:val="37"/>
        <w:tblW w:w="9852"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852"/>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c>
          <w:tcPr>
            <w:tcW w:w="9852" w:type="dxa"/>
            <w:shd w:val="clear" w:color="auto" w:fill="C5E0B3" w:themeFill="accent6" w:themeFillTint="66"/>
          </w:tcPr>
          <w:p>
            <w:pPr>
              <w:pStyle w:val="13"/>
              <w:spacing w:before="120" w:after="120"/>
              <w:jc w:val="both"/>
              <w:rPr>
                <w:rFonts w:eastAsia="Times New Roman" w:asciiTheme="minorHAnsi" w:hAnsiTheme="minorHAnsi"/>
                <w:bCs/>
                <w:i/>
                <w:kern w:val="32"/>
                <w:sz w:val="22"/>
                <w:szCs w:val="22"/>
                <w:lang w:val="sr-Cyrl-RS"/>
              </w:rPr>
            </w:pPr>
            <w:r>
              <w:rPr>
                <w:rFonts w:eastAsia="Times New Roman" w:asciiTheme="minorHAnsi" w:hAnsiTheme="minorHAnsi"/>
                <w:bCs/>
                <w:i/>
                <w:kern w:val="32"/>
                <w:sz w:val="22"/>
                <w:szCs w:val="22"/>
                <w:lang w:val="sr-Cyrl-RS"/>
              </w:rPr>
              <w:t>Код података о броју становника (према попису становништва из 2013. године, Бања Лука има 180.056 становника), постоји проблем поузданости/неусаглашености ставова за даље планирање.</w:t>
            </w:r>
          </w:p>
          <w:p>
            <w:pPr>
              <w:pStyle w:val="13"/>
              <w:spacing w:before="120" w:after="120"/>
              <w:jc w:val="both"/>
              <w:rPr>
                <w:rFonts w:eastAsia="Times New Roman" w:asciiTheme="minorHAnsi" w:hAnsiTheme="minorHAnsi"/>
                <w:bCs/>
                <w:i/>
                <w:kern w:val="32"/>
                <w:sz w:val="22"/>
                <w:szCs w:val="22"/>
              </w:rPr>
            </w:pPr>
            <w:r>
              <w:rPr>
                <w:rFonts w:eastAsia="Times New Roman" w:asciiTheme="minorHAnsi" w:hAnsiTheme="minorHAnsi"/>
                <w:bCs/>
                <w:i/>
                <w:kern w:val="32"/>
                <w:sz w:val="22"/>
                <w:szCs w:val="22"/>
              </w:rPr>
              <w:t>Град Бања Лука је локална самоуправа у Републици Српској која има позитиван природни прираштај и једна од ријетких локалних самоуправа који имају позитиван миграциони салдо. Ратна дјешавања узроковала се пром</w:t>
            </w:r>
            <w:r>
              <w:rPr>
                <w:rFonts w:eastAsia="Times New Roman" w:asciiTheme="minorHAnsi" w:hAnsiTheme="minorHAnsi"/>
                <w:bCs/>
                <w:i/>
                <w:kern w:val="32"/>
                <w:sz w:val="22"/>
                <w:szCs w:val="22"/>
                <w:lang w:val="sr-Cyrl-RS"/>
              </w:rPr>
              <w:t>иј</w:t>
            </w:r>
            <w:r>
              <w:rPr>
                <w:rFonts w:eastAsia="Times New Roman" w:asciiTheme="minorHAnsi" w:hAnsiTheme="minorHAnsi"/>
                <w:bCs/>
                <w:i/>
                <w:kern w:val="32"/>
                <w:sz w:val="22"/>
                <w:szCs w:val="22"/>
              </w:rPr>
              <w:t>ену броја и структуре становништва, па су миграције у Бања Луку ишле у правцу миграција пр</w:t>
            </w:r>
            <w:r>
              <w:rPr>
                <w:rFonts w:eastAsia="Times New Roman" w:asciiTheme="minorHAnsi" w:hAnsiTheme="minorHAnsi"/>
                <w:bCs/>
                <w:i/>
                <w:kern w:val="32"/>
                <w:sz w:val="22"/>
                <w:szCs w:val="22"/>
                <w:lang w:val="sr-Cyrl-RS"/>
              </w:rPr>
              <w:t>иј</w:t>
            </w:r>
            <w:r>
              <w:rPr>
                <w:rFonts w:eastAsia="Times New Roman" w:asciiTheme="minorHAnsi" w:hAnsiTheme="minorHAnsi"/>
                <w:bCs/>
                <w:i/>
                <w:kern w:val="32"/>
                <w:sz w:val="22"/>
                <w:szCs w:val="22"/>
              </w:rPr>
              <w:t>е свега</w:t>
            </w:r>
            <w:r>
              <w:rPr>
                <w:rFonts w:eastAsia="Times New Roman" w:asciiTheme="minorHAnsi" w:hAnsiTheme="minorHAnsi"/>
                <w:bCs/>
                <w:i/>
                <w:kern w:val="32"/>
                <w:sz w:val="22"/>
                <w:szCs w:val="22"/>
                <w:lang w:val="sr-Cyrl-RS"/>
              </w:rPr>
              <w:t>,</w:t>
            </w:r>
            <w:r>
              <w:rPr>
                <w:rFonts w:eastAsia="Times New Roman" w:asciiTheme="minorHAnsi" w:hAnsiTheme="minorHAnsi"/>
                <w:bCs/>
                <w:i/>
                <w:kern w:val="32"/>
                <w:sz w:val="22"/>
                <w:szCs w:val="22"/>
              </w:rPr>
              <w:t xml:space="preserve"> српског становништва из других општина РС и Федерације БИХ</w:t>
            </w:r>
            <w:r>
              <w:rPr>
                <w:rFonts w:eastAsia="Times New Roman" w:asciiTheme="minorHAnsi" w:hAnsiTheme="minorHAnsi"/>
                <w:bCs/>
                <w:i/>
                <w:kern w:val="32"/>
                <w:sz w:val="22"/>
                <w:szCs w:val="22"/>
                <w:lang w:val="sr-Cyrl-RS"/>
              </w:rPr>
              <w:t>,</w:t>
            </w:r>
            <w:r>
              <w:rPr>
                <w:rFonts w:eastAsia="Times New Roman" w:asciiTheme="minorHAnsi" w:hAnsiTheme="minorHAnsi"/>
                <w:bCs/>
                <w:i/>
                <w:kern w:val="32"/>
                <w:sz w:val="22"/>
                <w:szCs w:val="22"/>
              </w:rPr>
              <w:t xml:space="preserve"> у Бања Луку.</w:t>
            </w:r>
          </w:p>
          <w:p>
            <w:pPr>
              <w:pStyle w:val="13"/>
              <w:spacing w:before="120" w:after="120"/>
              <w:jc w:val="both"/>
              <w:rPr>
                <w:rFonts w:eastAsia="Times New Roman" w:asciiTheme="minorHAnsi" w:hAnsiTheme="minorHAnsi"/>
                <w:bCs/>
                <w:i/>
                <w:kern w:val="32"/>
                <w:sz w:val="22"/>
                <w:szCs w:val="22"/>
              </w:rPr>
            </w:pPr>
            <w:r>
              <w:rPr>
                <w:bCs/>
                <w:i/>
                <w:sz w:val="22"/>
                <w:szCs w:val="22"/>
              </w:rPr>
              <w:t>До смањења броја становника у већем броју удаљених мјесних заједница дошло је усљед одласка младих са села, старачких домаћинстава и немогућности подизања запуштене пољопривредне производње (Бронзани Мајдан, Пискавица, Кола), док у Шимићима и Поткозарју, с предратним претежним хрватским становништвим, и након обнове кућа, није дошло до повратка становништва у предратна пребивалишта</w:t>
            </w:r>
            <w:r>
              <w:rPr>
                <w:b/>
                <w:bCs/>
                <w:i/>
                <w:sz w:val="22"/>
                <w:szCs w:val="22"/>
              </w:rPr>
              <w:t>.</w:t>
            </w:r>
          </w:p>
          <w:p>
            <w:pPr>
              <w:pStyle w:val="13"/>
              <w:spacing w:before="120" w:after="120"/>
              <w:jc w:val="both"/>
              <w:rPr>
                <w:rFonts w:eastAsia="Times New Roman" w:asciiTheme="minorHAnsi" w:hAnsiTheme="minorHAnsi"/>
                <w:bCs/>
                <w:i/>
                <w:kern w:val="32"/>
                <w:sz w:val="22"/>
                <w:szCs w:val="22"/>
              </w:rPr>
            </w:pPr>
          </w:p>
        </w:tc>
      </w:tr>
    </w:tbl>
    <w:p>
      <w:pPr>
        <w:jc w:val="both"/>
        <w:rPr>
          <w:rFonts w:asciiTheme="minorHAnsi" w:hAnsiTheme="minorHAnsi" w:cstheme="minorHAnsi"/>
        </w:rPr>
      </w:pPr>
    </w:p>
    <w:p>
      <w:pPr>
        <w:jc w:val="both"/>
        <w:rPr>
          <w:rFonts w:asciiTheme="minorHAnsi" w:hAnsiTheme="minorHAnsi" w:cstheme="minorHAnsi"/>
        </w:rPr>
      </w:pPr>
    </w:p>
    <w:p>
      <w:pPr>
        <w:jc w:val="both"/>
        <w:rPr>
          <w:rFonts w:asciiTheme="minorHAnsi" w:hAnsiTheme="minorHAnsi" w:cstheme="minorHAnsi"/>
        </w:rPr>
      </w:pPr>
    </w:p>
    <w:p>
      <w:pPr>
        <w:jc w:val="both"/>
        <w:rPr>
          <w:rFonts w:asciiTheme="minorHAnsi" w:hAnsiTheme="minorHAnsi" w:cstheme="minorHAnsi"/>
        </w:rPr>
      </w:pPr>
    </w:p>
    <w:p>
      <w:pPr>
        <w:ind w:firstLine="720"/>
        <w:jc w:val="both"/>
        <w:rPr>
          <w:rFonts w:asciiTheme="minorHAnsi" w:hAnsiTheme="minorHAnsi" w:cstheme="minorHAnsi"/>
          <w:lang w:val="sr-Cyrl-CS"/>
        </w:rPr>
      </w:pPr>
    </w:p>
    <w:p>
      <w:pPr>
        <w:jc w:val="both"/>
        <w:rPr>
          <w:rFonts w:asciiTheme="minorHAnsi" w:hAnsiTheme="minorHAnsi" w:cstheme="minorHAnsi"/>
        </w:rPr>
      </w:pPr>
    </w:p>
    <w:p>
      <w:pPr>
        <w:ind w:firstLine="720"/>
        <w:jc w:val="both"/>
        <w:rPr>
          <w:rFonts w:asciiTheme="minorHAnsi" w:hAnsiTheme="minorHAnsi" w:cstheme="minorHAnsi"/>
          <w:b/>
          <w:bCs/>
        </w:rPr>
      </w:pPr>
    </w:p>
    <w:p>
      <w:pPr>
        <w:ind w:firstLine="720"/>
        <w:jc w:val="both"/>
        <w:rPr>
          <w:rFonts w:asciiTheme="minorHAnsi" w:hAnsiTheme="minorHAnsi" w:cstheme="minorHAnsi"/>
          <w:b/>
          <w:bCs/>
        </w:rPr>
      </w:pPr>
    </w:p>
    <w:p>
      <w:pPr>
        <w:jc w:val="both"/>
        <w:rPr>
          <w:rFonts w:ascii="Times New Roman" w:hAnsi="Times New Roman"/>
          <w:bCs/>
          <w:color w:val="FF0000"/>
          <w:sz w:val="24"/>
          <w:szCs w:val="24"/>
        </w:rPr>
      </w:pPr>
      <w:r>
        <w:rPr>
          <w:rFonts w:ascii="Times New Roman" w:hAnsi="Times New Roman"/>
          <w:sz w:val="24"/>
          <w:szCs w:val="24"/>
          <w:lang w:val="sr-Cyrl-CS"/>
        </w:rPr>
        <w:tab/>
      </w:r>
    </w:p>
    <w:p>
      <w:pPr>
        <w:rPr>
          <w:lang w:val="sr-Cyrl-CS"/>
        </w:rPr>
      </w:pPr>
    </w:p>
    <w:p>
      <w:pPr>
        <w:pStyle w:val="4"/>
        <w:rPr>
          <w:lang w:val="hr-HR"/>
        </w:rPr>
      </w:pPr>
      <w:bookmarkStart w:id="19" w:name="_Toc526170580"/>
      <w:r>
        <w:rPr>
          <w:lang w:val="hr-HR"/>
        </w:rPr>
        <w:t>IV.1.3. Преглед</w:t>
      </w:r>
      <w:r>
        <w:rPr>
          <w:lang w:val="sr-Cyrl-RS"/>
        </w:rPr>
        <w:t xml:space="preserve"> </w:t>
      </w:r>
      <w:r>
        <w:rPr>
          <w:lang w:val="hr-HR"/>
        </w:rPr>
        <w:t>стања</w:t>
      </w:r>
      <w:r>
        <w:rPr>
          <w:lang w:val="sr-Cyrl-RS"/>
        </w:rPr>
        <w:t xml:space="preserve"> </w:t>
      </w:r>
      <w:r>
        <w:rPr>
          <w:lang w:val="hr-HR"/>
        </w:rPr>
        <w:t>и</w:t>
      </w:r>
      <w:r>
        <w:rPr>
          <w:lang w:val="sr-Cyrl-RS"/>
        </w:rPr>
        <w:t xml:space="preserve"> </w:t>
      </w:r>
      <w:r>
        <w:rPr>
          <w:lang w:val="hr-HR"/>
        </w:rPr>
        <w:t>кретања</w:t>
      </w:r>
      <w:r>
        <w:rPr>
          <w:lang w:val="sr-Cyrl-RS"/>
        </w:rPr>
        <w:t xml:space="preserve"> </w:t>
      </w:r>
      <w:r>
        <w:rPr>
          <w:lang w:val="hr-HR"/>
        </w:rPr>
        <w:t>у</w:t>
      </w:r>
      <w:r>
        <w:rPr>
          <w:lang w:val="sr-Cyrl-RS"/>
        </w:rPr>
        <w:t xml:space="preserve"> </w:t>
      </w:r>
      <w:r>
        <w:rPr>
          <w:lang w:val="hr-HR"/>
        </w:rPr>
        <w:t>локалној</w:t>
      </w:r>
      <w:r>
        <w:rPr>
          <w:lang w:val="sr-Cyrl-RS"/>
        </w:rPr>
        <w:t xml:space="preserve"> </w:t>
      </w:r>
      <w:r>
        <w:rPr>
          <w:lang w:val="hr-HR"/>
        </w:rPr>
        <w:t>економији</w:t>
      </w:r>
      <w:bookmarkEnd w:id="19"/>
    </w:p>
    <w:p>
      <w:pPr>
        <w:rPr>
          <w:lang w:val="hr-HR"/>
        </w:rPr>
      </w:pPr>
    </w:p>
    <w:p>
      <w:pPr>
        <w:pStyle w:val="5"/>
      </w:pPr>
      <w:bookmarkStart w:id="20" w:name="_Toc526170581"/>
      <w:r>
        <w:t>IV.1.3.1. Основни економски показатељи</w:t>
      </w:r>
      <w:bookmarkEnd w:id="20"/>
    </w:p>
    <w:p>
      <w:pPr>
        <w:spacing w:after="120"/>
        <w:jc w:val="both"/>
        <w:rPr>
          <w:rFonts w:asciiTheme="minorHAnsi" w:hAnsiTheme="minorHAnsi" w:cstheme="minorHAnsi"/>
          <w:lang w:val="sr-Cyrl-CS"/>
        </w:rPr>
      </w:pPr>
      <w:r>
        <w:rPr>
          <w:b/>
          <w:i/>
          <w:lang w:val="sr-Latn-RS"/>
        </w:rPr>
        <w:t xml:space="preserve">Макроекономски </w:t>
      </w:r>
      <w:r>
        <w:rPr>
          <w:b/>
          <w:i/>
          <w:lang w:val="sr-Cyrl-CS"/>
        </w:rPr>
        <w:t>показатељи и пословни амбијент</w:t>
      </w:r>
      <w:r>
        <w:rPr>
          <w:b/>
          <w:i/>
          <w:lang w:val="sr-Latn-RS"/>
        </w:rPr>
        <w:t xml:space="preserve"> </w:t>
      </w:r>
      <w:r>
        <w:rPr>
          <w:b/>
          <w:i/>
          <w:lang w:val="sr-Cyrl-RS"/>
        </w:rPr>
        <w:t xml:space="preserve">града Бања Лука. </w:t>
      </w:r>
      <w:r>
        <w:rPr>
          <w:rFonts w:asciiTheme="minorHAnsi" w:hAnsiTheme="minorHAnsi" w:cstheme="minorHAnsi"/>
          <w:lang w:val="sr-Cyrl-CS"/>
        </w:rPr>
        <w:t>Привредна слика Бања</w:t>
      </w:r>
      <w:r>
        <w:rPr>
          <w:rFonts w:asciiTheme="minorHAnsi" w:hAnsiTheme="minorHAnsi" w:cstheme="minorHAnsi"/>
          <w:lang w:val="sr-Latn-RS"/>
        </w:rPr>
        <w:t xml:space="preserve"> </w:t>
      </w:r>
      <w:r>
        <w:rPr>
          <w:rFonts w:asciiTheme="minorHAnsi" w:hAnsiTheme="minorHAnsi" w:cstheme="minorHAnsi"/>
          <w:lang w:val="sr-Cyrl-RS"/>
        </w:rPr>
        <w:t>Л</w:t>
      </w:r>
      <w:r>
        <w:rPr>
          <w:rFonts w:asciiTheme="minorHAnsi" w:hAnsiTheme="minorHAnsi" w:cstheme="minorHAnsi"/>
          <w:lang w:val="sr-Cyrl-CS"/>
        </w:rPr>
        <w:t xml:space="preserve">уке данас има опште карактеристике транзиционих промјена. Изразито је смањено учешће индустрије у укупној привредној структури. Истовремено је очигледан пораст учешћа и значаја терцијарног сектора, посебно трговине, угоститељства, саобраћаја и финансијских услуга, чији је динамичан раст резултат релативно брзе и успјешне интеграције у међународне системе и стандарде. Међутим, стагнирање производних дјелатности представља неповољну карактеристику структурних промјена, будући да раст производње треба да подстакне спољнотрговинску размјену. Структура запослених одражава карактеристике структуре привредних активности, тако да је евидентан пад броја запослених у прерађивачкој индустрији. </w:t>
      </w:r>
    </w:p>
    <w:p>
      <w:pPr>
        <w:spacing w:after="120" w:line="264" w:lineRule="auto"/>
        <w:jc w:val="both"/>
        <w:rPr>
          <w:rFonts w:asciiTheme="minorHAnsi" w:hAnsiTheme="minorHAnsi" w:cstheme="minorHAnsi"/>
          <w:lang w:val="sr-Cyrl-CS"/>
        </w:rPr>
      </w:pPr>
      <w:r>
        <w:rPr>
          <w:rFonts w:asciiTheme="minorHAnsi" w:hAnsiTheme="minorHAnsi" w:cstheme="minorHAnsi"/>
          <w:lang w:val="sr-Cyrl-CS"/>
        </w:rPr>
        <w:t>До деведесетих година прошлог вијека у индустрији Бања Луке доминирали су велики привредни системи („Чајавец“, „Инцел“, „Јелшинград“, АИПК „Босанска Крајина“ и др.), који су запошљавали и по неколико хиљада радника. Данас ниједно бањалучко индустријско предузеће не запошљава више од 500 радника. У процесу приватизације државног капитала у предузећима, купцима државног капитала била су привлачнија улагања у трговину, грађевинарство, угоститељство и финансијске институције, него у индустријске капацитете.</w:t>
      </w:r>
    </w:p>
    <w:p>
      <w:pPr>
        <w:spacing w:after="120" w:line="264" w:lineRule="auto"/>
        <w:jc w:val="both"/>
        <w:rPr>
          <w:rFonts w:asciiTheme="minorHAnsi" w:hAnsiTheme="minorHAnsi" w:cstheme="minorHAnsi"/>
          <w:lang w:val="ru-RU"/>
        </w:rPr>
      </w:pPr>
      <w:r>
        <w:rPr>
          <w:rFonts w:asciiTheme="minorHAnsi" w:hAnsiTheme="minorHAnsi" w:cstheme="minorHAnsi"/>
          <w:lang w:val="ru-RU"/>
        </w:rPr>
        <w:t xml:space="preserve">Поред развоја </w:t>
      </w:r>
      <w:r>
        <w:rPr>
          <w:rFonts w:asciiTheme="minorHAnsi" w:hAnsiTheme="minorHAnsi" w:cstheme="minorHAnsi"/>
          <w:lang w:val="sr-Cyrl-CS"/>
        </w:rPr>
        <w:t>пољопривредне</w:t>
      </w:r>
      <w:r>
        <w:rPr>
          <w:rFonts w:asciiTheme="minorHAnsi" w:hAnsiTheme="minorHAnsi" w:cstheme="minorHAnsi"/>
          <w:lang w:val="ru-RU"/>
        </w:rPr>
        <w:t xml:space="preserve"> производње и прехрамбене индустрије, прераде дрвета, развоја информационих технологија и туризма, п</w:t>
      </w:r>
      <w:r>
        <w:rPr>
          <w:rFonts w:asciiTheme="minorHAnsi" w:hAnsiTheme="minorHAnsi" w:cstheme="minorHAnsi"/>
          <w:lang w:val="sr-Cyrl-RS"/>
        </w:rPr>
        <w:t>рерађивачка индустрија на нивоу града окарактерисана је као генератор укупног привредног развоја и највећи извозни потенцијал.</w:t>
      </w:r>
    </w:p>
    <w:p>
      <w:pPr>
        <w:spacing w:after="120" w:line="264" w:lineRule="auto"/>
        <w:jc w:val="both"/>
        <w:rPr>
          <w:rFonts w:asciiTheme="minorHAnsi" w:hAnsiTheme="minorHAnsi" w:cstheme="minorHAnsi"/>
          <w:lang w:val="sr-Cyrl-CS"/>
        </w:rPr>
      </w:pPr>
      <w:r>
        <w:rPr>
          <w:rFonts w:asciiTheme="minorHAnsi" w:hAnsiTheme="minorHAnsi" w:cstheme="minorHAnsi"/>
          <w:lang w:val="sr-Cyrl-CS"/>
        </w:rPr>
        <w:t xml:space="preserve">И након двоентитетског устројства Босне и Херцеговине, Бања Лука је у великој мјери задржала свој регионални значај. Међутим, у поређењу с показатељима на нивоу Републике Српске, град Бања Лука у </w:t>
      </w:r>
      <w:r>
        <w:rPr>
          <w:rFonts w:asciiTheme="minorHAnsi" w:hAnsiTheme="minorHAnsi" w:cstheme="minorHAnsi"/>
          <w:lang w:val="ru-RU"/>
        </w:rPr>
        <w:t>посматраном</w:t>
      </w:r>
      <w:r>
        <w:rPr>
          <w:rFonts w:asciiTheme="minorHAnsi" w:hAnsiTheme="minorHAnsi" w:cstheme="minorHAnsi"/>
          <w:lang w:val="sr-Cyrl-CS"/>
        </w:rPr>
        <w:t xml:space="preserve"> петогодишњем периоду не биљежи уједначене вриједности и учешћа појединих показатеља, демографских, економских и инфраструктурних. У сљедећем прегледу представљено је учешће Града у основним макроекономским показатељима Републике Српске на годишњем нивоу у периоду 2012-2016. године:</w:t>
      </w:r>
    </w:p>
    <w:p>
      <w:pPr>
        <w:spacing w:after="120" w:line="264" w:lineRule="auto"/>
        <w:jc w:val="both"/>
        <w:rPr>
          <w:rFonts w:asciiTheme="minorHAnsi" w:hAnsiTheme="minorHAnsi" w:cstheme="minorHAnsi"/>
          <w:lang w:val="sr-Cyrl-CS"/>
        </w:rPr>
      </w:pPr>
    </w:p>
    <w:tbl>
      <w:tblPr>
        <w:tblStyle w:val="37"/>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4"/>
        <w:gridCol w:w="1197"/>
        <w:gridCol w:w="1105"/>
        <w:gridCol w:w="1105"/>
        <w:gridCol w:w="1013"/>
        <w:gridCol w:w="1013"/>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vMerge w:val="restart"/>
            <w:shd w:val="clear" w:color="auto" w:fill="A8D08D" w:themeFill="accent6" w:themeFillTint="99"/>
            <w:vAlign w:val="center"/>
          </w:tcPr>
          <w:p>
            <w:pPr>
              <w:jc w:val="center"/>
              <w:rPr>
                <w:rFonts w:asciiTheme="minorHAnsi" w:hAnsiTheme="minorHAnsi" w:cstheme="minorHAnsi"/>
                <w:b/>
                <w:bCs/>
                <w:color w:val="000000"/>
              </w:rPr>
            </w:pPr>
            <w:r>
              <w:rPr>
                <w:rFonts w:asciiTheme="minorHAnsi" w:hAnsiTheme="minorHAnsi" w:cstheme="minorHAnsi"/>
                <w:b/>
                <w:bCs/>
                <w:color w:val="000000"/>
                <w:lang w:val="sr-Latn-RS"/>
              </w:rPr>
              <w:t>Показатељ</w:t>
            </w:r>
          </w:p>
        </w:tc>
        <w:tc>
          <w:tcPr>
            <w:tcW w:w="5433" w:type="dxa"/>
            <w:gridSpan w:val="5"/>
            <w:shd w:val="clear" w:color="auto" w:fill="A8D08D" w:themeFill="accent6" w:themeFillTint="99"/>
            <w:vAlign w:val="center"/>
          </w:tcPr>
          <w:p>
            <w:pPr>
              <w:jc w:val="center"/>
              <w:rPr>
                <w:rFonts w:asciiTheme="minorHAnsi" w:hAnsiTheme="minorHAnsi" w:cstheme="minorHAnsi"/>
                <w:b/>
                <w:bCs/>
                <w:color w:val="000000"/>
              </w:rPr>
            </w:pPr>
            <w:r>
              <w:rPr>
                <w:rFonts w:asciiTheme="minorHAnsi" w:hAnsiTheme="minorHAnsi" w:cstheme="minorHAnsi"/>
                <w:b/>
                <w:bCs/>
                <w:color w:val="000000"/>
                <w:lang w:val="sr-Cyrl-CS"/>
              </w:rPr>
              <w:t>Учешће града Бања Луке у Републици Српској у %</w:t>
            </w:r>
          </w:p>
        </w:tc>
        <w:tc>
          <w:tcPr>
            <w:tcW w:w="919" w:type="dxa"/>
            <w:vMerge w:val="restart"/>
            <w:shd w:val="clear" w:color="auto" w:fill="A8D08D" w:themeFill="accent6" w:themeFillTint="99"/>
            <w:vAlign w:val="center"/>
          </w:tcPr>
          <w:p>
            <w:pPr>
              <w:jc w:val="center"/>
              <w:rPr>
                <w:rFonts w:asciiTheme="minorHAnsi" w:hAnsiTheme="minorHAnsi" w:cstheme="minorHAnsi"/>
                <w:b/>
                <w:bCs/>
                <w:color w:val="000000"/>
                <w:lang w:val="sr-Cyrl-CS"/>
              </w:rPr>
            </w:pPr>
            <w:r>
              <w:rPr>
                <w:rFonts w:asciiTheme="minorHAnsi" w:hAnsiTheme="minorHAnsi" w:cstheme="minorHAnsi"/>
                <w:b/>
                <w:bCs/>
                <w:color w:val="000000"/>
                <w:lang w:val="sr-Cyrl-CS"/>
              </w:rPr>
              <w:t>РС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vMerge w:val="continue"/>
            <w:vAlign w:val="center"/>
          </w:tcPr>
          <w:p>
            <w:pPr>
              <w:rPr>
                <w:rFonts w:asciiTheme="minorHAnsi" w:hAnsiTheme="minorHAnsi" w:cstheme="minorHAnsi"/>
              </w:rPr>
            </w:pPr>
          </w:p>
        </w:tc>
        <w:tc>
          <w:tcPr>
            <w:tcW w:w="1197" w:type="dxa"/>
            <w:shd w:val="clear" w:color="auto" w:fill="A8D08D" w:themeFill="accent6" w:themeFillTint="99"/>
            <w:vAlign w:val="center"/>
          </w:tcPr>
          <w:p>
            <w:pPr>
              <w:jc w:val="center"/>
              <w:rPr>
                <w:rFonts w:asciiTheme="minorHAnsi" w:hAnsiTheme="minorHAnsi" w:cstheme="minorHAnsi"/>
                <w:b/>
                <w:bCs/>
                <w:color w:val="000000"/>
              </w:rPr>
            </w:pPr>
            <w:r>
              <w:rPr>
                <w:rFonts w:asciiTheme="minorHAnsi" w:hAnsiTheme="minorHAnsi" w:cstheme="minorHAnsi"/>
                <w:b/>
                <w:bCs/>
                <w:color w:val="000000"/>
                <w:lang w:val="sr-Cyrl-CS"/>
              </w:rPr>
              <w:t>2012.</w:t>
            </w:r>
          </w:p>
        </w:tc>
        <w:tc>
          <w:tcPr>
            <w:tcW w:w="1105" w:type="dxa"/>
            <w:shd w:val="clear" w:color="auto" w:fill="A8D08D" w:themeFill="accent6" w:themeFillTint="99"/>
            <w:vAlign w:val="center"/>
          </w:tcPr>
          <w:p>
            <w:pPr>
              <w:jc w:val="center"/>
              <w:rPr>
                <w:rFonts w:asciiTheme="minorHAnsi" w:hAnsiTheme="minorHAnsi" w:cstheme="minorHAnsi"/>
                <w:b/>
                <w:bCs/>
                <w:color w:val="000000"/>
              </w:rPr>
            </w:pPr>
            <w:r>
              <w:rPr>
                <w:rFonts w:asciiTheme="minorHAnsi" w:hAnsiTheme="minorHAnsi" w:cstheme="minorHAnsi"/>
                <w:b/>
                <w:bCs/>
                <w:color w:val="000000"/>
                <w:lang w:val="sr-Cyrl-CS"/>
              </w:rPr>
              <w:t>2013.</w:t>
            </w:r>
          </w:p>
        </w:tc>
        <w:tc>
          <w:tcPr>
            <w:tcW w:w="1105" w:type="dxa"/>
            <w:shd w:val="clear" w:color="auto" w:fill="A8D08D" w:themeFill="accent6" w:themeFillTint="99"/>
            <w:vAlign w:val="center"/>
          </w:tcPr>
          <w:p>
            <w:pPr>
              <w:jc w:val="center"/>
              <w:rPr>
                <w:rFonts w:asciiTheme="minorHAnsi" w:hAnsiTheme="minorHAnsi" w:cstheme="minorHAnsi"/>
                <w:b/>
                <w:bCs/>
                <w:color w:val="000000"/>
              </w:rPr>
            </w:pPr>
            <w:r>
              <w:rPr>
                <w:rFonts w:asciiTheme="minorHAnsi" w:hAnsiTheme="minorHAnsi" w:cstheme="minorHAnsi"/>
                <w:b/>
                <w:bCs/>
                <w:color w:val="000000"/>
                <w:lang w:val="sr-Cyrl-CS"/>
              </w:rPr>
              <w:t>2014.</w:t>
            </w:r>
          </w:p>
        </w:tc>
        <w:tc>
          <w:tcPr>
            <w:tcW w:w="1013" w:type="dxa"/>
            <w:shd w:val="clear" w:color="auto" w:fill="A8D08D" w:themeFill="accent6" w:themeFillTint="99"/>
            <w:vAlign w:val="center"/>
          </w:tcPr>
          <w:p>
            <w:pPr>
              <w:jc w:val="center"/>
              <w:rPr>
                <w:rFonts w:asciiTheme="minorHAnsi" w:hAnsiTheme="minorHAnsi" w:cstheme="minorHAnsi"/>
                <w:b/>
                <w:bCs/>
                <w:color w:val="000000"/>
              </w:rPr>
            </w:pPr>
            <w:r>
              <w:rPr>
                <w:rFonts w:asciiTheme="minorHAnsi" w:hAnsiTheme="minorHAnsi" w:cstheme="minorHAnsi"/>
                <w:b/>
                <w:bCs/>
                <w:color w:val="000000"/>
                <w:lang w:val="sr-Cyrl-CS"/>
              </w:rPr>
              <w:t>2015.</w:t>
            </w:r>
          </w:p>
        </w:tc>
        <w:tc>
          <w:tcPr>
            <w:tcW w:w="1013" w:type="dxa"/>
            <w:shd w:val="clear" w:color="auto" w:fill="A8D08D" w:themeFill="accent6" w:themeFillTint="99"/>
            <w:vAlign w:val="center"/>
          </w:tcPr>
          <w:p>
            <w:pPr>
              <w:jc w:val="center"/>
              <w:rPr>
                <w:rFonts w:asciiTheme="minorHAnsi" w:hAnsiTheme="minorHAnsi" w:cstheme="minorHAnsi"/>
                <w:b/>
                <w:bCs/>
                <w:color w:val="000000"/>
              </w:rPr>
            </w:pPr>
            <w:r>
              <w:rPr>
                <w:rFonts w:asciiTheme="minorHAnsi" w:hAnsiTheme="minorHAnsi" w:cstheme="minorHAnsi"/>
                <w:b/>
                <w:bCs/>
                <w:color w:val="000000"/>
                <w:lang w:val="sr-Cyrl-CS"/>
              </w:rPr>
              <w:t>2016.</w:t>
            </w:r>
          </w:p>
        </w:tc>
        <w:tc>
          <w:tcPr>
            <w:tcW w:w="919" w:type="dxa"/>
            <w:vMerge w:val="continue"/>
          </w:tcPr>
          <w:p>
            <w:pPr>
              <w:rPr>
                <w:rFonts w:asciiTheme="minorHAnsi" w:hAnsiTheme="minorHAnsi"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Површина у km</w:t>
            </w:r>
            <w:r>
              <w:rPr>
                <w:rFonts w:eastAsia="Times New Roman" w:asciiTheme="minorHAnsi" w:hAnsiTheme="minorHAnsi" w:cstheme="minorHAnsi"/>
                <w:b/>
                <w:bCs/>
                <w:color w:val="000000"/>
                <w:vertAlign w:val="superscript"/>
                <w:lang w:val="sr-Cyrl-CS" w:eastAsia="sr-Latn-CS"/>
              </w:rPr>
              <w:t>2</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5,03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5,03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5,03</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5,03</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5,03</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Становништво</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15,27</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15,37</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15,51</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15,66</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15,80</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Број живорођених</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20,70</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21,19</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21,53</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22,44</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22,22</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Број умрлих</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13,56</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13,84</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13,61</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13,26</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14,09</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 xml:space="preserve">Број запослених </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25,33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25,38</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25,59</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25,89</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26,18</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 xml:space="preserve">Број незапослених </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11,93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12,19</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12,33</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12,00</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11,27</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Просјечна нето плата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116,63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116,21</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115,88</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116,00</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115,07</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Просјечна бруто плата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117,20</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116,73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116,79</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117,09</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116,15</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Обим спољнотрговинске размјене</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39,86</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38,12</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34,75</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31,87</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31,59</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Вриједност извоза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24,08</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22,60</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21,36</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18,57</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19,04</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Вриједност увоза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48,20</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46,99</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42,03</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39,82</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39,72</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Број дјеце у предшколск</w:t>
            </w:r>
            <w:r>
              <w:rPr>
                <w:rFonts w:eastAsia="Times New Roman" w:asciiTheme="minorHAnsi" w:hAnsiTheme="minorHAnsi" w:cstheme="minorHAnsi"/>
                <w:b/>
                <w:bCs/>
                <w:color w:val="000000"/>
                <w:lang w:val="sr-Cyrl-CS" w:eastAsia="sr-Latn-CS"/>
              </w:rPr>
              <w:t xml:space="preserve">. </w:t>
            </w:r>
            <w:r>
              <w:rPr>
                <w:rFonts w:eastAsia="Times New Roman" w:asciiTheme="minorHAnsi" w:hAnsiTheme="minorHAnsi" w:cstheme="minorHAnsi"/>
                <w:b/>
                <w:bCs/>
                <w:color w:val="000000"/>
                <w:lang w:eastAsia="sr-Latn-CS"/>
              </w:rPr>
              <w:t>установама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31,03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31,43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33,16</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33,55</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32,95</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Број ученика у основним школама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15,59</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15,81</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16,11</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16,51</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16,79</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Број ученика у средњим школама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21,93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22,18</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22,40</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22,83</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23,44</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 xml:space="preserve">Број студената </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56,57</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57,51</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56,30</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56,70</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56,81</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Број пословних субјеката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25,33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25,68</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25,94</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26,17</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26,42</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Вриједност реализованих инвестиција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30,60</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41,80</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17,90</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24,40</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32,70</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Доласци туриста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26,04</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25,53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26,77</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26,74</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25,37</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Ноћења туриста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16,03</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16,65</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18,76</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18,33</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17,66</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Дужина путева</w:t>
            </w:r>
          </w:p>
        </w:tc>
        <w:tc>
          <w:tcPr>
            <w:tcW w:w="1197" w:type="dxa"/>
            <w:vAlign w:val="center"/>
          </w:tcPr>
          <w:p>
            <w:pPr>
              <w:jc w:val="center"/>
              <w:rPr>
                <w:rFonts w:asciiTheme="minorHAnsi" w:hAnsiTheme="minorHAnsi" w:cstheme="minorHAnsi"/>
                <w:color w:val="000000"/>
              </w:rPr>
            </w:pPr>
            <w:r>
              <w:rPr>
                <w:rFonts w:asciiTheme="minorHAnsi" w:hAnsiTheme="minorHAnsi" w:cstheme="minorHAnsi"/>
                <w:color w:val="000000"/>
              </w:rPr>
              <w:t>3,20</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3,78</w:t>
            </w:r>
          </w:p>
        </w:tc>
        <w:tc>
          <w:tcPr>
            <w:tcW w:w="1105" w:type="dxa"/>
            <w:vAlign w:val="center"/>
          </w:tcPr>
          <w:p>
            <w:pPr>
              <w:jc w:val="center"/>
              <w:rPr>
                <w:rFonts w:asciiTheme="minorHAnsi" w:hAnsiTheme="minorHAnsi" w:cstheme="minorHAnsi"/>
                <w:color w:val="000000"/>
              </w:rPr>
            </w:pPr>
            <w:r>
              <w:rPr>
                <w:rFonts w:asciiTheme="minorHAnsi" w:hAnsiTheme="minorHAnsi" w:cstheme="minorHAnsi"/>
                <w:color w:val="000000"/>
              </w:rPr>
              <w:t>3,71</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3,67</w:t>
            </w:r>
          </w:p>
        </w:tc>
        <w:tc>
          <w:tcPr>
            <w:tcW w:w="1013" w:type="dxa"/>
            <w:vAlign w:val="center"/>
          </w:tcPr>
          <w:p>
            <w:pPr>
              <w:jc w:val="center"/>
              <w:rPr>
                <w:rFonts w:asciiTheme="minorHAnsi" w:hAnsiTheme="minorHAnsi" w:cstheme="minorHAnsi"/>
                <w:color w:val="000000"/>
              </w:rPr>
            </w:pPr>
            <w:r>
              <w:rPr>
                <w:rFonts w:asciiTheme="minorHAnsi" w:hAnsiTheme="minorHAnsi" w:cstheme="minorHAnsi"/>
                <w:color w:val="000000"/>
              </w:rPr>
              <w:t>3,64</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224" w:type="dxa"/>
            <w:shd w:val="clear" w:color="auto" w:fill="C5E0B3" w:themeFill="accent6" w:themeFillTint="66"/>
            <w:vAlign w:val="center"/>
          </w:tcPr>
          <w:p>
            <w:pP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val="sr-Cyrl-CS" w:eastAsia="sr-Latn-CS"/>
              </w:rPr>
              <w:t>Број регистрованих путничких аутомобила</w:t>
            </w:r>
          </w:p>
        </w:tc>
        <w:tc>
          <w:tcPr>
            <w:tcW w:w="1197" w:type="dxa"/>
            <w:vAlign w:val="center"/>
          </w:tcPr>
          <w:p>
            <w:pPr>
              <w:jc w:val="center"/>
              <w:rPr>
                <w:rFonts w:asciiTheme="minorHAnsi" w:hAnsiTheme="minorHAnsi" w:cstheme="minorHAnsi"/>
              </w:rPr>
            </w:pPr>
            <w:r>
              <w:rPr>
                <w:rFonts w:asciiTheme="minorHAnsi" w:hAnsiTheme="minorHAnsi" w:cstheme="minorHAnsi"/>
              </w:rPr>
              <w:t>19,11</w:t>
            </w:r>
          </w:p>
        </w:tc>
        <w:tc>
          <w:tcPr>
            <w:tcW w:w="1105" w:type="dxa"/>
            <w:vAlign w:val="center"/>
          </w:tcPr>
          <w:p>
            <w:pPr>
              <w:jc w:val="center"/>
              <w:rPr>
                <w:rFonts w:asciiTheme="minorHAnsi" w:hAnsiTheme="minorHAnsi" w:cstheme="minorHAnsi"/>
              </w:rPr>
            </w:pPr>
            <w:r>
              <w:rPr>
                <w:rFonts w:asciiTheme="minorHAnsi" w:hAnsiTheme="minorHAnsi" w:cstheme="minorHAnsi"/>
              </w:rPr>
              <w:t>19,06</w:t>
            </w:r>
          </w:p>
        </w:tc>
        <w:tc>
          <w:tcPr>
            <w:tcW w:w="1105" w:type="dxa"/>
            <w:vAlign w:val="center"/>
          </w:tcPr>
          <w:p>
            <w:pPr>
              <w:jc w:val="center"/>
              <w:rPr>
                <w:rFonts w:asciiTheme="minorHAnsi" w:hAnsiTheme="minorHAnsi" w:cstheme="minorHAnsi"/>
              </w:rPr>
            </w:pPr>
            <w:r>
              <w:rPr>
                <w:rFonts w:asciiTheme="minorHAnsi" w:hAnsiTheme="minorHAnsi" w:cstheme="minorHAnsi"/>
              </w:rPr>
              <w:t>19,17</w:t>
            </w:r>
          </w:p>
        </w:tc>
        <w:tc>
          <w:tcPr>
            <w:tcW w:w="1013" w:type="dxa"/>
            <w:vAlign w:val="center"/>
          </w:tcPr>
          <w:p>
            <w:pPr>
              <w:jc w:val="center"/>
              <w:rPr>
                <w:rFonts w:asciiTheme="minorHAnsi" w:hAnsiTheme="minorHAnsi" w:cstheme="minorHAnsi"/>
              </w:rPr>
            </w:pPr>
            <w:r>
              <w:rPr>
                <w:rFonts w:asciiTheme="minorHAnsi" w:hAnsiTheme="minorHAnsi" w:cstheme="minorHAnsi"/>
              </w:rPr>
              <w:t>19,05</w:t>
            </w:r>
          </w:p>
        </w:tc>
        <w:tc>
          <w:tcPr>
            <w:tcW w:w="1013" w:type="dxa"/>
            <w:vAlign w:val="center"/>
          </w:tcPr>
          <w:p>
            <w:pPr>
              <w:jc w:val="center"/>
              <w:rPr>
                <w:rFonts w:asciiTheme="minorHAnsi" w:hAnsiTheme="minorHAnsi" w:cstheme="minorHAnsi"/>
              </w:rPr>
            </w:pPr>
            <w:r>
              <w:rPr>
                <w:rFonts w:asciiTheme="minorHAnsi" w:hAnsiTheme="minorHAnsi" w:cstheme="minorHAnsi"/>
              </w:rPr>
              <w:t>18,90</w:t>
            </w:r>
          </w:p>
        </w:tc>
        <w:tc>
          <w:tcPr>
            <w:tcW w:w="919" w:type="dxa"/>
            <w:vAlign w:val="center"/>
          </w:tcPr>
          <w:p>
            <w:pPr>
              <w:jc w:val="center"/>
              <w:rPr>
                <w:rFonts w:asciiTheme="minorHAnsi" w:hAnsiTheme="minorHAnsi" w:cstheme="minorHAnsi"/>
                <w:color w:val="000000"/>
              </w:rPr>
            </w:pPr>
            <w:r>
              <w:rPr>
                <w:rFonts w:asciiTheme="minorHAnsi" w:hAnsiTheme="minorHAnsi" w:cstheme="minorHAnsi"/>
                <w:color w:val="000000"/>
                <w:lang w:val="sr-Cyrl-CS"/>
              </w:rPr>
              <w:t>100,00</w:t>
            </w:r>
          </w:p>
        </w:tc>
      </w:tr>
    </w:tbl>
    <w:p>
      <w:pPr>
        <w:rPr>
          <w:rFonts w:asciiTheme="minorHAnsi" w:hAnsiTheme="minorHAnsi" w:cstheme="minorHAnsi"/>
          <w:i/>
          <w:sz w:val="20"/>
          <w:szCs w:val="20"/>
          <w:lang w:val="sr-Cyrl-CS"/>
        </w:rPr>
      </w:pPr>
      <w:r>
        <w:rPr>
          <w:rFonts w:asciiTheme="minorHAnsi" w:hAnsiTheme="minorHAnsi" w:cstheme="minorHAnsi"/>
          <w:i/>
          <w:sz w:val="20"/>
          <w:szCs w:val="20"/>
          <w:lang w:val="sr-Cyrl-CS"/>
        </w:rPr>
        <w:t>Извор: Републички завод за статистику</w:t>
      </w:r>
    </w:p>
    <w:p>
      <w:pPr>
        <w:rPr>
          <w:rFonts w:ascii="Times New Roman" w:hAnsi="Times New Roman"/>
          <w:b/>
          <w:sz w:val="28"/>
          <w:szCs w:val="28"/>
          <w:lang w:val="sr-Cyrl-CS"/>
        </w:rPr>
      </w:pPr>
    </w:p>
    <w:p>
      <w:pPr>
        <w:spacing w:after="120" w:line="264" w:lineRule="auto"/>
        <w:jc w:val="both"/>
        <w:rPr>
          <w:rFonts w:asciiTheme="minorHAnsi" w:hAnsiTheme="minorHAnsi" w:cstheme="minorHAnsi"/>
          <w:lang w:val="sr-Cyrl-CS"/>
        </w:rPr>
      </w:pPr>
      <w:r>
        <w:rPr>
          <w:rFonts w:asciiTheme="minorHAnsi" w:hAnsiTheme="minorHAnsi" w:cstheme="minorHAnsi"/>
          <w:bCs/>
          <w:lang w:val="sr-Cyrl-CS"/>
        </w:rPr>
        <w:t>Са становишта запослености и тржишта рада, кретања на нивоу Града повољнија су, у односу на ниво Републике Српске, с обзиром да Бања Лука партиципира са 25-26% запослених у укупном броју запослених у Републици Српској, док активна понуда радне снаге на територији града Бања Лука чини око 12% укупног броја незапослених у Републици Српској. У односу на просјечне мјесечне бруто и нето плате на нивоу Републике Српске, исти показатељи су 16-17% виши за подручје Града. Међутим, одређени показатељи спољнотрговинске размјене (покривеност увоза извозом) за Бања Луку, знатно су неповољнији у односу на ниво Републике Српске, односно вриједност извоза бањалучких предузећа учествује у укупном извозу Републике Српске у посматраном периоду од 19 до 24%, док вриједност увоза бањалучких предузећа чини 39 до 48% вриједности увоза Републике Српске. Учешће реализовних инвестиција бањалучких предузећа у укупним инвестицијама Републике Српске, у периоду од 2012. до 2016. године, веома је неуједначено и креће се од 17,9% у 2014. години до 41,8% у 2013. години.</w:t>
      </w:r>
      <w:r>
        <w:rPr>
          <w:rFonts w:asciiTheme="minorHAnsi" w:hAnsiTheme="minorHAnsi" w:cstheme="minorHAnsi"/>
          <w:lang w:val="sr-Cyrl-CS"/>
        </w:rPr>
        <w:t xml:space="preserve"> Да Бања Лука има посебно значајну улогу на нивоу Републике Српске у области високог образовања говори податак да бањалучки студенти учествују у укупном броју студената у Републици Српској од 56-57%. </w:t>
      </w:r>
    </w:p>
    <w:p>
      <w:pPr>
        <w:spacing w:after="120" w:line="264" w:lineRule="auto"/>
        <w:jc w:val="both"/>
        <w:rPr>
          <w:rFonts w:asciiTheme="minorHAnsi" w:hAnsiTheme="minorHAnsi" w:cstheme="minorHAnsi"/>
          <w:bCs/>
          <w:lang w:val="sr-Cyrl-CS"/>
        </w:rPr>
      </w:pPr>
      <w:r>
        <w:rPr>
          <w:rFonts w:asciiTheme="minorHAnsi" w:hAnsiTheme="minorHAnsi" w:cstheme="minorHAnsi"/>
          <w:lang w:val="sr-Cyrl-CS"/>
        </w:rPr>
        <w:t xml:space="preserve">Такође, показатељи из области бањалучког туризма нису задовољавајући, с обзиром да доласци туриста у </w:t>
      </w:r>
      <w:r>
        <w:rPr>
          <w:rFonts w:asciiTheme="minorHAnsi" w:hAnsiTheme="minorHAnsi" w:cstheme="minorHAnsi"/>
          <w:bCs/>
          <w:lang w:val="sr-Cyrl-CS"/>
        </w:rPr>
        <w:t>Бања Луку</w:t>
      </w:r>
      <w:r>
        <w:rPr>
          <w:rFonts w:asciiTheme="minorHAnsi" w:hAnsiTheme="minorHAnsi" w:cstheme="minorHAnsi"/>
          <w:lang w:val="sr-Cyrl-CS"/>
        </w:rPr>
        <w:t xml:space="preserve"> чине око 26% укупних долазака туриста у Републику Српску, док учешће броја ноћења туриста на подручју града Бања Лука, у укупном броју на нивоу Републике Српске, износи у посматраном петогодишњем периоду од 16 до 18%. Одређени показатељи у посматраном периоду су сасвим неповољни, нпр. дужина путева на подручју Бања Луке чини више од 3% укупне дужине путева Републике Српске, док број регистрованих путничких аутомобила на подручју града Бања Лука представља око 19% укупно регистрованих возила на нивоу Републике Српске. </w:t>
      </w:r>
    </w:p>
    <w:p>
      <w:pPr>
        <w:spacing w:after="120" w:line="264" w:lineRule="auto"/>
        <w:jc w:val="both"/>
        <w:rPr>
          <w:rFonts w:asciiTheme="minorHAnsi" w:hAnsiTheme="minorHAnsi" w:cstheme="minorHAnsi"/>
          <w:lang w:val="sr-Cyrl-CS"/>
        </w:rPr>
      </w:pPr>
      <w:r>
        <w:rPr>
          <w:rFonts w:asciiTheme="minorHAnsi" w:hAnsiTheme="minorHAnsi" w:cstheme="minorHAnsi"/>
          <w:lang w:val="sr-Cyrl-BA"/>
        </w:rPr>
        <w:t>Један од највећих проблема економије Бања Луке, али и Републике Српске, у цјелини, јесте висок спољнотрговински дефицит, који је посљедица слабе конкурентности домаће привреде на страним тржиштима, недовољне заштите и стимулације домаће производње, високе увозне зависности, те неусклађености царинских тарифа Босне и Херцеговине с потребама привреде за сировинама и репроматеријалима, који се не производе у оквиру Босне и Херцеговине.</w:t>
      </w:r>
    </w:p>
    <w:p>
      <w:pPr>
        <w:spacing w:after="120" w:line="264" w:lineRule="auto"/>
        <w:jc w:val="both"/>
        <w:rPr>
          <w:rFonts w:asciiTheme="minorHAnsi" w:hAnsiTheme="minorHAnsi" w:cstheme="minorHAnsi"/>
          <w:lang w:val="ru-RU"/>
        </w:rPr>
      </w:pPr>
      <w:r>
        <w:rPr>
          <w:rFonts w:asciiTheme="minorHAnsi" w:hAnsiTheme="minorHAnsi" w:cstheme="minorHAnsi"/>
          <w:lang w:val="ru-RU"/>
        </w:rPr>
        <w:t xml:space="preserve">Карактеристике макроекономског оквира и укупног пословног амбијента треба имати у виду и при конципирању стратегије будућег развоја, посебно с аспекта значајних промјена у окружењу, као и могућих микроекономских и </w:t>
      </w:r>
      <w:r>
        <w:rPr>
          <w:rFonts w:asciiTheme="minorHAnsi" w:hAnsiTheme="minorHAnsi" w:cstheme="minorHAnsi"/>
          <w:lang w:val="sr-Cyrl-BA"/>
        </w:rPr>
        <w:t>макроекономских</w:t>
      </w:r>
      <w:r>
        <w:rPr>
          <w:rFonts w:asciiTheme="minorHAnsi" w:hAnsiTheme="minorHAnsi" w:cstheme="minorHAnsi"/>
          <w:lang w:val="ru-RU"/>
        </w:rPr>
        <w:t xml:space="preserve"> ризика у пословању. За очекивати је да ће привредни субјекти и надаље бити оптерећени успореним темпом оживљавања производње и реструктурисања, с обзиром да ће се финансијски капитал прибављати отежано и све скупље. Уз скупљи капитал долази и до великог </w:t>
      </w:r>
      <w:r>
        <w:rPr>
          <w:rFonts w:asciiTheme="minorHAnsi" w:hAnsiTheme="minorHAnsi" w:cstheme="minorHAnsi"/>
          <w:bCs/>
          <w:lang w:val="sr-Cyrl-CS"/>
        </w:rPr>
        <w:t>опреза</w:t>
      </w:r>
      <w:r>
        <w:rPr>
          <w:rFonts w:asciiTheme="minorHAnsi" w:hAnsiTheme="minorHAnsi" w:cstheme="minorHAnsi"/>
          <w:lang w:val="ru-RU"/>
        </w:rPr>
        <w:t xml:space="preserve"> код инвестирања, нарочито страних инвеститора, иако привредни амбијент нуди квалификовану и релативно повољну цијену радне снаге, одређене природне ресурсе и неискориштене капацитете, те погодности и стимулативне мјере за покретање пословних активности у расположивим просторима с развијеном инфраструктуром.</w:t>
      </w:r>
    </w:p>
    <w:p>
      <w:pPr>
        <w:spacing w:after="120"/>
        <w:jc w:val="both"/>
        <w:rPr>
          <w:rFonts w:eastAsia="Times New Roman" w:asciiTheme="minorHAnsi" w:hAnsiTheme="minorHAnsi" w:cstheme="majorBidi"/>
          <w:b/>
          <w:bCs/>
          <w:i/>
          <w:iCs/>
          <w:kern w:val="32"/>
          <w:lang w:val="sr-Cyrl-CS"/>
        </w:rPr>
      </w:pPr>
      <w:r>
        <w:rPr>
          <w:rFonts w:eastAsia="Times New Roman" w:asciiTheme="minorHAnsi" w:hAnsiTheme="minorHAnsi" w:cstheme="majorBidi"/>
          <w:b/>
          <w:bCs/>
          <w:i/>
          <w:iCs/>
          <w:kern w:val="32"/>
          <w:lang w:val="sr-Cyrl-CS"/>
        </w:rPr>
        <w:t>Број и структура правних лица</w:t>
      </w:r>
    </w:p>
    <w:tbl>
      <w:tblPr>
        <w:tblStyle w:val="37"/>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4027"/>
        <w:gridCol w:w="850"/>
        <w:gridCol w:w="850"/>
        <w:gridCol w:w="850"/>
        <w:gridCol w:w="850"/>
        <w:gridCol w:w="850"/>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76" w:type="dxa"/>
            <w:gridSpan w:val="8"/>
            <w:shd w:val="clear" w:color="auto" w:fill="538135" w:themeFill="accent6" w:themeFillShade="BF"/>
            <w:vAlign w:val="center"/>
          </w:tcPr>
          <w:p>
            <w:pPr>
              <w:jc w:val="center"/>
              <w:rPr>
                <w:rFonts w:asciiTheme="minorHAnsi" w:hAnsiTheme="minorHAnsi" w:cstheme="minorHAnsi"/>
                <w:bCs/>
                <w:color w:val="FFFFFF" w:themeColor="background1"/>
                <w:lang w:val="sr-Latn-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Број регистрованих правних лица према дјелатностима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bCs/>
                <w:color w:val="000000"/>
                <w:lang w:val="sr-Latn-CS"/>
              </w:rPr>
            </w:pPr>
          </w:p>
        </w:tc>
        <w:tc>
          <w:tcPr>
            <w:tcW w:w="4027" w:type="dxa"/>
            <w:shd w:val="clear" w:color="auto" w:fill="A8D08D" w:themeFill="accent6" w:themeFillTint="99"/>
            <w:vAlign w:val="center"/>
          </w:tcPr>
          <w:p>
            <w:pPr>
              <w:jc w:val="center"/>
              <w:rPr>
                <w:rFonts w:asciiTheme="minorHAnsi" w:hAnsiTheme="minorHAnsi" w:cstheme="minorHAnsi"/>
                <w:bCs/>
                <w:color w:val="000000"/>
                <w:lang w:val="sr-Latn-CS"/>
              </w:rPr>
            </w:pPr>
            <w:r>
              <w:rPr>
                <w:rFonts w:asciiTheme="minorHAnsi" w:hAnsiTheme="minorHAnsi" w:cstheme="minorHAnsi"/>
                <w:bCs/>
                <w:color w:val="000000"/>
                <w:lang w:val="sr-Latn-CS"/>
              </w:rPr>
              <w:t>Подручје дјелатности</w:t>
            </w:r>
          </w:p>
        </w:tc>
        <w:tc>
          <w:tcPr>
            <w:tcW w:w="850" w:type="dxa"/>
            <w:shd w:val="clear" w:color="auto" w:fill="A8D08D" w:themeFill="accent6" w:themeFillTint="99"/>
            <w:vAlign w:val="center"/>
          </w:tcPr>
          <w:p>
            <w:pPr>
              <w:jc w:val="center"/>
              <w:rPr>
                <w:rFonts w:asciiTheme="minorHAnsi" w:hAnsiTheme="minorHAnsi" w:cstheme="minorHAnsi"/>
                <w:bCs/>
                <w:color w:val="000000"/>
                <w:lang w:val="sr-Cyrl-RS"/>
              </w:rPr>
            </w:pPr>
            <w:r>
              <w:rPr>
                <w:rFonts w:asciiTheme="minorHAnsi" w:hAnsiTheme="minorHAnsi" w:cstheme="minorHAnsi"/>
                <w:bCs/>
                <w:color w:val="000000"/>
                <w:lang w:val="sr-Latn-CS"/>
              </w:rPr>
              <w:t>2012</w:t>
            </w:r>
            <w:r>
              <w:rPr>
                <w:rFonts w:asciiTheme="minorHAnsi" w:hAnsiTheme="minorHAnsi" w:cstheme="minorHAnsi"/>
                <w:bCs/>
                <w:color w:val="000000"/>
                <w:lang w:val="sr-Cyrl-RS"/>
              </w:rPr>
              <w:t>.</w:t>
            </w:r>
          </w:p>
        </w:tc>
        <w:tc>
          <w:tcPr>
            <w:tcW w:w="850" w:type="dxa"/>
            <w:shd w:val="clear" w:color="auto" w:fill="A8D08D" w:themeFill="accent6" w:themeFillTint="99"/>
            <w:vAlign w:val="center"/>
          </w:tcPr>
          <w:p>
            <w:pPr>
              <w:jc w:val="center"/>
              <w:rPr>
                <w:rFonts w:asciiTheme="minorHAnsi" w:hAnsiTheme="minorHAnsi" w:cstheme="minorHAnsi"/>
                <w:bCs/>
                <w:color w:val="000000"/>
                <w:lang w:val="sr-Cyrl-RS"/>
              </w:rPr>
            </w:pPr>
            <w:r>
              <w:rPr>
                <w:rFonts w:asciiTheme="minorHAnsi" w:hAnsiTheme="minorHAnsi" w:cstheme="minorHAnsi"/>
                <w:bCs/>
                <w:color w:val="000000"/>
                <w:lang w:val="sr-Latn-CS"/>
              </w:rPr>
              <w:t>2013</w:t>
            </w:r>
            <w:r>
              <w:rPr>
                <w:rFonts w:asciiTheme="minorHAnsi" w:hAnsiTheme="minorHAnsi" w:cstheme="minorHAnsi"/>
                <w:bCs/>
                <w:color w:val="000000"/>
                <w:lang w:val="sr-Cyrl-RS"/>
              </w:rPr>
              <w:t>.</w:t>
            </w:r>
          </w:p>
        </w:tc>
        <w:tc>
          <w:tcPr>
            <w:tcW w:w="850" w:type="dxa"/>
            <w:shd w:val="clear" w:color="auto" w:fill="A8D08D" w:themeFill="accent6" w:themeFillTint="99"/>
            <w:vAlign w:val="center"/>
          </w:tcPr>
          <w:p>
            <w:pPr>
              <w:jc w:val="center"/>
              <w:rPr>
                <w:rFonts w:asciiTheme="minorHAnsi" w:hAnsiTheme="minorHAnsi" w:cstheme="minorHAnsi"/>
                <w:bCs/>
                <w:color w:val="000000"/>
                <w:lang w:val="sr-Cyrl-RS"/>
              </w:rPr>
            </w:pPr>
            <w:r>
              <w:rPr>
                <w:rFonts w:asciiTheme="minorHAnsi" w:hAnsiTheme="minorHAnsi" w:cstheme="minorHAnsi"/>
                <w:bCs/>
                <w:color w:val="000000"/>
                <w:lang w:val="sr-Latn-CS"/>
              </w:rPr>
              <w:t>2014</w:t>
            </w:r>
            <w:r>
              <w:rPr>
                <w:rFonts w:asciiTheme="minorHAnsi" w:hAnsiTheme="minorHAnsi" w:cstheme="minorHAnsi"/>
                <w:bCs/>
                <w:color w:val="000000"/>
                <w:lang w:val="sr-Cyrl-RS"/>
              </w:rPr>
              <w:t>.</w:t>
            </w:r>
          </w:p>
        </w:tc>
        <w:tc>
          <w:tcPr>
            <w:tcW w:w="850" w:type="dxa"/>
            <w:shd w:val="clear" w:color="auto" w:fill="A8D08D" w:themeFill="accent6" w:themeFillTint="99"/>
            <w:vAlign w:val="center"/>
          </w:tcPr>
          <w:p>
            <w:pPr>
              <w:jc w:val="center"/>
              <w:rPr>
                <w:rFonts w:asciiTheme="minorHAnsi" w:hAnsiTheme="minorHAnsi" w:cstheme="minorHAnsi"/>
                <w:bCs/>
                <w:color w:val="000000"/>
                <w:lang w:val="sr-Cyrl-RS"/>
              </w:rPr>
            </w:pPr>
            <w:r>
              <w:rPr>
                <w:rFonts w:asciiTheme="minorHAnsi" w:hAnsiTheme="minorHAnsi" w:cstheme="minorHAnsi"/>
                <w:bCs/>
                <w:color w:val="000000"/>
                <w:lang w:val="sr-Latn-CS"/>
              </w:rPr>
              <w:t>2015</w:t>
            </w:r>
            <w:r>
              <w:rPr>
                <w:rFonts w:asciiTheme="minorHAnsi" w:hAnsiTheme="minorHAnsi" w:cstheme="minorHAnsi"/>
                <w:bCs/>
                <w:color w:val="000000"/>
                <w:lang w:val="sr-Cyrl-RS"/>
              </w:rPr>
              <w:t>.</w:t>
            </w:r>
          </w:p>
        </w:tc>
        <w:tc>
          <w:tcPr>
            <w:tcW w:w="850" w:type="dxa"/>
            <w:shd w:val="clear" w:color="auto" w:fill="A8D08D" w:themeFill="accent6" w:themeFillTint="99"/>
            <w:vAlign w:val="center"/>
          </w:tcPr>
          <w:p>
            <w:pPr>
              <w:jc w:val="center"/>
              <w:rPr>
                <w:rFonts w:asciiTheme="minorHAnsi" w:hAnsiTheme="minorHAnsi" w:cstheme="minorHAnsi"/>
                <w:bCs/>
                <w:color w:val="000000"/>
                <w:lang w:val="sr-Cyrl-RS"/>
              </w:rPr>
            </w:pPr>
            <w:r>
              <w:rPr>
                <w:rFonts w:asciiTheme="minorHAnsi" w:hAnsiTheme="minorHAnsi" w:cstheme="minorHAnsi"/>
                <w:bCs/>
                <w:color w:val="000000"/>
                <w:lang w:val="sr-Latn-CS"/>
              </w:rPr>
              <w:t>2016</w:t>
            </w:r>
            <w:r>
              <w:rPr>
                <w:rFonts w:asciiTheme="minorHAnsi" w:hAnsiTheme="minorHAnsi" w:cstheme="minorHAnsi"/>
                <w:bCs/>
                <w:color w:val="000000"/>
                <w:lang w:val="sr-Cyrl-RS"/>
              </w:rPr>
              <w:t>.</w:t>
            </w:r>
          </w:p>
        </w:tc>
        <w:tc>
          <w:tcPr>
            <w:tcW w:w="848" w:type="dxa"/>
            <w:shd w:val="clear" w:color="auto" w:fill="A8D08D" w:themeFill="accent6" w:themeFillTint="99"/>
            <w:vAlign w:val="center"/>
          </w:tcPr>
          <w:p>
            <w:pPr>
              <w:jc w:val="center"/>
              <w:rPr>
                <w:rFonts w:asciiTheme="minorHAnsi" w:hAnsiTheme="minorHAnsi" w:cstheme="minorHAnsi"/>
                <w:bCs/>
                <w:color w:val="000000"/>
                <w:lang w:val="sr-Latn-CS"/>
              </w:rPr>
            </w:pPr>
            <w:r>
              <w:rPr>
                <w:rFonts w:asciiTheme="minorHAnsi" w:hAnsiTheme="minorHAnsi" w:cstheme="minorHAnsi"/>
                <w:bCs/>
                <w:color w:val="000000"/>
                <w:lang w:val="sr-Latn-CS"/>
              </w:rPr>
              <w:t>2016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A</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Пољопривреда, шумарство, лов</w:t>
            </w:r>
            <w:r>
              <w:rPr>
                <w:rFonts w:asciiTheme="minorHAnsi" w:hAnsiTheme="minorHAnsi" w:cstheme="minorHAnsi"/>
                <w:color w:val="000000"/>
                <w:lang w:val="sr-Cyrl-CS"/>
              </w:rPr>
              <w:t>ство</w:t>
            </w:r>
            <w:r>
              <w:rPr>
                <w:rFonts w:asciiTheme="minorHAnsi" w:hAnsiTheme="minorHAnsi" w:cstheme="minorHAnsi"/>
                <w:color w:val="000000"/>
                <w:lang w:val="sr-Latn-CS"/>
              </w:rPr>
              <w:t xml:space="preserve"> и рибарство</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67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75</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75</w:t>
            </w:r>
          </w:p>
        </w:tc>
        <w:tc>
          <w:tcPr>
            <w:tcW w:w="850" w:type="dxa"/>
            <w:vAlign w:val="center"/>
          </w:tcPr>
          <w:p>
            <w:pPr>
              <w:jc w:val="right"/>
              <w:rPr>
                <w:rFonts w:asciiTheme="minorHAnsi" w:hAnsiTheme="minorHAnsi" w:cstheme="minorHAnsi"/>
                <w:color w:val="000000"/>
                <w:lang w:val="sr-Cyrl-CS"/>
              </w:rPr>
            </w:pPr>
            <w:r>
              <w:rPr>
                <w:rFonts w:asciiTheme="minorHAnsi" w:hAnsiTheme="minorHAnsi" w:cstheme="minorHAnsi"/>
                <w:color w:val="000000"/>
                <w:lang w:val="sr-Cyrl-CS"/>
              </w:rPr>
              <w:t>84</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B</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 xml:space="preserve">Вађење руда и камена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13</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16</w:t>
            </w:r>
          </w:p>
        </w:tc>
        <w:tc>
          <w:tcPr>
            <w:tcW w:w="850" w:type="dxa"/>
            <w:vAlign w:val="bottom"/>
          </w:tcPr>
          <w:p>
            <w:pPr>
              <w:jc w:val="right"/>
              <w:rPr>
                <w:rFonts w:asciiTheme="minorHAnsi" w:hAnsiTheme="minorHAnsi" w:cstheme="minorHAnsi"/>
                <w:color w:val="000000"/>
                <w:lang w:val="sr-Latn-CS"/>
              </w:rPr>
            </w:pPr>
            <w:r>
              <w:rPr>
                <w:rFonts w:asciiTheme="minorHAnsi" w:hAnsiTheme="minorHAnsi" w:cstheme="minorHAnsi"/>
                <w:color w:val="000000"/>
                <w:lang w:val="sr-Latn-CS"/>
              </w:rPr>
              <w:t>18</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21</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19</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C</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 xml:space="preserve">Прерађивачка индустрија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508</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532</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559</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594</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598</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D</w:t>
            </w:r>
          </w:p>
        </w:tc>
        <w:tc>
          <w:tcPr>
            <w:tcW w:w="4027" w:type="dxa"/>
            <w:vAlign w:val="center"/>
          </w:tcPr>
          <w:p>
            <w:pPr>
              <w:rPr>
                <w:rFonts w:asciiTheme="minorHAnsi" w:hAnsiTheme="minorHAnsi" w:cstheme="minorHAnsi"/>
                <w:color w:val="000000"/>
                <w:lang w:val="sr-Cyrl-CS"/>
              </w:rPr>
            </w:pPr>
            <w:r>
              <w:rPr>
                <w:rFonts w:asciiTheme="minorHAnsi" w:hAnsiTheme="minorHAnsi" w:cstheme="minorHAnsi"/>
                <w:color w:val="000000"/>
                <w:lang w:val="sr-Latn-CS"/>
              </w:rPr>
              <w:t>Производња и снабдијевање ел. енергијом, гасом, паром и климат</w:t>
            </w:r>
            <w:r>
              <w:rPr>
                <w:rFonts w:asciiTheme="minorHAnsi" w:hAnsiTheme="minorHAnsi" w:cstheme="minorHAnsi"/>
                <w:color w:val="000000"/>
                <w:lang w:val="sr-Cyrl-CS"/>
              </w:rPr>
              <w:t>.</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39</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53</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54</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53</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60</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E</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Снабдијевање водом, канализац</w:t>
            </w:r>
            <w:r>
              <w:rPr>
                <w:rFonts w:asciiTheme="minorHAnsi" w:hAnsiTheme="minorHAnsi" w:cstheme="minorHAnsi"/>
                <w:color w:val="000000"/>
                <w:lang w:val="sr-Cyrl-CS"/>
              </w:rPr>
              <w:t>.</w:t>
            </w:r>
            <w:r>
              <w:rPr>
                <w:rFonts w:asciiTheme="minorHAnsi" w:hAnsiTheme="minorHAnsi" w:cstheme="minorHAnsi"/>
                <w:color w:val="000000"/>
                <w:lang w:val="sr-Latn-CS"/>
              </w:rPr>
              <w:t>, управљање отпадом и дјелатност санације животне средине</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22</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26</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28</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29</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36</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F</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 xml:space="preserve">Грађевинарство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343</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362</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378</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347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422</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G</w:t>
            </w:r>
          </w:p>
        </w:tc>
        <w:tc>
          <w:tcPr>
            <w:tcW w:w="4027" w:type="dxa"/>
            <w:vAlign w:val="center"/>
          </w:tcPr>
          <w:p>
            <w:pPr>
              <w:rPr>
                <w:rFonts w:asciiTheme="minorHAnsi" w:hAnsiTheme="minorHAnsi" w:cstheme="minorHAnsi"/>
                <w:color w:val="000000"/>
                <w:lang w:val="sr-Cyrl-CS"/>
              </w:rPr>
            </w:pPr>
            <w:r>
              <w:rPr>
                <w:rFonts w:asciiTheme="minorHAnsi" w:hAnsiTheme="minorHAnsi" w:cstheme="minorHAnsi"/>
                <w:color w:val="000000"/>
                <w:lang w:val="sr-Latn-CS"/>
              </w:rPr>
              <w:t>Трговина на велико и трговина на мало, оправка моторних возила</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2.267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2.330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2.411</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2284</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2.526</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H</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 xml:space="preserve">Саобраћај и складиштење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178</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190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199</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214</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212</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I</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Дјелатност пружања смјештаја</w:t>
            </w:r>
            <w:r>
              <w:rPr>
                <w:rFonts w:asciiTheme="minorHAnsi" w:hAnsiTheme="minorHAnsi" w:cstheme="minorHAnsi"/>
                <w:color w:val="000000"/>
                <w:lang w:val="sr-Cyrl-CS"/>
              </w:rPr>
              <w:t xml:space="preserve"> и исхране,</w:t>
            </w:r>
            <w:r>
              <w:rPr>
                <w:rFonts w:asciiTheme="minorHAnsi" w:hAnsiTheme="minorHAnsi" w:cstheme="minorHAnsi"/>
                <w:color w:val="000000"/>
                <w:lang w:val="sr-Latn-CS"/>
              </w:rPr>
              <w:t xml:space="preserve"> хотелиј. и угоститељство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78</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79</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84</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85</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100</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Ј</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Информације и комуникације</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211</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229</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243</w:t>
            </w:r>
          </w:p>
        </w:tc>
        <w:tc>
          <w:tcPr>
            <w:tcW w:w="850" w:type="dxa"/>
            <w:vAlign w:val="center"/>
          </w:tcPr>
          <w:p>
            <w:pPr>
              <w:rPr>
                <w:rFonts w:asciiTheme="minorHAnsi" w:hAnsiTheme="minorHAnsi" w:cstheme="minorHAnsi"/>
                <w:lang w:val="sr-Latn-CS"/>
              </w:rPr>
            </w:pPr>
            <w:r>
              <w:rPr>
                <w:rFonts w:asciiTheme="minorHAnsi" w:hAnsiTheme="minorHAnsi" w:cstheme="minorHAnsi"/>
                <w:lang w:val="sr-Cyrl-CS"/>
              </w:rPr>
              <w:t xml:space="preserve">   262</w:t>
            </w:r>
            <w:r>
              <w:rPr>
                <w:rFonts w:asciiTheme="minorHAnsi" w:hAnsiTheme="minorHAnsi" w:cstheme="minorHAnsi"/>
                <w:lang w:val="sr-Latn-CS"/>
              </w:rPr>
              <w:t>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299</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K</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Финансијске дјелатности и дјелатности осигурања</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110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110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117</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175</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122</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L</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Пословање некретнинама</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67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72</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74</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92</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81</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М</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Стручне, научне и техничке дјелатности</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541</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577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634</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684</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724</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N</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Административне и помоћне услужне дјелатности</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110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121</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131</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177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158</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O</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 xml:space="preserve">Јавна управа и одбрана, обавезно социјално осигурање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92</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87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88</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107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88</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P</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 xml:space="preserve">Образовање </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125</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130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138</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135</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158</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Q</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Дјелатности здравствене заштите и социјалног рада</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136</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144</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153</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267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176</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R</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Умјетност, забава и рекреација</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480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507</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529</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545</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564</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S</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Остале услужне дјелатности</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1.258</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1.351</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1.440</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1970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1.569</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Т</w:t>
            </w:r>
          </w:p>
        </w:tc>
        <w:tc>
          <w:tcPr>
            <w:tcW w:w="4027" w:type="dxa"/>
            <w:vAlign w:val="center"/>
          </w:tcPr>
          <w:p>
            <w:pPr>
              <w:rPr>
                <w:rFonts w:asciiTheme="minorHAnsi" w:hAnsiTheme="minorHAnsi" w:cstheme="minorHAnsi"/>
                <w:color w:val="000000"/>
                <w:lang w:val="sr-Cyrl-CS"/>
              </w:rPr>
            </w:pPr>
            <w:r>
              <w:rPr>
                <w:rFonts w:asciiTheme="minorHAnsi" w:hAnsiTheme="minorHAnsi" w:cstheme="minorHAnsi"/>
                <w:color w:val="000000"/>
                <w:lang w:val="sr-Latn-CS"/>
              </w:rPr>
              <w:t>Дјеланост домаћинстава као пословдаваца</w:t>
            </w:r>
            <w:r>
              <w:rPr>
                <w:rFonts w:asciiTheme="minorHAnsi" w:hAnsiTheme="minorHAnsi" w:cstheme="minorHAnsi"/>
                <w:color w:val="000000"/>
                <w:lang w:val="sr-Cyrl-CS"/>
              </w:rPr>
              <w:t xml:space="preserve">, </w:t>
            </w:r>
            <w:r>
              <w:rPr>
                <w:rFonts w:asciiTheme="minorHAnsi" w:hAnsiTheme="minorHAnsi" w:cstheme="minorHAnsi"/>
                <w:color w:val="000000"/>
                <w:lang w:val="sr-Latn-CS"/>
              </w:rPr>
              <w:t>кој</w:t>
            </w:r>
            <w:r>
              <w:rPr>
                <w:rFonts w:asciiTheme="minorHAnsi" w:hAnsiTheme="minorHAnsi" w:cstheme="minorHAnsi"/>
                <w:color w:val="000000"/>
                <w:lang w:val="sr-Cyrl-CS"/>
              </w:rPr>
              <w:t>и</w:t>
            </w:r>
            <w:r>
              <w:rPr>
                <w:rFonts w:asciiTheme="minorHAnsi" w:hAnsiTheme="minorHAnsi" w:cstheme="minorHAnsi"/>
                <w:color w:val="000000"/>
                <w:lang w:val="sr-Latn-CS"/>
              </w:rPr>
              <w:t xml:space="preserve"> производе робу и обављају услуге за соп</w:t>
            </w:r>
            <w:r>
              <w:rPr>
                <w:rFonts w:asciiTheme="minorHAnsi" w:hAnsiTheme="minorHAnsi" w:cstheme="minorHAnsi"/>
                <w:color w:val="000000"/>
                <w:lang w:val="sr-Cyrl-CS"/>
              </w:rPr>
              <w:t xml:space="preserve">. </w:t>
            </w:r>
            <w:r>
              <w:rPr>
                <w:rFonts w:asciiTheme="minorHAnsi" w:hAnsiTheme="minorHAnsi" w:cstheme="minorHAnsi"/>
                <w:color w:val="000000"/>
                <w:lang w:val="sr-Latn-CS"/>
              </w:rPr>
              <w:t>Потреб</w:t>
            </w:r>
            <w:r>
              <w:rPr>
                <w:rFonts w:asciiTheme="minorHAnsi" w:hAnsiTheme="minorHAnsi" w:cstheme="minorHAnsi"/>
                <w:color w:val="000000"/>
                <w:lang w:val="sr-Cyrl-CS"/>
              </w:rPr>
              <w:t>е</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 </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0</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A8D08D" w:themeFill="accent6" w:themeFillTint="99"/>
            <w:vAlign w:val="center"/>
          </w:tcPr>
          <w:p>
            <w:pPr>
              <w:jc w:val="center"/>
              <w:rPr>
                <w:rFonts w:asciiTheme="minorHAnsi" w:hAnsiTheme="minorHAnsi" w:cstheme="minorHAnsi"/>
                <w:color w:val="000000"/>
                <w:lang w:val="sr-Latn-CS"/>
              </w:rPr>
            </w:pPr>
            <w:r>
              <w:rPr>
                <w:rFonts w:asciiTheme="minorHAnsi" w:hAnsiTheme="minorHAnsi" w:cstheme="minorHAnsi"/>
                <w:color w:val="000000"/>
                <w:lang w:val="sr-Latn-CS"/>
              </w:rPr>
              <w:t>U</w:t>
            </w:r>
          </w:p>
        </w:tc>
        <w:tc>
          <w:tcPr>
            <w:tcW w:w="4027" w:type="dxa"/>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Дјелатност екстериторијалних организација и органа</w:t>
            </w:r>
          </w:p>
        </w:tc>
        <w:tc>
          <w:tcPr>
            <w:tcW w:w="850" w:type="dxa"/>
            <w:vAlign w:val="center"/>
          </w:tcPr>
          <w:p>
            <w:pPr>
              <w:jc w:val="right"/>
              <w:rPr>
                <w:rFonts w:asciiTheme="minorHAnsi" w:hAnsiTheme="minorHAnsi" w:cstheme="minorHAnsi"/>
                <w:color w:val="000000"/>
                <w:lang w:val="sr-Cyrl-CS"/>
              </w:rPr>
            </w:pPr>
            <w:r>
              <w:rPr>
                <w:rFonts w:asciiTheme="minorHAnsi" w:hAnsiTheme="minorHAnsi" w:cstheme="minorHAnsi"/>
                <w:color w:val="000000"/>
                <w:lang w:val="sr-Cyrl-CS"/>
              </w:rPr>
              <w:t>-</w:t>
            </w:r>
          </w:p>
        </w:tc>
        <w:tc>
          <w:tcPr>
            <w:tcW w:w="850" w:type="dxa"/>
            <w:vAlign w:val="center"/>
          </w:tcPr>
          <w:p>
            <w:pPr>
              <w:jc w:val="right"/>
              <w:rPr>
                <w:rFonts w:asciiTheme="minorHAnsi" w:hAnsiTheme="minorHAnsi" w:cstheme="minorHAnsi"/>
                <w:color w:val="000000"/>
                <w:lang w:val="sr-Cyrl-CS"/>
              </w:rPr>
            </w:pPr>
            <w:r>
              <w:rPr>
                <w:rFonts w:asciiTheme="minorHAnsi" w:hAnsiTheme="minorHAnsi" w:cstheme="minorHAnsi"/>
                <w:color w:val="000000"/>
                <w:lang w:val="sr-Cyrl-CS"/>
              </w:rPr>
              <w:t>-</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w:t>
            </w:r>
          </w:p>
        </w:tc>
        <w:tc>
          <w:tcPr>
            <w:tcW w:w="850" w:type="dxa"/>
            <w:vAlign w:val="center"/>
          </w:tcPr>
          <w:p>
            <w:pPr>
              <w:jc w:val="right"/>
              <w:rPr>
                <w:rFonts w:asciiTheme="minorHAnsi" w:hAnsiTheme="minorHAnsi" w:cstheme="minorHAnsi"/>
                <w:lang w:val="sr-Latn-CS"/>
              </w:rPr>
            </w:pPr>
            <w:r>
              <w:rPr>
                <w:rFonts w:asciiTheme="minorHAnsi" w:hAnsiTheme="minorHAnsi" w:cstheme="minorHAnsi"/>
                <w:lang w:val="sr-Latn-CS"/>
              </w:rPr>
              <w:t>9</w:t>
            </w:r>
          </w:p>
        </w:tc>
        <w:tc>
          <w:tcPr>
            <w:tcW w:w="850"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w:t>
            </w:r>
          </w:p>
        </w:tc>
        <w:tc>
          <w:tcPr>
            <w:tcW w:w="848" w:type="dxa"/>
            <w:shd w:val="clear" w:color="auto" w:fill="E2EFD9" w:themeFill="accent6" w:themeFillTint="33"/>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shd w:val="clear" w:color="auto" w:fill="C5E0B3" w:themeFill="accent6" w:themeFillTint="66"/>
            <w:vAlign w:val="center"/>
          </w:tcPr>
          <w:p>
            <w:pPr>
              <w:rPr>
                <w:rFonts w:asciiTheme="minorHAnsi" w:hAnsiTheme="minorHAnsi" w:cstheme="minorHAnsi"/>
                <w:color w:val="000000"/>
                <w:lang w:val="sr-Latn-CS"/>
              </w:rPr>
            </w:pPr>
            <w:r>
              <w:rPr>
                <w:rFonts w:asciiTheme="minorHAnsi" w:hAnsiTheme="minorHAnsi" w:cstheme="minorHAnsi"/>
                <w:color w:val="000000"/>
                <w:lang w:val="sr-Latn-CS"/>
              </w:rPr>
              <w:t> </w:t>
            </w:r>
          </w:p>
        </w:tc>
        <w:tc>
          <w:tcPr>
            <w:tcW w:w="4027" w:type="dxa"/>
            <w:shd w:val="clear" w:color="auto" w:fill="C5E0B3" w:themeFill="accent6" w:themeFillTint="66"/>
            <w:vAlign w:val="center"/>
          </w:tcPr>
          <w:p>
            <w:pPr>
              <w:rPr>
                <w:rFonts w:asciiTheme="minorHAnsi" w:hAnsiTheme="minorHAnsi" w:cstheme="minorHAnsi"/>
                <w:b/>
                <w:bCs/>
                <w:color w:val="000000"/>
                <w:lang w:val="sr-Latn-CS"/>
              </w:rPr>
            </w:pPr>
            <w:r>
              <w:rPr>
                <w:rFonts w:asciiTheme="minorHAnsi" w:hAnsiTheme="minorHAnsi" w:cstheme="minorHAnsi"/>
                <w:b/>
                <w:bCs/>
                <w:color w:val="000000"/>
                <w:lang w:val="sr-Latn-CS"/>
              </w:rPr>
              <w:t>Укупно</w:t>
            </w:r>
          </w:p>
        </w:tc>
        <w:tc>
          <w:tcPr>
            <w:tcW w:w="850" w:type="dxa"/>
            <w:shd w:val="clear" w:color="auto" w:fill="C5E0B3" w:themeFill="accent6" w:themeFillTint="66"/>
            <w:vAlign w:val="center"/>
          </w:tcPr>
          <w:p>
            <w:pPr>
              <w:jc w:val="right"/>
              <w:rPr>
                <w:rFonts w:asciiTheme="minorHAnsi" w:hAnsiTheme="minorHAnsi" w:cstheme="minorHAnsi"/>
                <w:b/>
                <w:bCs/>
                <w:color w:val="000000"/>
                <w:lang w:val="sr-Latn-CS"/>
              </w:rPr>
            </w:pPr>
            <w:r>
              <w:rPr>
                <w:rFonts w:asciiTheme="minorHAnsi" w:hAnsiTheme="minorHAnsi" w:cstheme="minorHAnsi"/>
                <w:b/>
                <w:bCs/>
                <w:color w:val="000000"/>
                <w:lang w:val="sr-Latn-CS"/>
              </w:rPr>
              <w:t>6.646</w:t>
            </w:r>
          </w:p>
        </w:tc>
        <w:tc>
          <w:tcPr>
            <w:tcW w:w="850" w:type="dxa"/>
            <w:shd w:val="clear" w:color="auto" w:fill="C5E0B3" w:themeFill="accent6" w:themeFillTint="66"/>
            <w:vAlign w:val="center"/>
          </w:tcPr>
          <w:p>
            <w:pPr>
              <w:jc w:val="right"/>
              <w:rPr>
                <w:rFonts w:asciiTheme="minorHAnsi" w:hAnsiTheme="minorHAnsi" w:cstheme="minorHAnsi"/>
                <w:b/>
                <w:bCs/>
                <w:color w:val="000000"/>
                <w:lang w:val="sr-Latn-CS"/>
              </w:rPr>
            </w:pPr>
            <w:r>
              <w:rPr>
                <w:rFonts w:asciiTheme="minorHAnsi" w:hAnsiTheme="minorHAnsi" w:cstheme="minorHAnsi"/>
                <w:b/>
                <w:bCs/>
                <w:color w:val="000000"/>
                <w:lang w:val="sr-Latn-CS"/>
              </w:rPr>
              <w:t>6.987</w:t>
            </w:r>
          </w:p>
        </w:tc>
        <w:tc>
          <w:tcPr>
            <w:tcW w:w="850" w:type="dxa"/>
            <w:shd w:val="clear" w:color="auto" w:fill="C5E0B3" w:themeFill="accent6" w:themeFillTint="66"/>
            <w:vAlign w:val="center"/>
          </w:tcPr>
          <w:p>
            <w:pPr>
              <w:jc w:val="right"/>
              <w:rPr>
                <w:rFonts w:asciiTheme="minorHAnsi" w:hAnsiTheme="minorHAnsi" w:cstheme="minorHAnsi"/>
                <w:b/>
                <w:bCs/>
                <w:color w:val="000000"/>
                <w:lang w:val="sr-Latn-CS"/>
              </w:rPr>
            </w:pPr>
            <w:r>
              <w:rPr>
                <w:rFonts w:asciiTheme="minorHAnsi" w:hAnsiTheme="minorHAnsi" w:cstheme="minorHAnsi"/>
                <w:b/>
                <w:bCs/>
                <w:color w:val="000000"/>
                <w:lang w:val="sr-Latn-CS"/>
              </w:rPr>
              <w:t>7.354</w:t>
            </w:r>
          </w:p>
        </w:tc>
        <w:tc>
          <w:tcPr>
            <w:tcW w:w="850" w:type="dxa"/>
            <w:shd w:val="clear" w:color="auto" w:fill="C5E0B3" w:themeFill="accent6" w:themeFillTint="66"/>
            <w:vAlign w:val="center"/>
          </w:tcPr>
          <w:p>
            <w:pPr>
              <w:jc w:val="right"/>
              <w:rPr>
                <w:rFonts w:asciiTheme="minorHAnsi" w:hAnsiTheme="minorHAnsi" w:cstheme="minorHAnsi"/>
                <w:b/>
                <w:bCs/>
                <w:color w:val="000000"/>
                <w:lang w:val="sr-Latn-CS"/>
              </w:rPr>
            </w:pPr>
            <w:r>
              <w:rPr>
                <w:rFonts w:asciiTheme="minorHAnsi" w:hAnsiTheme="minorHAnsi" w:cstheme="minorHAnsi"/>
                <w:b/>
                <w:bCs/>
                <w:color w:val="000000"/>
                <w:lang w:val="sr-Latn-CS"/>
              </w:rPr>
              <w:t>7.863</w:t>
            </w:r>
          </w:p>
        </w:tc>
        <w:tc>
          <w:tcPr>
            <w:tcW w:w="850" w:type="dxa"/>
            <w:shd w:val="clear" w:color="auto" w:fill="C5E0B3" w:themeFill="accent6" w:themeFillTint="66"/>
            <w:vAlign w:val="center"/>
          </w:tcPr>
          <w:p>
            <w:pPr>
              <w:jc w:val="right"/>
              <w:rPr>
                <w:rFonts w:asciiTheme="minorHAnsi" w:hAnsiTheme="minorHAnsi" w:cstheme="minorHAnsi"/>
                <w:b/>
                <w:bCs/>
                <w:color w:val="000000"/>
                <w:lang w:val="sr-Latn-CS"/>
              </w:rPr>
            </w:pPr>
            <w:r>
              <w:rPr>
                <w:rFonts w:asciiTheme="minorHAnsi" w:hAnsiTheme="minorHAnsi" w:cstheme="minorHAnsi"/>
                <w:b/>
                <w:bCs/>
                <w:color w:val="000000"/>
                <w:lang w:val="sr-Latn-CS"/>
              </w:rPr>
              <w:t>7.998</w:t>
            </w:r>
          </w:p>
        </w:tc>
        <w:tc>
          <w:tcPr>
            <w:tcW w:w="848" w:type="dxa"/>
            <w:shd w:val="clear" w:color="auto" w:fill="C5E0B3" w:themeFill="accent6" w:themeFillTint="66"/>
            <w:vAlign w:val="center"/>
          </w:tcPr>
          <w:p>
            <w:pPr>
              <w:jc w:val="right"/>
              <w:rPr>
                <w:rFonts w:asciiTheme="minorHAnsi" w:hAnsiTheme="minorHAnsi" w:cstheme="minorHAnsi"/>
                <w:color w:val="000000"/>
                <w:lang w:val="sr-Latn-CS"/>
              </w:rPr>
            </w:pPr>
            <w:r>
              <w:rPr>
                <w:rFonts w:asciiTheme="minorHAnsi" w:hAnsiTheme="minorHAnsi" w:cstheme="minorHAnsi"/>
                <w:b/>
                <w:bCs/>
                <w:color w:val="000000"/>
                <w:lang w:val="sr-Latn-CS"/>
              </w:rPr>
              <w:t>100</w:t>
            </w:r>
          </w:p>
        </w:tc>
      </w:tr>
    </w:tbl>
    <w:p>
      <w:pPr>
        <w:spacing w:after="200" w:line="276" w:lineRule="auto"/>
        <w:jc w:val="both"/>
        <w:rPr>
          <w:rFonts w:asciiTheme="minorHAnsi" w:hAnsiTheme="minorHAnsi" w:cstheme="minorHAnsi"/>
          <w:i/>
          <w:sz w:val="18"/>
          <w:szCs w:val="18"/>
          <w:lang w:val="sr-Cyrl-CS"/>
        </w:rPr>
      </w:pPr>
      <w:r>
        <w:rPr>
          <w:rFonts w:asciiTheme="minorHAnsi" w:hAnsiTheme="minorHAnsi" w:cstheme="minorHAnsi"/>
          <w:i/>
          <w:sz w:val="18"/>
          <w:szCs w:val="18"/>
          <w:lang w:val="sr-Cyrl-CS"/>
        </w:rPr>
        <w:t xml:space="preserve">Извор: Републички завод за статистику </w:t>
      </w:r>
    </w:p>
    <w:p>
      <w:pPr>
        <w:spacing w:after="120" w:line="264" w:lineRule="auto"/>
        <w:jc w:val="both"/>
        <w:rPr>
          <w:rFonts w:asciiTheme="minorHAnsi" w:hAnsiTheme="minorHAnsi" w:cstheme="minorHAnsi"/>
          <w:lang w:val="sr-Cyrl-CS"/>
        </w:rPr>
      </w:pPr>
      <w:r>
        <w:rPr>
          <w:rFonts w:asciiTheme="minorHAnsi" w:hAnsiTheme="minorHAnsi" w:cstheme="minorHAnsi"/>
          <w:lang w:val="sr-Cyrl-CS"/>
        </w:rPr>
        <w:t xml:space="preserve">Са становишта величине правних лица с подручја града Бања Лука, мјерене бројем запослених радника, број класификованих предузећа је уједначен у периоду од 2012. до 2016. године. У посматраном периоду, са 79-80% учествују микро предузећа, која запошљавају до 9 радника. У укупном броју правних лица, 14-15% је малих предузећа, која запошљавају од 10 до 49 радника. Мање од 5% је средњих предузећа, која имају од 50 до 250 запослених радника, док је великих предузећа, с више од 250 запослених радника у посматраном петогодишњем периоду између 57 и 66, односно само 0,8%. Структура и класификација предузећа према броју запослених упућује на велику уситњеност пословних субјеката, уз веома скромно учешће великих привредних субјеката (мање од 1%), који имају радне и техниочке капацитете за организовање значајније производње. </w:t>
      </w:r>
    </w:p>
    <w:tbl>
      <w:tblPr>
        <w:tblStyle w:val="37"/>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5"/>
        <w:gridCol w:w="877"/>
        <w:gridCol w:w="877"/>
        <w:gridCol w:w="877"/>
        <w:gridCol w:w="877"/>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76" w:type="dxa"/>
            <w:gridSpan w:val="6"/>
            <w:shd w:val="clear" w:color="auto" w:fill="A8D08D" w:themeFill="accent6" w:themeFillTint="99"/>
          </w:tcPr>
          <w:p>
            <w:pPr>
              <w:jc w:val="center"/>
              <w:rPr>
                <w:rFonts w:asciiTheme="minorHAnsi" w:hAnsiTheme="minorHAnsi" w:cstheme="minorHAnsi"/>
                <w:lang w:val="sr-Cyrl-CS"/>
              </w:rPr>
            </w:pPr>
            <w:r>
              <w:rPr>
                <w:rFonts w:asciiTheme="minorHAnsi" w:hAnsiTheme="minorHAnsi" w:cstheme="minorHAnsi"/>
                <w:b/>
                <w:lang w:val="sr-Cyrl-CS"/>
              </w:rPr>
              <w:t>Број регистрованих предузећа – класификованих по величини-броју запослених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5" w:type="dxa"/>
            <w:shd w:val="clear" w:color="auto" w:fill="A8D08D" w:themeFill="accent6" w:themeFillTint="99"/>
          </w:tcPr>
          <w:p>
            <w:pPr>
              <w:jc w:val="center"/>
              <w:rPr>
                <w:rFonts w:asciiTheme="minorHAnsi" w:hAnsiTheme="minorHAnsi" w:cstheme="minorHAnsi"/>
                <w:lang w:val="sr-Cyrl-CS"/>
              </w:rPr>
            </w:pPr>
            <w:r>
              <w:rPr>
                <w:rFonts w:asciiTheme="minorHAnsi" w:hAnsiTheme="minorHAnsi" w:cstheme="minorHAnsi"/>
                <w:lang w:val="sr-Cyrl-CS"/>
              </w:rPr>
              <w:t>Предузећа по величини (броју запослених)</w:t>
            </w:r>
          </w:p>
        </w:tc>
        <w:tc>
          <w:tcPr>
            <w:tcW w:w="877" w:type="dxa"/>
            <w:shd w:val="clear" w:color="auto" w:fill="A8D08D" w:themeFill="accent6" w:themeFillTint="99"/>
            <w:vAlign w:val="center"/>
          </w:tcPr>
          <w:p>
            <w:pPr>
              <w:jc w:val="center"/>
              <w:rPr>
                <w:rFonts w:asciiTheme="minorHAnsi" w:hAnsiTheme="minorHAnsi" w:cstheme="minorHAnsi"/>
                <w:lang w:val="sr-Cyrl-CS"/>
              </w:rPr>
            </w:pPr>
            <w:r>
              <w:rPr>
                <w:rFonts w:asciiTheme="minorHAnsi" w:hAnsiTheme="minorHAnsi" w:cstheme="minorHAnsi"/>
                <w:lang w:val="sr-Cyrl-CS"/>
              </w:rPr>
              <w:t>2012</w:t>
            </w:r>
          </w:p>
        </w:tc>
        <w:tc>
          <w:tcPr>
            <w:tcW w:w="877" w:type="dxa"/>
            <w:shd w:val="clear" w:color="auto" w:fill="A8D08D" w:themeFill="accent6" w:themeFillTint="99"/>
            <w:vAlign w:val="center"/>
          </w:tcPr>
          <w:p>
            <w:pPr>
              <w:jc w:val="center"/>
              <w:rPr>
                <w:rFonts w:asciiTheme="minorHAnsi" w:hAnsiTheme="minorHAnsi" w:cstheme="minorHAnsi"/>
                <w:lang w:val="sr-Cyrl-CS"/>
              </w:rPr>
            </w:pPr>
            <w:r>
              <w:rPr>
                <w:rFonts w:asciiTheme="minorHAnsi" w:hAnsiTheme="minorHAnsi" w:cstheme="minorHAnsi"/>
                <w:lang w:val="sr-Cyrl-CS"/>
              </w:rPr>
              <w:t>2013</w:t>
            </w:r>
          </w:p>
        </w:tc>
        <w:tc>
          <w:tcPr>
            <w:tcW w:w="877" w:type="dxa"/>
            <w:shd w:val="clear" w:color="auto" w:fill="A8D08D" w:themeFill="accent6" w:themeFillTint="99"/>
            <w:vAlign w:val="center"/>
          </w:tcPr>
          <w:p>
            <w:pPr>
              <w:jc w:val="center"/>
              <w:rPr>
                <w:rFonts w:asciiTheme="minorHAnsi" w:hAnsiTheme="minorHAnsi" w:cstheme="minorHAnsi"/>
                <w:lang w:val="sr-Cyrl-CS"/>
              </w:rPr>
            </w:pPr>
            <w:r>
              <w:rPr>
                <w:rFonts w:asciiTheme="minorHAnsi" w:hAnsiTheme="minorHAnsi" w:cstheme="minorHAnsi"/>
                <w:lang w:val="sr-Cyrl-CS"/>
              </w:rPr>
              <w:t>2014</w:t>
            </w:r>
          </w:p>
        </w:tc>
        <w:tc>
          <w:tcPr>
            <w:tcW w:w="877" w:type="dxa"/>
            <w:shd w:val="clear" w:color="auto" w:fill="A8D08D" w:themeFill="accent6" w:themeFillTint="99"/>
            <w:vAlign w:val="center"/>
          </w:tcPr>
          <w:p>
            <w:pPr>
              <w:jc w:val="center"/>
              <w:rPr>
                <w:rFonts w:asciiTheme="minorHAnsi" w:hAnsiTheme="minorHAnsi" w:cstheme="minorHAnsi"/>
                <w:lang w:val="sr-Cyrl-CS"/>
              </w:rPr>
            </w:pPr>
            <w:r>
              <w:rPr>
                <w:rFonts w:asciiTheme="minorHAnsi" w:hAnsiTheme="minorHAnsi" w:cstheme="minorHAnsi"/>
                <w:lang w:val="sr-Cyrl-CS"/>
              </w:rPr>
              <w:t>2015</w:t>
            </w:r>
          </w:p>
        </w:tc>
        <w:tc>
          <w:tcPr>
            <w:tcW w:w="873" w:type="dxa"/>
            <w:shd w:val="clear" w:color="auto" w:fill="A8D08D" w:themeFill="accent6" w:themeFillTint="99"/>
            <w:vAlign w:val="center"/>
          </w:tcPr>
          <w:p>
            <w:pPr>
              <w:jc w:val="center"/>
              <w:rPr>
                <w:rFonts w:asciiTheme="minorHAnsi" w:hAnsiTheme="minorHAnsi" w:cstheme="minorHAnsi"/>
                <w:lang w:val="sr-Cyrl-CS"/>
              </w:rPr>
            </w:pPr>
            <w:r>
              <w:rPr>
                <w:rFonts w:asciiTheme="minorHAnsi" w:hAnsiTheme="minorHAnsi" w:cstheme="minorHAnsi"/>
                <w:lang w:val="sr-Cyrl-CS"/>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5195" w:type="dxa"/>
          </w:tcPr>
          <w:p>
            <w:pPr>
              <w:rPr>
                <w:rFonts w:asciiTheme="minorHAnsi" w:hAnsiTheme="minorHAnsi" w:cstheme="minorHAnsi"/>
                <w:b/>
                <w:lang w:val="sr-Cyrl-CS"/>
              </w:rPr>
            </w:pPr>
            <w:r>
              <w:rPr>
                <w:rFonts w:asciiTheme="minorHAnsi" w:hAnsiTheme="minorHAnsi" w:cstheme="minorHAnsi"/>
                <w:b/>
                <w:lang w:val="sr-Cyrl-CS"/>
              </w:rPr>
              <w:t>Микро (до 9 запослених)</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5.309</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5.497</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5.892</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6.339</w:t>
            </w:r>
          </w:p>
        </w:tc>
        <w:tc>
          <w:tcPr>
            <w:tcW w:w="873" w:type="dxa"/>
            <w:vAlign w:val="bottom"/>
          </w:tcPr>
          <w:p>
            <w:pPr>
              <w:jc w:val="right"/>
              <w:rPr>
                <w:rFonts w:asciiTheme="minorHAnsi" w:hAnsiTheme="minorHAnsi" w:cstheme="minorHAnsi"/>
                <w:color w:val="000000"/>
                <w:lang w:val="sr-Cyrl-CS"/>
              </w:rPr>
            </w:pPr>
            <w:r>
              <w:rPr>
                <w:rFonts w:asciiTheme="minorHAnsi" w:hAnsiTheme="minorHAnsi" w:cstheme="minorHAnsi"/>
                <w:color w:val="000000"/>
                <w:lang w:val="sr-Latn-CS"/>
              </w:rPr>
              <w:t>6</w:t>
            </w:r>
            <w:r>
              <w:rPr>
                <w:rFonts w:asciiTheme="minorHAnsi" w:hAnsiTheme="minorHAnsi" w:cstheme="minorHAnsi"/>
                <w:color w:val="000000"/>
                <w:lang w:val="sr-Cyrl-CS"/>
              </w:rPr>
              <w:t>.</w:t>
            </w:r>
            <w:r>
              <w:rPr>
                <w:rFonts w:asciiTheme="minorHAnsi" w:hAnsiTheme="minorHAnsi" w:cstheme="minorHAnsi"/>
                <w:color w:val="000000"/>
                <w:lang w:val="sr-Latn-CS"/>
              </w:rPr>
              <w:t>4</w:t>
            </w:r>
            <w:r>
              <w:rPr>
                <w:rFonts w:asciiTheme="minorHAnsi" w:hAnsiTheme="minorHAnsi" w:cstheme="minorHAnsi"/>
                <w:color w:val="000000"/>
                <w:lang w:val="sr-Cyrl-CS"/>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5195" w:type="dxa"/>
          </w:tcPr>
          <w:p>
            <w:pPr>
              <w:rPr>
                <w:rFonts w:asciiTheme="minorHAnsi" w:hAnsiTheme="minorHAnsi" w:cstheme="minorHAnsi"/>
                <w:b/>
                <w:lang w:val="sr-Cyrl-CS"/>
              </w:rPr>
            </w:pPr>
            <w:r>
              <w:rPr>
                <w:rFonts w:asciiTheme="minorHAnsi" w:hAnsiTheme="minorHAnsi" w:cstheme="minorHAnsi"/>
                <w:b/>
                <w:lang w:val="sr-Cyrl-CS"/>
              </w:rPr>
              <w:t>Мала (10-49 запослених)</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967</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1.090</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1.080</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1.114</w:t>
            </w:r>
          </w:p>
        </w:tc>
        <w:tc>
          <w:tcPr>
            <w:tcW w:w="873" w:type="dxa"/>
            <w:vAlign w:val="bottom"/>
          </w:tcPr>
          <w:p>
            <w:pPr>
              <w:jc w:val="right"/>
              <w:rPr>
                <w:rFonts w:asciiTheme="minorHAnsi" w:hAnsiTheme="minorHAnsi" w:cstheme="minorHAnsi"/>
                <w:color w:val="000000"/>
                <w:lang w:val="sr-Cyrl-CS"/>
              </w:rPr>
            </w:pPr>
            <w:r>
              <w:rPr>
                <w:rFonts w:asciiTheme="minorHAnsi" w:hAnsiTheme="minorHAnsi" w:cstheme="minorHAnsi"/>
                <w:color w:val="000000"/>
                <w:lang w:val="sr-Latn-CS"/>
              </w:rPr>
              <w:t>1</w:t>
            </w:r>
            <w:r>
              <w:rPr>
                <w:rFonts w:asciiTheme="minorHAnsi" w:hAnsiTheme="minorHAnsi" w:cstheme="minorHAnsi"/>
                <w:color w:val="000000"/>
                <w:lang w:val="sr-Cyrl-CS"/>
              </w:rPr>
              <w:t>.</w:t>
            </w:r>
            <w:r>
              <w:rPr>
                <w:rFonts w:asciiTheme="minorHAnsi" w:hAnsiTheme="minorHAnsi" w:cstheme="minorHAnsi"/>
                <w:color w:val="000000"/>
                <w:lang w:val="sr-Latn-CS"/>
              </w:rPr>
              <w:t>13</w:t>
            </w:r>
            <w:r>
              <w:rPr>
                <w:rFonts w:asciiTheme="minorHAnsi" w:hAnsiTheme="minorHAnsi" w:cstheme="minorHAnsi"/>
                <w:color w:val="000000"/>
                <w:lang w:val="sr-Cyrl-C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5195" w:type="dxa"/>
          </w:tcPr>
          <w:p>
            <w:pPr>
              <w:rPr>
                <w:rFonts w:asciiTheme="minorHAnsi" w:hAnsiTheme="minorHAnsi" w:cstheme="minorHAnsi"/>
                <w:b/>
                <w:lang w:val="sr-Cyrl-CS"/>
              </w:rPr>
            </w:pPr>
            <w:r>
              <w:rPr>
                <w:rFonts w:asciiTheme="minorHAnsi" w:hAnsiTheme="minorHAnsi" w:cstheme="minorHAnsi"/>
                <w:b/>
                <w:lang w:val="sr-Cyrl-CS"/>
              </w:rPr>
              <w:t>Средња (50-249 запослених)</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313</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347</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319</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345</w:t>
            </w:r>
          </w:p>
        </w:tc>
        <w:tc>
          <w:tcPr>
            <w:tcW w:w="873" w:type="dxa"/>
            <w:vAlign w:val="bottom"/>
          </w:tcPr>
          <w:p>
            <w:pPr>
              <w:jc w:val="right"/>
              <w:rPr>
                <w:rFonts w:asciiTheme="minorHAnsi" w:hAnsiTheme="minorHAnsi" w:cstheme="minorHAnsi"/>
                <w:color w:val="000000"/>
                <w:lang w:val="sr-Cyrl-CS"/>
              </w:rPr>
            </w:pPr>
            <w:r>
              <w:rPr>
                <w:rFonts w:asciiTheme="minorHAnsi" w:hAnsiTheme="minorHAnsi" w:cstheme="minorHAnsi"/>
                <w:color w:val="000000"/>
                <w:lang w:val="sr-Latn-CS"/>
              </w:rPr>
              <w:t>35</w:t>
            </w:r>
            <w:r>
              <w:rPr>
                <w:rFonts w:asciiTheme="minorHAnsi" w:hAnsiTheme="minorHAnsi" w:cstheme="minorHAnsi"/>
                <w:color w:val="000000"/>
                <w:lang w:val="sr-Cyrl-C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5" w:type="dxa"/>
          </w:tcPr>
          <w:p>
            <w:pPr>
              <w:rPr>
                <w:rFonts w:asciiTheme="minorHAnsi" w:hAnsiTheme="minorHAnsi" w:cstheme="minorHAnsi"/>
                <w:b/>
                <w:lang w:val="sr-Cyrl-CS"/>
              </w:rPr>
            </w:pPr>
            <w:r>
              <w:rPr>
                <w:rFonts w:asciiTheme="minorHAnsi" w:hAnsiTheme="minorHAnsi" w:cstheme="minorHAnsi"/>
                <w:b/>
                <w:lang w:val="sr-Cyrl-CS"/>
              </w:rPr>
              <w:t>Велика (преко 250 запослених)</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57</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53</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63</w:t>
            </w:r>
          </w:p>
        </w:tc>
        <w:tc>
          <w:tcPr>
            <w:tcW w:w="877" w:type="dxa"/>
            <w:vAlign w:val="center"/>
          </w:tcPr>
          <w:p>
            <w:pPr>
              <w:jc w:val="right"/>
              <w:rPr>
                <w:rFonts w:asciiTheme="minorHAnsi" w:hAnsiTheme="minorHAnsi" w:cstheme="minorHAnsi"/>
                <w:color w:val="000000"/>
                <w:lang w:val="sr-Latn-CS"/>
              </w:rPr>
            </w:pPr>
            <w:r>
              <w:rPr>
                <w:rFonts w:asciiTheme="minorHAnsi" w:hAnsiTheme="minorHAnsi" w:cstheme="minorHAnsi"/>
                <w:color w:val="000000"/>
                <w:lang w:val="sr-Latn-CS"/>
              </w:rPr>
              <w:t>65</w:t>
            </w:r>
          </w:p>
        </w:tc>
        <w:tc>
          <w:tcPr>
            <w:tcW w:w="873" w:type="dxa"/>
            <w:vAlign w:val="bottom"/>
          </w:tcPr>
          <w:p>
            <w:pPr>
              <w:jc w:val="right"/>
              <w:rPr>
                <w:rFonts w:asciiTheme="minorHAnsi" w:hAnsiTheme="minorHAnsi" w:cstheme="minorHAnsi"/>
                <w:color w:val="000000"/>
                <w:lang w:val="sr-Latn-CS"/>
              </w:rPr>
            </w:pPr>
            <w:r>
              <w:rPr>
                <w:rFonts w:asciiTheme="minorHAnsi" w:hAnsiTheme="minorHAnsi" w:cstheme="minorHAnsi"/>
                <w:color w:val="000000"/>
                <w:lang w:val="sr-Latn-CS"/>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95" w:type="dxa"/>
          </w:tcPr>
          <w:p>
            <w:pPr>
              <w:rPr>
                <w:rFonts w:asciiTheme="minorHAnsi" w:hAnsiTheme="minorHAnsi" w:cstheme="minorHAnsi"/>
                <w:b/>
                <w:lang w:val="sr-Cyrl-CS"/>
              </w:rPr>
            </w:pPr>
            <w:r>
              <w:rPr>
                <w:rFonts w:asciiTheme="minorHAnsi" w:hAnsiTheme="minorHAnsi" w:cstheme="minorHAnsi"/>
                <w:b/>
                <w:lang w:val="sr-Cyrl-CS"/>
              </w:rPr>
              <w:t>Укупно</w:t>
            </w:r>
          </w:p>
        </w:tc>
        <w:tc>
          <w:tcPr>
            <w:tcW w:w="877" w:type="dxa"/>
            <w:vAlign w:val="center"/>
          </w:tcPr>
          <w:p>
            <w:pPr>
              <w:jc w:val="right"/>
              <w:rPr>
                <w:rFonts w:asciiTheme="minorHAnsi" w:hAnsiTheme="minorHAnsi" w:cstheme="minorHAnsi"/>
                <w:b/>
                <w:bCs/>
                <w:color w:val="000000"/>
                <w:lang w:val="sr-Latn-CS"/>
              </w:rPr>
            </w:pPr>
            <w:r>
              <w:rPr>
                <w:rFonts w:asciiTheme="minorHAnsi" w:hAnsiTheme="minorHAnsi" w:cstheme="minorHAnsi"/>
                <w:b/>
                <w:bCs/>
                <w:color w:val="000000"/>
                <w:lang w:val="sr-Latn-CS"/>
              </w:rPr>
              <w:t>6.646</w:t>
            </w:r>
          </w:p>
        </w:tc>
        <w:tc>
          <w:tcPr>
            <w:tcW w:w="877" w:type="dxa"/>
            <w:vAlign w:val="center"/>
          </w:tcPr>
          <w:p>
            <w:pPr>
              <w:jc w:val="right"/>
              <w:rPr>
                <w:rFonts w:asciiTheme="minorHAnsi" w:hAnsiTheme="minorHAnsi" w:cstheme="minorHAnsi"/>
                <w:b/>
                <w:color w:val="000000"/>
                <w:lang w:val="sr-Latn-CS"/>
              </w:rPr>
            </w:pPr>
            <w:r>
              <w:rPr>
                <w:rFonts w:asciiTheme="minorHAnsi" w:hAnsiTheme="minorHAnsi" w:cstheme="minorHAnsi"/>
                <w:b/>
                <w:color w:val="000000"/>
                <w:lang w:val="sr-Latn-CS"/>
              </w:rPr>
              <w:t>6.987</w:t>
            </w:r>
          </w:p>
        </w:tc>
        <w:tc>
          <w:tcPr>
            <w:tcW w:w="877" w:type="dxa"/>
            <w:vAlign w:val="center"/>
          </w:tcPr>
          <w:p>
            <w:pPr>
              <w:jc w:val="right"/>
              <w:rPr>
                <w:rFonts w:asciiTheme="minorHAnsi" w:hAnsiTheme="minorHAnsi" w:cstheme="minorHAnsi"/>
                <w:b/>
                <w:color w:val="000000"/>
                <w:lang w:val="sr-Latn-CS"/>
              </w:rPr>
            </w:pPr>
            <w:r>
              <w:rPr>
                <w:rFonts w:asciiTheme="minorHAnsi" w:hAnsiTheme="minorHAnsi" w:cstheme="minorHAnsi"/>
                <w:b/>
                <w:color w:val="000000"/>
                <w:lang w:val="sr-Latn-CS"/>
              </w:rPr>
              <w:t>7.354</w:t>
            </w:r>
          </w:p>
        </w:tc>
        <w:tc>
          <w:tcPr>
            <w:tcW w:w="877" w:type="dxa"/>
            <w:vAlign w:val="center"/>
          </w:tcPr>
          <w:p>
            <w:pPr>
              <w:jc w:val="right"/>
              <w:rPr>
                <w:rFonts w:asciiTheme="minorHAnsi" w:hAnsiTheme="minorHAnsi" w:cstheme="minorHAnsi"/>
                <w:b/>
                <w:color w:val="000000"/>
                <w:lang w:val="sr-Latn-CS"/>
              </w:rPr>
            </w:pPr>
            <w:r>
              <w:rPr>
                <w:rFonts w:asciiTheme="minorHAnsi" w:hAnsiTheme="minorHAnsi" w:cstheme="minorHAnsi"/>
                <w:b/>
                <w:color w:val="000000"/>
                <w:lang w:val="sr-Latn-CS"/>
              </w:rPr>
              <w:t>7.863</w:t>
            </w:r>
          </w:p>
        </w:tc>
        <w:tc>
          <w:tcPr>
            <w:tcW w:w="873" w:type="dxa"/>
            <w:vAlign w:val="bottom"/>
          </w:tcPr>
          <w:p>
            <w:pPr>
              <w:jc w:val="right"/>
              <w:rPr>
                <w:rFonts w:asciiTheme="minorHAnsi" w:hAnsiTheme="minorHAnsi" w:cstheme="minorHAnsi"/>
                <w:b/>
                <w:color w:val="000000"/>
                <w:lang w:val="sr-Cyrl-CS"/>
              </w:rPr>
            </w:pPr>
            <w:r>
              <w:rPr>
                <w:rFonts w:asciiTheme="minorHAnsi" w:hAnsiTheme="minorHAnsi" w:cstheme="minorHAnsi"/>
                <w:b/>
                <w:color w:val="000000"/>
                <w:lang w:val="sr-Cyrl-CS"/>
              </w:rPr>
              <w:t>7.998</w:t>
            </w:r>
          </w:p>
        </w:tc>
      </w:tr>
    </w:tbl>
    <w:p>
      <w:pPr>
        <w:spacing w:after="200" w:line="276" w:lineRule="auto"/>
        <w:rPr>
          <w:rFonts w:ascii="Times New Roman" w:hAnsi="Times New Roman"/>
          <w:sz w:val="24"/>
          <w:szCs w:val="24"/>
          <w:lang w:val="sr-Cyrl-RS"/>
        </w:rPr>
      </w:pPr>
      <w:r>
        <w:rPr>
          <w:rFonts w:asciiTheme="minorHAnsi" w:hAnsiTheme="minorHAnsi" w:cstheme="minorHAnsi"/>
          <w:i/>
          <w:sz w:val="18"/>
          <w:szCs w:val="18"/>
          <w:lang w:val="sr-Cyrl-CS"/>
        </w:rPr>
        <w:t xml:space="preserve">Извор: Републичи завод за статистику  </w:t>
      </w:r>
    </w:p>
    <w:p>
      <w:pPr>
        <w:spacing w:after="120" w:line="264" w:lineRule="auto"/>
        <w:jc w:val="both"/>
        <w:rPr>
          <w:rFonts w:eastAsia="Times New Roman" w:asciiTheme="minorHAnsi" w:hAnsiTheme="minorHAnsi" w:cstheme="minorHAnsi"/>
          <w:color w:val="7030A0"/>
          <w:lang w:val="sr-Cyrl-CS"/>
        </w:rPr>
      </w:pPr>
      <w:r>
        <w:rPr>
          <w:rFonts w:asciiTheme="minorHAnsi" w:hAnsiTheme="minorHAnsi" w:cstheme="minorHAnsi"/>
          <w:lang w:val="sr-Cyrl-RS"/>
        </w:rPr>
        <w:t xml:space="preserve">До 2013. године, издавање рјешења о испуњености услова за рад предузећа, као и измјене рјешења, до престанка рада, вршило је Одјељење за привреду Градске управе Бања Лука, након чега је регистрацију предузећа преузео АПИФ. С почетка 2014. године, захваљујући </w:t>
      </w:r>
      <w:r>
        <w:rPr>
          <w:rFonts w:asciiTheme="minorHAnsi" w:hAnsiTheme="minorHAnsi" w:cstheme="minorHAnsi"/>
          <w:lang w:val="sr-Cyrl-CS"/>
        </w:rPr>
        <w:t xml:space="preserve">реформисаној улози </w:t>
      </w:r>
      <w:r>
        <w:rPr>
          <w:rFonts w:asciiTheme="minorHAnsi" w:hAnsiTheme="minorHAnsi" w:cstheme="minorHAnsi"/>
          <w:lang w:val="sr-Latn-RS"/>
        </w:rPr>
        <w:t>АПИФ</w:t>
      </w:r>
      <w:r>
        <w:rPr>
          <w:rFonts w:asciiTheme="minorHAnsi" w:hAnsiTheme="minorHAnsi" w:cstheme="minorHAnsi"/>
          <w:lang w:val="sr-Cyrl-CS"/>
        </w:rPr>
        <w:t>-а, у</w:t>
      </w:r>
      <w:r>
        <w:rPr>
          <w:rFonts w:asciiTheme="minorHAnsi" w:hAnsiTheme="minorHAnsi" w:cstheme="minorHAnsi"/>
          <w:lang w:val="sr-Latn-CS"/>
        </w:rPr>
        <w:t xml:space="preserve">веден </w:t>
      </w:r>
      <w:r>
        <w:rPr>
          <w:rFonts w:asciiTheme="minorHAnsi" w:hAnsiTheme="minorHAnsi" w:cstheme="minorHAnsi"/>
          <w:lang w:val="sr-Cyrl-CS"/>
        </w:rPr>
        <w:t xml:space="preserve">је </w:t>
      </w:r>
      <w:r>
        <w:rPr>
          <w:rFonts w:asciiTheme="minorHAnsi" w:hAnsiTheme="minorHAnsi" w:cstheme="minorHAnsi"/>
          <w:lang w:val="sr-Latn-CS"/>
        </w:rPr>
        <w:t>једношалтерски систем регистрације</w:t>
      </w:r>
      <w:r>
        <w:rPr>
          <w:rFonts w:asciiTheme="minorHAnsi" w:hAnsiTheme="minorHAnsi" w:cstheme="minorHAnsi"/>
          <w:lang w:val="sr-Cyrl-CS"/>
        </w:rPr>
        <w:t>,</w:t>
      </w:r>
      <w:r>
        <w:rPr>
          <w:rFonts w:asciiTheme="minorHAnsi" w:hAnsiTheme="minorHAnsi" w:cstheme="minorHAnsi"/>
          <w:lang w:val="sr-Latn-CS"/>
        </w:rPr>
        <w:t xml:space="preserve"> </w:t>
      </w:r>
      <w:r>
        <w:rPr>
          <w:rFonts w:asciiTheme="minorHAnsi" w:hAnsiTheme="minorHAnsi" w:cstheme="minorHAnsi"/>
          <w:lang w:val="sr-Cyrl-CS"/>
        </w:rPr>
        <w:t xml:space="preserve">уз </w:t>
      </w:r>
      <w:r>
        <w:rPr>
          <w:rFonts w:asciiTheme="minorHAnsi" w:hAnsiTheme="minorHAnsi" w:cstheme="minorHAnsi"/>
          <w:lang w:val="sr-Latn-CS"/>
        </w:rPr>
        <w:t>смање</w:t>
      </w:r>
      <w:r>
        <w:rPr>
          <w:rFonts w:asciiTheme="minorHAnsi" w:hAnsiTheme="minorHAnsi" w:cstheme="minorHAnsi"/>
          <w:lang w:val="sr-Cyrl-CS"/>
        </w:rPr>
        <w:t>ње</w:t>
      </w:r>
      <w:r>
        <w:rPr>
          <w:rFonts w:asciiTheme="minorHAnsi" w:hAnsiTheme="minorHAnsi" w:cstheme="minorHAnsi"/>
          <w:lang w:val="sr-Latn-CS"/>
        </w:rPr>
        <w:t xml:space="preserve"> трошков</w:t>
      </w:r>
      <w:r>
        <w:rPr>
          <w:rFonts w:asciiTheme="minorHAnsi" w:hAnsiTheme="minorHAnsi" w:cstheme="minorHAnsi"/>
          <w:lang w:val="sr-Cyrl-CS"/>
        </w:rPr>
        <w:t>а</w:t>
      </w:r>
      <w:r>
        <w:rPr>
          <w:rFonts w:asciiTheme="minorHAnsi" w:hAnsiTheme="minorHAnsi" w:cstheme="minorHAnsi"/>
          <w:lang w:val="sr-Latn-CS"/>
        </w:rPr>
        <w:t xml:space="preserve"> </w:t>
      </w:r>
      <w:r>
        <w:rPr>
          <w:rFonts w:asciiTheme="minorHAnsi" w:hAnsiTheme="minorHAnsi" w:cstheme="minorHAnsi"/>
          <w:lang w:val="sr-Cyrl-CS"/>
        </w:rPr>
        <w:t xml:space="preserve">регистрације пословних субјеката, </w:t>
      </w:r>
      <w:r>
        <w:rPr>
          <w:rFonts w:asciiTheme="minorHAnsi" w:hAnsiTheme="minorHAnsi" w:cstheme="minorHAnsi"/>
          <w:lang w:val="sr-Latn-CS"/>
        </w:rPr>
        <w:t>процедур</w:t>
      </w:r>
      <w:r>
        <w:rPr>
          <w:rFonts w:asciiTheme="minorHAnsi" w:hAnsiTheme="minorHAnsi" w:cstheme="minorHAnsi"/>
          <w:lang w:val="sr-Cyrl-CS"/>
        </w:rPr>
        <w:t>а</w:t>
      </w:r>
      <w:r>
        <w:rPr>
          <w:rFonts w:asciiTheme="minorHAnsi" w:hAnsiTheme="minorHAnsi" w:cstheme="minorHAnsi"/>
          <w:lang w:val="sr-Latn-CS"/>
        </w:rPr>
        <w:t xml:space="preserve"> и вр</w:t>
      </w:r>
      <w:r>
        <w:rPr>
          <w:rFonts w:asciiTheme="minorHAnsi" w:hAnsiTheme="minorHAnsi" w:cstheme="minorHAnsi"/>
          <w:lang w:val="sr-Cyrl-CS"/>
        </w:rPr>
        <w:t>емена</w:t>
      </w:r>
      <w:r>
        <w:rPr>
          <w:rFonts w:asciiTheme="minorHAnsi" w:hAnsiTheme="minorHAnsi" w:cstheme="minorHAnsi"/>
          <w:lang w:val="sr-Latn-CS"/>
        </w:rPr>
        <w:t xml:space="preserve"> </w:t>
      </w:r>
      <w:r>
        <w:rPr>
          <w:rFonts w:asciiTheme="minorHAnsi" w:hAnsiTheme="minorHAnsi" w:cstheme="minorHAnsi"/>
          <w:lang w:val="sr-Cyrl-CS"/>
        </w:rPr>
        <w:t>регистрације и</w:t>
      </w:r>
      <w:r>
        <w:rPr>
          <w:rFonts w:asciiTheme="minorHAnsi" w:hAnsiTheme="minorHAnsi" w:cstheme="minorHAnsi"/>
          <w:lang w:val="sr-Latn-CS"/>
        </w:rPr>
        <w:t xml:space="preserve"> смање</w:t>
      </w:r>
      <w:r>
        <w:rPr>
          <w:rFonts w:asciiTheme="minorHAnsi" w:hAnsiTheme="minorHAnsi" w:cstheme="minorHAnsi"/>
          <w:lang w:val="sr-Cyrl-CS"/>
        </w:rPr>
        <w:t>ње</w:t>
      </w:r>
      <w:r>
        <w:rPr>
          <w:rFonts w:asciiTheme="minorHAnsi" w:hAnsiTheme="minorHAnsi" w:cstheme="minorHAnsi"/>
          <w:lang w:val="sr-Latn-CS"/>
        </w:rPr>
        <w:t xml:space="preserve"> оснивачк</w:t>
      </w:r>
      <w:r>
        <w:rPr>
          <w:rFonts w:asciiTheme="minorHAnsi" w:hAnsiTheme="minorHAnsi" w:cstheme="minorHAnsi"/>
          <w:lang w:val="sr-Cyrl-CS"/>
        </w:rPr>
        <w:t>ог</w:t>
      </w:r>
      <w:r>
        <w:rPr>
          <w:rFonts w:asciiTheme="minorHAnsi" w:hAnsiTheme="minorHAnsi" w:cstheme="minorHAnsi"/>
          <w:lang w:val="sr-Latn-CS"/>
        </w:rPr>
        <w:t xml:space="preserve"> капитал</w:t>
      </w:r>
      <w:r>
        <w:rPr>
          <w:rFonts w:asciiTheme="minorHAnsi" w:hAnsiTheme="minorHAnsi" w:cstheme="minorHAnsi"/>
          <w:lang w:val="sr-Cyrl-CS"/>
        </w:rPr>
        <w:t>а. У сљедећем графикону презентована је динамика регистровања и затварања правних лица на подручју града:</w:t>
      </w:r>
    </w:p>
    <w:p>
      <w:pPr>
        <w:jc w:val="center"/>
      </w:pPr>
      <w:r>
        <w:rPr>
          <w:highlight w:val="yellow"/>
          <w:lang w:val="sr-Latn-CS" w:eastAsia="sr-Latn-CS"/>
        </w:rPr>
        <w:drawing>
          <wp:inline distT="0" distB="0" distL="0" distR="0">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after="200" w:line="276" w:lineRule="auto"/>
        <w:rPr>
          <w:rFonts w:asciiTheme="minorHAnsi" w:hAnsiTheme="minorHAnsi" w:cstheme="minorHAnsi"/>
          <w:i/>
          <w:sz w:val="18"/>
          <w:szCs w:val="18"/>
          <w:lang w:val="sr-Cyrl-CS"/>
        </w:rPr>
      </w:pPr>
      <w:r>
        <w:rPr>
          <w:i/>
          <w:lang w:val="sr-Cyrl-RS"/>
        </w:rPr>
        <w:t xml:space="preserve">                     </w:t>
      </w:r>
      <w:r>
        <w:rPr>
          <w:rFonts w:asciiTheme="minorHAnsi" w:hAnsiTheme="minorHAnsi" w:cstheme="minorHAnsi"/>
          <w:i/>
          <w:sz w:val="18"/>
          <w:szCs w:val="18"/>
          <w:lang w:val="sr-Cyrl-CS"/>
        </w:rPr>
        <w:t>Извор: Одјељење за привреду (до 2013. године) и  АПИФ (од 2013. године)</w:t>
      </w:r>
    </w:p>
    <w:p>
      <w:pPr>
        <w:spacing w:after="120" w:line="264" w:lineRule="auto"/>
        <w:jc w:val="both"/>
        <w:rPr>
          <w:rFonts w:asciiTheme="minorHAnsi" w:hAnsiTheme="minorHAnsi" w:cstheme="minorHAnsi"/>
          <w:lang w:val="sr-Cyrl-BA"/>
        </w:rPr>
      </w:pPr>
      <w:r>
        <w:rPr>
          <w:rFonts w:asciiTheme="minorHAnsi" w:hAnsiTheme="minorHAnsi" w:cstheme="minorHAnsi"/>
          <w:lang w:val="sr-Cyrl-BA"/>
        </w:rPr>
        <w:t xml:space="preserve">Привреду Бања Луке </w:t>
      </w:r>
      <w:r>
        <w:rPr>
          <w:rFonts w:asciiTheme="minorHAnsi" w:hAnsiTheme="minorHAnsi" w:cstheme="minorHAnsi"/>
          <w:lang w:val="sr-Cyrl-CS"/>
        </w:rPr>
        <w:t>карактерише</w:t>
      </w:r>
      <w:r>
        <w:rPr>
          <w:rFonts w:asciiTheme="minorHAnsi" w:hAnsiTheme="minorHAnsi" w:cstheme="minorHAnsi"/>
          <w:lang w:val="sr-Cyrl-BA"/>
        </w:rPr>
        <w:t xml:space="preserve"> континуирани раст броја привредних друштава и предузетника, </w:t>
      </w:r>
      <w:r>
        <w:rPr>
          <w:rFonts w:asciiTheme="minorHAnsi" w:hAnsiTheme="minorHAnsi" w:cstheme="minorHAnsi"/>
          <w:lang w:val="sr-Cyrl-RS"/>
        </w:rPr>
        <w:t xml:space="preserve">али и континуирано затварање привредних субјеката, </w:t>
      </w:r>
      <w:r>
        <w:rPr>
          <w:rFonts w:asciiTheme="minorHAnsi" w:hAnsiTheme="minorHAnsi" w:cstheme="minorHAnsi"/>
          <w:lang w:val="sr-Cyrl-BA"/>
        </w:rPr>
        <w:t xml:space="preserve">што је приказано у табели кретања новорегистрованих и затворених привредних субјеката. </w:t>
      </w:r>
    </w:p>
    <w:p>
      <w:pPr>
        <w:spacing w:after="120"/>
        <w:jc w:val="both"/>
        <w:rPr>
          <w:rFonts w:asciiTheme="minorHAnsi" w:hAnsiTheme="minorHAnsi" w:cstheme="minorHAnsi"/>
          <w:lang w:val="sr-Cyrl-CS"/>
        </w:rPr>
      </w:pPr>
      <w:r>
        <w:rPr>
          <w:b/>
          <w:i/>
          <w:lang w:val="sr-Cyrl-BA"/>
        </w:rPr>
        <w:t xml:space="preserve">Број и структура самосталних предузетника. </w:t>
      </w:r>
      <w:r>
        <w:rPr>
          <w:rFonts w:asciiTheme="minorHAnsi" w:hAnsiTheme="minorHAnsi" w:cstheme="minorHAnsi"/>
          <w:lang w:val="sr-Cyrl-CS"/>
        </w:rPr>
        <w:t xml:space="preserve">Након доношења Закона о класификацији дјелатности Републике Српске из 2013. године и  Уредбе о класификацији дјелатности из 2014. године, укинуте су ознаке облика обављања предузетничке дјелатности, тако да </w:t>
      </w:r>
      <w:r>
        <w:rPr>
          <w:rFonts w:asciiTheme="minorHAnsi" w:hAnsiTheme="minorHAnsi" w:cstheme="minorHAnsi"/>
        </w:rPr>
        <w:t xml:space="preserve">Одјељење за привреду води регистар </w:t>
      </w:r>
      <w:r>
        <w:rPr>
          <w:rFonts w:asciiTheme="minorHAnsi" w:hAnsiTheme="minorHAnsi" w:cstheme="minorHAnsi"/>
          <w:lang w:val="sr-Cyrl-CS"/>
        </w:rPr>
        <w:t xml:space="preserve">издатих одобрења за обављање </w:t>
      </w:r>
      <w:r>
        <w:rPr>
          <w:rFonts w:asciiTheme="minorHAnsi" w:hAnsiTheme="minorHAnsi" w:cstheme="minorHAnsi"/>
        </w:rPr>
        <w:t>предузетни</w:t>
      </w:r>
      <w:r>
        <w:rPr>
          <w:rFonts w:asciiTheme="minorHAnsi" w:hAnsiTheme="minorHAnsi" w:cstheme="minorHAnsi"/>
          <w:lang w:val="sr-Cyrl-CS"/>
        </w:rPr>
        <w:t>ч</w:t>
      </w:r>
      <w:r>
        <w:rPr>
          <w:rFonts w:asciiTheme="minorHAnsi" w:hAnsiTheme="minorHAnsi" w:cstheme="minorHAnsi"/>
        </w:rPr>
        <w:t>к</w:t>
      </w:r>
      <w:r>
        <w:rPr>
          <w:rFonts w:asciiTheme="minorHAnsi" w:hAnsiTheme="minorHAnsi" w:cstheme="minorHAnsi"/>
          <w:lang w:val="sr-Cyrl-CS"/>
        </w:rPr>
        <w:t>е дјелатности,</w:t>
      </w:r>
      <w:r>
        <w:rPr>
          <w:rFonts w:asciiTheme="minorHAnsi" w:hAnsiTheme="minorHAnsi" w:cstheme="minorHAnsi"/>
          <w:lang w:val="sr-Cyrl-RS"/>
        </w:rPr>
        <w:t xml:space="preserve"> која има јединствену ознаку с.п. (самостални предузетник). Према регистру активних предузетника Одјељења за привреду и Одјељења за саобраћај и путеве, на подручју града Бања Лука број активних </w:t>
      </w:r>
      <w:r>
        <w:rPr>
          <w:rFonts w:asciiTheme="minorHAnsi" w:hAnsiTheme="minorHAnsi" w:cstheme="minorHAnsi"/>
          <w:lang w:val="sr-Cyrl-CS"/>
        </w:rPr>
        <w:t>самосталних</w:t>
      </w:r>
      <w:r>
        <w:rPr>
          <w:rFonts w:asciiTheme="minorHAnsi" w:hAnsiTheme="minorHAnsi" w:cstheme="minorHAnsi"/>
          <w:lang w:val="sr-Cyrl-RS"/>
        </w:rPr>
        <w:t xml:space="preserve"> предузетника на подручју града износио је у периоду од 2012. до 2016. године око 4.500. У оквиру наведеног периода, у 2014. години забиљежен је најмањи број активних самосталних предузетника (3.865), усљед пропуштеног </w:t>
      </w:r>
      <w:r>
        <w:rPr>
          <w:rFonts w:asciiTheme="minorHAnsi" w:hAnsiTheme="minorHAnsi" w:cstheme="minorHAnsi"/>
          <w:lang w:val="sr-Cyrl-CS"/>
        </w:rPr>
        <w:t xml:space="preserve">законског рока да власници самосталних радњи изврше пререгистрацију у „самостални предузетник“, тако да је током 2014. године 670 самосталних радњи одјављено по сили закона. </w:t>
      </w:r>
    </w:p>
    <w:p>
      <w:pPr>
        <w:spacing w:after="120" w:line="264" w:lineRule="auto"/>
        <w:jc w:val="both"/>
        <w:rPr>
          <w:rFonts w:asciiTheme="minorHAnsi" w:hAnsiTheme="minorHAnsi" w:cstheme="minorHAnsi"/>
          <w:lang w:val="sr-Cyrl-RS"/>
        </w:rPr>
      </w:pPr>
      <w:r>
        <w:rPr>
          <w:rFonts w:asciiTheme="minorHAnsi" w:hAnsiTheme="minorHAnsi" w:cstheme="minorHAnsi"/>
          <w:lang w:val="sr-Cyrl-CS"/>
        </w:rPr>
        <w:t>П</w:t>
      </w:r>
      <w:r>
        <w:rPr>
          <w:rFonts w:asciiTheme="minorHAnsi" w:hAnsiTheme="minorHAnsi" w:cstheme="minorHAnsi"/>
          <w:lang w:val="sr-Cyrl-RS"/>
        </w:rPr>
        <w:t>рема шифрама дјелатности, у периоду од 2012. до 2016. године највећи број самосталних предузетника радио је у трговинској дјелатности (између 30 и 35%). У истом периоду, од 21 до 24% укупног самосталног предузетништва извршавало је угоститељску дјелатност, а затим слиједи занатство с учешћем од 16 до 20%, што је представљено у сљедећим прегледима:</w:t>
      </w:r>
    </w:p>
    <w:tbl>
      <w:tblPr>
        <w:tblStyle w:val="37"/>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1459"/>
        <w:gridCol w:w="1459"/>
        <w:gridCol w:w="1459"/>
        <w:gridCol w:w="1459"/>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7" w:type="dxa"/>
            <w:gridSpan w:val="6"/>
            <w:shd w:val="clear" w:color="auto" w:fill="538135" w:themeFill="accent6" w:themeFillShade="BF"/>
          </w:tcPr>
          <w:p>
            <w:pPr>
              <w:jc w:val="center"/>
              <w:rPr>
                <w:rFonts w:asciiTheme="minorHAnsi" w:hAnsiTheme="minorHAnsi" w:cstheme="minorHAnsi"/>
                <w:b/>
                <w:color w:val="FFFFFF" w:themeColor="background1"/>
                <w:lang w:val="sr-Cyrl-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Број регистрованих самосталних предузетника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tcBorders>
              <w:bottom w:val="single" w:color="auto" w:sz="4" w:space="0"/>
            </w:tcBorders>
            <w:shd w:val="clear" w:color="auto" w:fill="538135" w:themeFill="accent6" w:themeFillShade="BF"/>
          </w:tcPr>
          <w:p>
            <w:pPr>
              <w:jc w:val="center"/>
              <w:rPr>
                <w:rFonts w:asciiTheme="minorHAnsi" w:hAnsiTheme="minorHAnsi" w:cstheme="minorHAnsi"/>
                <w:b/>
                <w:color w:val="FFFFFF" w:themeColor="background1"/>
                <w:lang w:val="sr-Cyrl-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Дјелатниост</w:t>
            </w:r>
          </w:p>
        </w:tc>
        <w:tc>
          <w:tcPr>
            <w:tcW w:w="1459" w:type="dxa"/>
            <w:shd w:val="clear" w:color="auto" w:fill="538135" w:themeFill="accent6" w:themeFillShade="BF"/>
          </w:tcPr>
          <w:p>
            <w:pPr>
              <w:jc w:val="center"/>
              <w:rPr>
                <w:rFonts w:asciiTheme="minorHAnsi" w:hAnsiTheme="minorHAnsi" w:cstheme="minorHAnsi"/>
                <w:b/>
                <w:color w:val="FFFFFF" w:themeColor="background1"/>
                <w:lang w:val="sr-Cyrl-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2012</w:t>
            </w:r>
          </w:p>
        </w:tc>
        <w:tc>
          <w:tcPr>
            <w:tcW w:w="1459" w:type="dxa"/>
            <w:shd w:val="clear" w:color="auto" w:fill="538135" w:themeFill="accent6" w:themeFillShade="BF"/>
          </w:tcPr>
          <w:p>
            <w:pPr>
              <w:jc w:val="center"/>
              <w:rPr>
                <w:rFonts w:asciiTheme="minorHAnsi" w:hAnsiTheme="minorHAnsi" w:cstheme="minorHAnsi"/>
                <w:b/>
                <w:color w:val="FFFFFF" w:themeColor="background1"/>
                <w:lang w:val="sr-Cyrl-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2013</w:t>
            </w:r>
          </w:p>
        </w:tc>
        <w:tc>
          <w:tcPr>
            <w:tcW w:w="1459" w:type="dxa"/>
            <w:shd w:val="clear" w:color="auto" w:fill="538135" w:themeFill="accent6" w:themeFillShade="BF"/>
          </w:tcPr>
          <w:p>
            <w:pPr>
              <w:jc w:val="center"/>
              <w:rPr>
                <w:rFonts w:asciiTheme="minorHAnsi" w:hAnsiTheme="minorHAnsi" w:cstheme="minorHAnsi"/>
                <w:b/>
                <w:color w:val="FFFFFF" w:themeColor="background1"/>
                <w:lang w:val="sr-Cyrl-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2014</w:t>
            </w:r>
          </w:p>
        </w:tc>
        <w:tc>
          <w:tcPr>
            <w:tcW w:w="1459" w:type="dxa"/>
            <w:shd w:val="clear" w:color="auto" w:fill="538135" w:themeFill="accent6" w:themeFillShade="BF"/>
          </w:tcPr>
          <w:p>
            <w:pPr>
              <w:jc w:val="center"/>
              <w:rPr>
                <w:rFonts w:asciiTheme="minorHAnsi" w:hAnsiTheme="minorHAnsi" w:cstheme="minorHAnsi"/>
                <w:b/>
                <w:color w:val="FFFFFF" w:themeColor="background1"/>
                <w:lang w:val="sr-Cyrl-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2015</w:t>
            </w:r>
          </w:p>
        </w:tc>
        <w:tc>
          <w:tcPr>
            <w:tcW w:w="1460" w:type="dxa"/>
            <w:shd w:val="clear" w:color="auto" w:fill="538135" w:themeFill="accent6" w:themeFillShade="BF"/>
          </w:tcPr>
          <w:p>
            <w:pPr>
              <w:jc w:val="center"/>
              <w:rPr>
                <w:rFonts w:asciiTheme="minorHAnsi" w:hAnsiTheme="minorHAnsi" w:cstheme="minorHAnsi"/>
                <w:b/>
                <w:color w:val="FFFFFF" w:themeColor="background1"/>
                <w:lang w:val="sr-Cyrl-CS"/>
                <w14:textFill>
                  <w14:solidFill>
                    <w14:schemeClr w14:val="bg1"/>
                  </w14:solidFill>
                </w14:textFill>
              </w:rPr>
            </w:pPr>
            <w:r>
              <w:rPr>
                <w:rFonts w:asciiTheme="minorHAnsi" w:hAnsiTheme="minorHAnsi" w:cstheme="minorHAnsi"/>
                <w:b/>
                <w:color w:val="FFFFFF" w:themeColor="background1"/>
                <w:lang w:val="sr-Cyrl-CS"/>
                <w14:textFill>
                  <w14:solidFill>
                    <w14:schemeClr w14:val="bg1"/>
                  </w14:solidFill>
                </w14:textFill>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Трговачке радње</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1.740</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1.792</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1.112</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1.303</w:t>
            </w:r>
          </w:p>
        </w:tc>
        <w:tc>
          <w:tcPr>
            <w:tcW w:w="1460" w:type="dxa"/>
            <w:vAlign w:val="center"/>
          </w:tcPr>
          <w:p>
            <w:pPr>
              <w:jc w:val="right"/>
              <w:rPr>
                <w:rFonts w:asciiTheme="minorHAnsi" w:hAnsiTheme="minorHAnsi" w:cstheme="minorHAnsi"/>
                <w:color w:val="000000"/>
              </w:rPr>
            </w:pPr>
            <w:r>
              <w:rPr>
                <w:rFonts w:asciiTheme="minorHAnsi" w:hAnsiTheme="minorHAnsi" w:cstheme="minorHAnsi"/>
                <w:color w:val="000000"/>
              </w:rPr>
              <w:t>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Угоститељске радње</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1.006</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1.211</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872</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938</w:t>
            </w:r>
          </w:p>
        </w:tc>
        <w:tc>
          <w:tcPr>
            <w:tcW w:w="1460" w:type="dxa"/>
            <w:vAlign w:val="center"/>
          </w:tcPr>
          <w:p>
            <w:pPr>
              <w:jc w:val="right"/>
              <w:rPr>
                <w:rFonts w:asciiTheme="minorHAnsi" w:hAnsiTheme="minorHAnsi" w:cstheme="minorHAnsi"/>
                <w:color w:val="000000"/>
              </w:rPr>
            </w:pPr>
            <w:r>
              <w:rPr>
                <w:rFonts w:asciiTheme="minorHAnsi" w:hAnsiTheme="minorHAnsi" w:cstheme="minorHAnsi"/>
                <w:color w:val="000000"/>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Занатске радње</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907</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899</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632</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842</w:t>
            </w:r>
          </w:p>
        </w:tc>
        <w:tc>
          <w:tcPr>
            <w:tcW w:w="1460" w:type="dxa"/>
            <w:vAlign w:val="center"/>
          </w:tcPr>
          <w:p>
            <w:pPr>
              <w:jc w:val="right"/>
              <w:rPr>
                <w:rFonts w:asciiTheme="minorHAnsi" w:hAnsiTheme="minorHAnsi" w:cstheme="minorHAnsi"/>
                <w:color w:val="000000"/>
              </w:rPr>
            </w:pPr>
            <w:r>
              <w:rPr>
                <w:rFonts w:asciiTheme="minorHAnsi" w:hAnsiTheme="minorHAnsi" w:cstheme="minorHAnsi"/>
                <w:color w:val="000000"/>
              </w:rPr>
              <w:t>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Пољопривредна дјелатност</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79</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62</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55</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43</w:t>
            </w:r>
          </w:p>
        </w:tc>
        <w:tc>
          <w:tcPr>
            <w:tcW w:w="1460" w:type="dxa"/>
            <w:vAlign w:val="center"/>
          </w:tcPr>
          <w:p>
            <w:pPr>
              <w:jc w:val="right"/>
              <w:rPr>
                <w:rFonts w:asciiTheme="minorHAnsi" w:hAnsiTheme="minorHAnsi" w:cstheme="minorHAnsi"/>
              </w:rPr>
            </w:pPr>
            <w:r>
              <w:rPr>
                <w:rFonts w:asciiTheme="minorHAnsi" w:hAnsiTheme="minorHAnsi" w:cstheme="minorHAnsi"/>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Превозници</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44</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39</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37</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38</w:t>
            </w:r>
          </w:p>
        </w:tc>
        <w:tc>
          <w:tcPr>
            <w:tcW w:w="1460" w:type="dxa"/>
            <w:vAlign w:val="center"/>
          </w:tcPr>
          <w:p>
            <w:pPr>
              <w:jc w:val="right"/>
              <w:rPr>
                <w:rFonts w:asciiTheme="minorHAnsi" w:hAnsiTheme="minorHAnsi" w:cstheme="minorHAnsi"/>
                <w:color w:val="000000"/>
              </w:rPr>
            </w:pPr>
            <w:r>
              <w:rPr>
                <w:rFonts w:asciiTheme="minorHAnsi" w:hAnsiTheme="minorHAnsi" w:cstheme="minorHAnsi"/>
                <w:color w:val="00000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Ауто школе</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38</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37</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29</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25</w:t>
            </w:r>
          </w:p>
        </w:tc>
        <w:tc>
          <w:tcPr>
            <w:tcW w:w="1460" w:type="dxa"/>
            <w:vAlign w:val="center"/>
          </w:tcPr>
          <w:p>
            <w:pPr>
              <w:jc w:val="right"/>
              <w:rPr>
                <w:rFonts w:asciiTheme="minorHAnsi" w:hAnsiTheme="minorHAnsi" w:cstheme="minorHAnsi"/>
                <w:color w:val="000000"/>
              </w:rPr>
            </w:pPr>
            <w:r>
              <w:rPr>
                <w:rFonts w:asciiTheme="minorHAnsi" w:hAnsiTheme="minorHAnsi" w:cstheme="minorHAnsi"/>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Такси превозници</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211</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218</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223</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231</w:t>
            </w:r>
          </w:p>
        </w:tc>
        <w:tc>
          <w:tcPr>
            <w:tcW w:w="1460" w:type="dxa"/>
            <w:vAlign w:val="center"/>
          </w:tcPr>
          <w:p>
            <w:pPr>
              <w:spacing w:after="120" w:line="264" w:lineRule="auto"/>
              <w:jc w:val="right"/>
              <w:rPr>
                <w:rFonts w:asciiTheme="minorHAnsi" w:hAnsiTheme="minorHAnsi" w:cstheme="minorHAnsi"/>
                <w:lang w:val="sr-Cyrl-RS"/>
              </w:rPr>
            </w:pPr>
            <w:r>
              <w:rPr>
                <w:rFonts w:asciiTheme="minorHAnsi" w:hAnsiTheme="minorHAnsi" w:cstheme="minorHAnsi"/>
                <w:lang w:val="sr-Cyrl-RS"/>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Тезге на пијаци</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376</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386</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372</w:t>
            </w:r>
          </w:p>
        </w:tc>
        <w:tc>
          <w:tcPr>
            <w:tcW w:w="1459" w:type="dxa"/>
            <w:vAlign w:val="center"/>
          </w:tcPr>
          <w:p>
            <w:pPr>
              <w:jc w:val="right"/>
              <w:rPr>
                <w:rFonts w:asciiTheme="minorHAnsi" w:hAnsiTheme="minorHAnsi" w:cstheme="minorHAnsi"/>
                <w:color w:val="000000"/>
              </w:rPr>
            </w:pPr>
            <w:r>
              <w:rPr>
                <w:rFonts w:asciiTheme="minorHAnsi" w:hAnsiTheme="minorHAnsi" w:cstheme="minorHAnsi"/>
                <w:color w:val="000000"/>
              </w:rPr>
              <w:t>368</w:t>
            </w:r>
          </w:p>
        </w:tc>
        <w:tc>
          <w:tcPr>
            <w:tcW w:w="1460" w:type="dxa"/>
            <w:vAlign w:val="center"/>
          </w:tcPr>
          <w:p>
            <w:pPr>
              <w:jc w:val="right"/>
              <w:rPr>
                <w:rFonts w:asciiTheme="minorHAnsi" w:hAnsiTheme="minorHAnsi" w:cstheme="minorHAnsi"/>
                <w:color w:val="000000"/>
              </w:rPr>
            </w:pPr>
            <w:r>
              <w:rPr>
                <w:rFonts w:asciiTheme="minorHAnsi" w:hAnsiTheme="minorHAnsi" w:cstheme="minorHAnsi"/>
                <w:color w:val="000000"/>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tcBorders>
              <w:bottom w:val="single" w:color="auto" w:sz="4" w:space="0"/>
            </w:tcBorders>
            <w:shd w:val="clear" w:color="auto" w:fill="A8D08D" w:themeFill="accent6" w:themeFillTint="99"/>
          </w:tcPr>
          <w:p>
            <w:pPr>
              <w:rPr>
                <w:rFonts w:asciiTheme="minorHAnsi" w:hAnsiTheme="minorHAnsi" w:cstheme="minorHAnsi"/>
                <w:b/>
                <w:lang w:val="sr-Cyrl-CS"/>
              </w:rPr>
            </w:pPr>
            <w:r>
              <w:rPr>
                <w:rFonts w:asciiTheme="minorHAnsi" w:hAnsiTheme="minorHAnsi" w:cstheme="minorHAnsi"/>
                <w:b/>
                <w:lang w:val="sr-Cyrl-CS"/>
              </w:rPr>
              <w:t>Остали</w:t>
            </w:r>
          </w:p>
        </w:tc>
        <w:tc>
          <w:tcPr>
            <w:tcW w:w="1459" w:type="dxa"/>
            <w:tcBorders>
              <w:bottom w:val="single" w:color="auto" w:sz="4" w:space="0"/>
            </w:tcBorders>
            <w:vAlign w:val="center"/>
          </w:tcPr>
          <w:p>
            <w:pPr>
              <w:jc w:val="right"/>
              <w:rPr>
                <w:rFonts w:asciiTheme="minorHAnsi" w:hAnsiTheme="minorHAnsi" w:cstheme="minorHAnsi"/>
                <w:color w:val="000000"/>
              </w:rPr>
            </w:pPr>
            <w:r>
              <w:rPr>
                <w:rFonts w:asciiTheme="minorHAnsi" w:hAnsiTheme="minorHAnsi" w:cstheme="minorHAnsi"/>
                <w:color w:val="000000"/>
              </w:rPr>
              <w:t>554</w:t>
            </w:r>
          </w:p>
        </w:tc>
        <w:tc>
          <w:tcPr>
            <w:tcW w:w="1459" w:type="dxa"/>
            <w:tcBorders>
              <w:bottom w:val="single" w:color="auto" w:sz="4" w:space="0"/>
            </w:tcBorders>
            <w:vAlign w:val="center"/>
          </w:tcPr>
          <w:p>
            <w:pPr>
              <w:jc w:val="right"/>
              <w:rPr>
                <w:rFonts w:asciiTheme="minorHAnsi" w:hAnsiTheme="minorHAnsi" w:cstheme="minorHAnsi"/>
                <w:color w:val="000000"/>
              </w:rPr>
            </w:pPr>
            <w:r>
              <w:rPr>
                <w:rFonts w:asciiTheme="minorHAnsi" w:hAnsiTheme="minorHAnsi" w:cstheme="minorHAnsi"/>
                <w:color w:val="000000"/>
              </w:rPr>
              <w:t>349</w:t>
            </w:r>
          </w:p>
        </w:tc>
        <w:tc>
          <w:tcPr>
            <w:tcW w:w="1459" w:type="dxa"/>
            <w:tcBorders>
              <w:bottom w:val="single" w:color="auto" w:sz="4" w:space="0"/>
            </w:tcBorders>
            <w:vAlign w:val="center"/>
          </w:tcPr>
          <w:p>
            <w:pPr>
              <w:jc w:val="right"/>
              <w:rPr>
                <w:rFonts w:asciiTheme="minorHAnsi" w:hAnsiTheme="minorHAnsi" w:cstheme="minorHAnsi"/>
                <w:color w:val="000000"/>
              </w:rPr>
            </w:pPr>
            <w:r>
              <w:rPr>
                <w:rFonts w:asciiTheme="minorHAnsi" w:hAnsiTheme="minorHAnsi" w:cstheme="minorHAnsi"/>
                <w:color w:val="000000"/>
              </w:rPr>
              <w:t>533</w:t>
            </w:r>
          </w:p>
        </w:tc>
        <w:tc>
          <w:tcPr>
            <w:tcW w:w="1459" w:type="dxa"/>
            <w:tcBorders>
              <w:bottom w:val="single" w:color="auto" w:sz="4" w:space="0"/>
            </w:tcBorders>
            <w:vAlign w:val="center"/>
          </w:tcPr>
          <w:p>
            <w:pPr>
              <w:jc w:val="right"/>
              <w:rPr>
                <w:rFonts w:asciiTheme="minorHAnsi" w:hAnsiTheme="minorHAnsi" w:cstheme="minorHAnsi"/>
                <w:color w:val="000000"/>
              </w:rPr>
            </w:pPr>
            <w:r>
              <w:rPr>
                <w:rFonts w:asciiTheme="minorHAnsi" w:hAnsiTheme="minorHAnsi" w:cstheme="minorHAnsi"/>
                <w:color w:val="000000"/>
              </w:rPr>
              <w:t>614</w:t>
            </w:r>
          </w:p>
        </w:tc>
        <w:tc>
          <w:tcPr>
            <w:tcW w:w="1460" w:type="dxa"/>
            <w:tcBorders>
              <w:bottom w:val="single" w:color="auto" w:sz="4" w:space="0"/>
            </w:tcBorders>
            <w:vAlign w:val="center"/>
          </w:tcPr>
          <w:p>
            <w:pPr>
              <w:jc w:val="right"/>
              <w:rPr>
                <w:rFonts w:asciiTheme="minorHAnsi" w:hAnsiTheme="minorHAnsi" w:cstheme="minorHAnsi"/>
                <w:color w:val="000000"/>
              </w:rPr>
            </w:pPr>
            <w:r>
              <w:rPr>
                <w:rFonts w:asciiTheme="minorHAnsi" w:hAnsiTheme="minorHAnsi" w:cstheme="minorHAnsi"/>
                <w:color w:val="000000"/>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1" w:type="dxa"/>
            <w:shd w:val="clear" w:color="auto" w:fill="C5E0B3" w:themeFill="accent6" w:themeFillTint="66"/>
          </w:tcPr>
          <w:p>
            <w:pPr>
              <w:rPr>
                <w:rFonts w:asciiTheme="minorHAnsi" w:hAnsiTheme="minorHAnsi" w:cstheme="minorHAnsi"/>
                <w:b/>
                <w:lang w:val="sr-Cyrl-CS"/>
              </w:rPr>
            </w:pPr>
            <w:r>
              <w:rPr>
                <w:rFonts w:asciiTheme="minorHAnsi" w:hAnsiTheme="minorHAnsi" w:cstheme="minorHAnsi"/>
                <w:b/>
                <w:lang w:val="sr-Cyrl-CS"/>
              </w:rPr>
              <w:t>Укупно</w:t>
            </w:r>
          </w:p>
        </w:tc>
        <w:tc>
          <w:tcPr>
            <w:tcW w:w="1459" w:type="dxa"/>
            <w:shd w:val="clear" w:color="auto" w:fill="C5E0B3" w:themeFill="accent6" w:themeFillTint="66"/>
            <w:vAlign w:val="center"/>
          </w:tcPr>
          <w:p>
            <w:pPr>
              <w:jc w:val="right"/>
              <w:rPr>
                <w:rFonts w:asciiTheme="minorHAnsi" w:hAnsiTheme="minorHAnsi" w:cstheme="minorHAnsi"/>
                <w:b/>
                <w:color w:val="000000"/>
              </w:rPr>
            </w:pPr>
            <w:r>
              <w:rPr>
                <w:rFonts w:asciiTheme="minorHAnsi" w:hAnsiTheme="minorHAnsi" w:cstheme="minorHAnsi"/>
                <w:b/>
                <w:color w:val="000000"/>
              </w:rPr>
              <w:t>4.955</w:t>
            </w:r>
          </w:p>
        </w:tc>
        <w:tc>
          <w:tcPr>
            <w:tcW w:w="1459" w:type="dxa"/>
            <w:shd w:val="clear" w:color="auto" w:fill="C5E0B3" w:themeFill="accent6" w:themeFillTint="66"/>
            <w:vAlign w:val="center"/>
          </w:tcPr>
          <w:p>
            <w:pPr>
              <w:jc w:val="right"/>
              <w:rPr>
                <w:rFonts w:asciiTheme="minorHAnsi" w:hAnsiTheme="minorHAnsi" w:cstheme="minorHAnsi"/>
                <w:b/>
                <w:color w:val="000000"/>
              </w:rPr>
            </w:pPr>
            <w:r>
              <w:rPr>
                <w:rFonts w:asciiTheme="minorHAnsi" w:hAnsiTheme="minorHAnsi" w:cstheme="minorHAnsi"/>
                <w:b/>
                <w:color w:val="000000"/>
              </w:rPr>
              <w:t>4.993</w:t>
            </w:r>
          </w:p>
        </w:tc>
        <w:tc>
          <w:tcPr>
            <w:tcW w:w="1459" w:type="dxa"/>
            <w:shd w:val="clear" w:color="auto" w:fill="C5E0B3" w:themeFill="accent6" w:themeFillTint="66"/>
            <w:vAlign w:val="center"/>
          </w:tcPr>
          <w:p>
            <w:pPr>
              <w:jc w:val="right"/>
              <w:rPr>
                <w:rFonts w:asciiTheme="minorHAnsi" w:hAnsiTheme="minorHAnsi" w:cstheme="minorHAnsi"/>
                <w:b/>
                <w:color w:val="000000"/>
              </w:rPr>
            </w:pPr>
            <w:r>
              <w:rPr>
                <w:rFonts w:asciiTheme="minorHAnsi" w:hAnsiTheme="minorHAnsi" w:cstheme="minorHAnsi"/>
                <w:b/>
                <w:color w:val="000000"/>
              </w:rPr>
              <w:t>3.865*</w:t>
            </w:r>
          </w:p>
        </w:tc>
        <w:tc>
          <w:tcPr>
            <w:tcW w:w="1459" w:type="dxa"/>
            <w:shd w:val="clear" w:color="auto" w:fill="C5E0B3" w:themeFill="accent6" w:themeFillTint="66"/>
            <w:vAlign w:val="center"/>
          </w:tcPr>
          <w:p>
            <w:pPr>
              <w:jc w:val="right"/>
              <w:rPr>
                <w:rFonts w:asciiTheme="minorHAnsi" w:hAnsiTheme="minorHAnsi" w:cstheme="minorHAnsi"/>
                <w:b/>
                <w:color w:val="000000"/>
              </w:rPr>
            </w:pPr>
            <w:r>
              <w:rPr>
                <w:rFonts w:asciiTheme="minorHAnsi" w:hAnsiTheme="minorHAnsi" w:cstheme="minorHAnsi"/>
                <w:b/>
                <w:color w:val="000000"/>
              </w:rPr>
              <w:t>4.402</w:t>
            </w:r>
          </w:p>
        </w:tc>
        <w:tc>
          <w:tcPr>
            <w:tcW w:w="1460" w:type="dxa"/>
            <w:shd w:val="clear" w:color="auto" w:fill="C5E0B3" w:themeFill="accent6" w:themeFillTint="66"/>
            <w:vAlign w:val="center"/>
          </w:tcPr>
          <w:p>
            <w:pPr>
              <w:jc w:val="right"/>
              <w:rPr>
                <w:rFonts w:asciiTheme="minorHAnsi" w:hAnsiTheme="minorHAnsi" w:cstheme="minorHAnsi"/>
                <w:b/>
                <w:color w:val="000000"/>
              </w:rPr>
            </w:pPr>
            <w:r>
              <w:rPr>
                <w:rFonts w:asciiTheme="minorHAnsi" w:hAnsiTheme="minorHAnsi" w:cstheme="minorHAnsi"/>
                <w:b/>
                <w:color w:val="000000"/>
              </w:rPr>
              <w:t>4.462</w:t>
            </w:r>
          </w:p>
        </w:tc>
      </w:tr>
    </w:tbl>
    <w:p>
      <w:pPr>
        <w:jc w:val="both"/>
        <w:rPr>
          <w:rFonts w:asciiTheme="minorHAnsi" w:hAnsiTheme="minorHAnsi" w:cstheme="minorHAnsi"/>
          <w:i/>
          <w:sz w:val="18"/>
          <w:szCs w:val="18"/>
          <w:lang w:val="sr-Cyrl-CS"/>
        </w:rPr>
      </w:pPr>
      <w:r>
        <w:rPr>
          <w:rFonts w:asciiTheme="minorHAnsi" w:hAnsiTheme="minorHAnsi" w:cstheme="minorHAnsi"/>
          <w:i/>
          <w:sz w:val="18"/>
          <w:szCs w:val="18"/>
          <w:lang w:val="sr-Cyrl-CS"/>
        </w:rPr>
        <w:t>Извор: Одјељење за привреду, Одјељење за саобраћај и путеве и „Тржница“ а.д. Бања Лука</w:t>
      </w:r>
    </w:p>
    <w:p>
      <w:pPr>
        <w:jc w:val="both"/>
        <w:rPr>
          <w:sz w:val="16"/>
          <w:szCs w:val="16"/>
          <w:lang w:val="sr-Cyrl-CS"/>
        </w:rPr>
      </w:pPr>
      <w:r>
        <w:rPr>
          <w:rFonts w:asciiTheme="minorHAnsi" w:hAnsiTheme="minorHAnsi" w:cstheme="minorHAnsi"/>
          <w:i/>
          <w:sz w:val="18"/>
          <w:szCs w:val="18"/>
          <w:lang w:val="sr-Cyrl-CS"/>
        </w:rPr>
        <w:t>3.865* - 670 одјава по сили закона, због пропуштеног законског рока да се пререгиструје у с.п.</w:t>
      </w:r>
      <w:r>
        <w:rPr>
          <w:sz w:val="16"/>
          <w:szCs w:val="16"/>
          <w:lang w:val="sr-Cyrl-CS"/>
        </w:rPr>
        <w:t xml:space="preserve"> </w:t>
      </w:r>
    </w:p>
    <w:p>
      <w:pPr>
        <w:jc w:val="both"/>
        <w:rPr>
          <w:sz w:val="16"/>
          <w:szCs w:val="16"/>
          <w:lang w:val="sr-Cyrl-CS"/>
        </w:rPr>
      </w:pPr>
    </w:p>
    <w:p>
      <w:pPr>
        <w:spacing w:after="120" w:line="264" w:lineRule="auto"/>
        <w:jc w:val="both"/>
        <w:rPr>
          <w:rFonts w:eastAsia="Times New Roman" w:asciiTheme="minorHAnsi" w:hAnsiTheme="minorHAnsi" w:cstheme="minorHAnsi"/>
          <w:lang w:val="sr-Cyrl-CS"/>
        </w:rPr>
      </w:pPr>
      <w:r>
        <w:rPr>
          <w:rFonts w:eastAsia="Times New Roman" w:asciiTheme="minorHAnsi" w:hAnsiTheme="minorHAnsi" w:cstheme="minorHAnsi"/>
          <w:lang w:val="sr-Cyrl-CS"/>
        </w:rPr>
        <w:t xml:space="preserve">Уколико се анализирају подаци </w:t>
      </w:r>
      <w:r>
        <w:rPr>
          <w:rFonts w:eastAsia="Times New Roman" w:asciiTheme="minorHAnsi" w:hAnsiTheme="minorHAnsi" w:cstheme="minorHAnsi"/>
          <w:lang w:val="sr-Latn-RS"/>
        </w:rPr>
        <w:t>Пореске управе РС</w:t>
      </w:r>
      <w:r>
        <w:rPr>
          <w:rFonts w:eastAsia="Times New Roman" w:asciiTheme="minorHAnsi" w:hAnsiTheme="minorHAnsi" w:cstheme="minorHAnsi"/>
          <w:lang w:val="sr-Cyrl-CS"/>
        </w:rPr>
        <w:t xml:space="preserve"> о броју </w:t>
      </w:r>
      <w:r>
        <w:rPr>
          <w:rFonts w:eastAsia="Times New Roman" w:asciiTheme="minorHAnsi" w:hAnsiTheme="minorHAnsi" w:cstheme="minorHAnsi"/>
          <w:lang w:val="sr-Latn-RS"/>
        </w:rPr>
        <w:t>регистрован</w:t>
      </w:r>
      <w:r>
        <w:rPr>
          <w:rFonts w:eastAsia="Times New Roman" w:asciiTheme="minorHAnsi" w:hAnsiTheme="minorHAnsi" w:cstheme="minorHAnsi"/>
          <w:lang w:val="sr-Cyrl-CS"/>
        </w:rPr>
        <w:t xml:space="preserve">их </w:t>
      </w:r>
      <w:r>
        <w:rPr>
          <w:rFonts w:asciiTheme="minorHAnsi" w:hAnsiTheme="minorHAnsi" w:cstheme="minorHAnsi"/>
          <w:lang w:val="sr-Cyrl-RS"/>
        </w:rPr>
        <w:t>самосталних предузетника</w:t>
      </w:r>
      <w:r>
        <w:rPr>
          <w:rFonts w:eastAsia="Times New Roman" w:asciiTheme="minorHAnsi" w:hAnsiTheme="minorHAnsi" w:cstheme="minorHAnsi"/>
          <w:lang w:val="sr-Cyrl-CS"/>
        </w:rPr>
        <w:t xml:space="preserve"> (7.433) и броју запослених у самосталном привређивању  (</w:t>
      </w:r>
      <w:r>
        <w:rPr>
          <w:rFonts w:asciiTheme="minorHAnsi" w:hAnsiTheme="minorHAnsi" w:cstheme="minorHAnsi"/>
          <w:lang w:val="sr-Cyrl-RS"/>
        </w:rPr>
        <w:t>8.176 радника)</w:t>
      </w:r>
      <w:r>
        <w:rPr>
          <w:rFonts w:eastAsia="Times New Roman" w:asciiTheme="minorHAnsi" w:hAnsiTheme="minorHAnsi" w:cstheme="minorHAnsi"/>
          <w:lang w:val="sr-Cyrl-CS"/>
        </w:rPr>
        <w:t xml:space="preserve">, на дан </w:t>
      </w:r>
      <w:r>
        <w:rPr>
          <w:rFonts w:asciiTheme="minorHAnsi" w:hAnsiTheme="minorHAnsi" w:cstheme="minorHAnsi"/>
          <w:lang w:val="sr-Cyrl-RS"/>
        </w:rPr>
        <w:t>31.</w:t>
      </w:r>
      <w:r>
        <w:rPr>
          <w:rFonts w:asciiTheme="minorHAnsi" w:hAnsiTheme="minorHAnsi" w:cstheme="minorHAnsi"/>
          <w:lang w:val="sr-Cyrl-CS"/>
        </w:rPr>
        <w:t>12</w:t>
      </w:r>
      <w:r>
        <w:rPr>
          <w:rFonts w:asciiTheme="minorHAnsi" w:hAnsiTheme="minorHAnsi" w:cstheme="minorHAnsi"/>
          <w:lang w:val="sr-Cyrl-RS"/>
        </w:rPr>
        <w:t xml:space="preserve">.2016. </w:t>
      </w:r>
      <w:r>
        <w:rPr>
          <w:rFonts w:eastAsia="Times New Roman" w:asciiTheme="minorHAnsi" w:hAnsiTheme="minorHAnsi" w:cstheme="minorHAnsi"/>
          <w:lang w:val="sr-Cyrl-CS"/>
        </w:rPr>
        <w:t xml:space="preserve">године, као и претходних пет година, </w:t>
      </w:r>
      <w:r>
        <w:rPr>
          <w:rFonts w:eastAsia="Times New Roman" w:asciiTheme="minorHAnsi" w:hAnsiTheme="minorHAnsi" w:cstheme="minorHAnsi"/>
          <w:lang w:val="sr-Latn-RS"/>
        </w:rPr>
        <w:t xml:space="preserve">на подручју </w:t>
      </w:r>
      <w:r>
        <w:rPr>
          <w:rFonts w:eastAsia="Times New Roman" w:asciiTheme="minorHAnsi" w:hAnsiTheme="minorHAnsi" w:cstheme="minorHAnsi"/>
          <w:lang w:val="sr-Cyrl-CS"/>
        </w:rPr>
        <w:t>града Бања Лука у самосталном привређивању просјечно је био запослен 1,1 радник, укључујући и послодавца.</w:t>
      </w:r>
    </w:p>
    <w:p>
      <w:pPr>
        <w:jc w:val="both"/>
        <w:rPr>
          <w:rFonts w:asciiTheme="minorHAnsi" w:hAnsiTheme="minorHAnsi" w:cstheme="minorHAnsi"/>
          <w:lang w:val="sr-Latn-RS"/>
        </w:rPr>
      </w:pPr>
      <w:r>
        <w:rPr>
          <w:b/>
          <w:i/>
          <w:lang w:val="sr-Cyrl-CS"/>
        </w:rPr>
        <w:t>Основни</w:t>
      </w:r>
      <w:r>
        <w:rPr>
          <w:b/>
          <w:i/>
          <w:lang w:val="sr-Latn-RS"/>
        </w:rPr>
        <w:t xml:space="preserve"> развојни проблеми занатско-предузетничке</w:t>
      </w:r>
      <w:r>
        <w:rPr>
          <w:b/>
          <w:i/>
          <w:lang w:val="sr-Cyrl-CS"/>
        </w:rPr>
        <w:t xml:space="preserve"> </w:t>
      </w:r>
      <w:r>
        <w:rPr>
          <w:b/>
          <w:i/>
          <w:lang w:val="sr-Latn-RS"/>
        </w:rPr>
        <w:t>дјелатности</w:t>
      </w:r>
      <w:r>
        <w:rPr>
          <w:b/>
          <w:i/>
          <w:lang w:val="sr-Cyrl-RS"/>
        </w:rPr>
        <w:t xml:space="preserve">. </w:t>
      </w:r>
      <w:r>
        <w:rPr>
          <w:rFonts w:asciiTheme="minorHAnsi" w:hAnsiTheme="minorHAnsi" w:cstheme="minorHAnsi"/>
          <w:lang w:val="sr-Cyrl-CS"/>
        </w:rPr>
        <w:t>Дуги низ година предузетништво града Бања Лука карактеришу:</w:t>
      </w:r>
      <w:r>
        <w:rPr>
          <w:rFonts w:asciiTheme="minorHAnsi" w:hAnsiTheme="minorHAnsi" w:cstheme="minorHAnsi"/>
          <w:b/>
          <w:lang w:val="sr-Cyrl-CS"/>
        </w:rPr>
        <w:t xml:space="preserve"> </w:t>
      </w:r>
      <w:r>
        <w:rPr>
          <w:rFonts w:asciiTheme="minorHAnsi" w:hAnsiTheme="minorHAnsi" w:cstheme="minorHAnsi"/>
          <w:lang w:val="sr-Latn-RS"/>
        </w:rPr>
        <w:t>недовољн</w:t>
      </w:r>
      <w:r>
        <w:rPr>
          <w:rFonts w:asciiTheme="minorHAnsi" w:hAnsiTheme="minorHAnsi" w:cstheme="minorHAnsi"/>
          <w:lang w:val="sr-Cyrl-CS"/>
        </w:rPr>
        <w:t>а</w:t>
      </w:r>
      <w:r>
        <w:rPr>
          <w:rFonts w:asciiTheme="minorHAnsi" w:hAnsiTheme="minorHAnsi" w:cstheme="minorHAnsi"/>
          <w:lang w:val="sr-Latn-RS"/>
        </w:rPr>
        <w:t xml:space="preserve"> предузетничк</w:t>
      </w:r>
      <w:r>
        <w:rPr>
          <w:rFonts w:asciiTheme="minorHAnsi" w:hAnsiTheme="minorHAnsi" w:cstheme="minorHAnsi"/>
          <w:lang w:val="sr-Cyrl-CS"/>
        </w:rPr>
        <w:t>а</w:t>
      </w:r>
      <w:r>
        <w:rPr>
          <w:rFonts w:asciiTheme="minorHAnsi" w:hAnsiTheme="minorHAnsi" w:cstheme="minorHAnsi"/>
          <w:lang w:val="sr-Latn-RS"/>
        </w:rPr>
        <w:t xml:space="preserve"> активност</w:t>
      </w:r>
      <w:r>
        <w:rPr>
          <w:rFonts w:asciiTheme="minorHAnsi" w:hAnsiTheme="minorHAnsi" w:cstheme="minorHAnsi"/>
          <w:lang w:val="sr-Cyrl-CS"/>
        </w:rPr>
        <w:t xml:space="preserve">, </w:t>
      </w:r>
      <w:r>
        <w:rPr>
          <w:rFonts w:asciiTheme="minorHAnsi" w:hAnsiTheme="minorHAnsi" w:cstheme="minorHAnsi"/>
          <w:lang w:val="sr-Latn-RS"/>
        </w:rPr>
        <w:t>слаб</w:t>
      </w:r>
      <w:r>
        <w:rPr>
          <w:rFonts w:asciiTheme="minorHAnsi" w:hAnsiTheme="minorHAnsi" w:cstheme="minorHAnsi"/>
          <w:lang w:val="sr-Cyrl-CS"/>
        </w:rPr>
        <w:t>а</w:t>
      </w:r>
      <w:r>
        <w:rPr>
          <w:rFonts w:asciiTheme="minorHAnsi" w:hAnsiTheme="minorHAnsi" w:cstheme="minorHAnsi"/>
          <w:lang w:val="sr-Latn-RS"/>
        </w:rPr>
        <w:t xml:space="preserve"> профитабилност, </w:t>
      </w:r>
      <w:r>
        <w:rPr>
          <w:rFonts w:asciiTheme="minorHAnsi" w:hAnsiTheme="minorHAnsi" w:cstheme="minorHAnsi"/>
          <w:lang w:val="sr-Cyrl-CS"/>
        </w:rPr>
        <w:t xml:space="preserve">доминантан удио </w:t>
      </w:r>
      <w:r>
        <w:rPr>
          <w:rFonts w:asciiTheme="minorHAnsi" w:hAnsiTheme="minorHAnsi" w:cstheme="minorHAnsi"/>
          <w:lang w:val="sr-Latn-RS"/>
        </w:rPr>
        <w:t>трговине и угоститељства</w:t>
      </w:r>
      <w:r>
        <w:rPr>
          <w:rFonts w:asciiTheme="minorHAnsi" w:hAnsiTheme="minorHAnsi" w:cstheme="minorHAnsi"/>
          <w:lang w:val="sr-Cyrl-CS"/>
        </w:rPr>
        <w:t>,</w:t>
      </w:r>
      <w:r>
        <w:rPr>
          <w:rFonts w:asciiTheme="minorHAnsi" w:hAnsiTheme="minorHAnsi" w:cstheme="minorHAnsi"/>
          <w:lang w:val="sr-Cyrl-RS"/>
        </w:rPr>
        <w:t xml:space="preserve"> као и</w:t>
      </w:r>
      <w:r>
        <w:rPr>
          <w:rFonts w:asciiTheme="minorHAnsi" w:hAnsiTheme="minorHAnsi" w:cstheme="minorHAnsi"/>
          <w:lang w:val="sr-Latn-RS"/>
        </w:rPr>
        <w:t xml:space="preserve"> проблеми недовољне подршке унапређењ</w:t>
      </w:r>
      <w:r>
        <w:rPr>
          <w:rFonts w:asciiTheme="minorHAnsi" w:hAnsiTheme="minorHAnsi" w:cstheme="minorHAnsi"/>
          <w:lang w:val="sr-Cyrl-RS"/>
        </w:rPr>
        <w:t>у</w:t>
      </w:r>
      <w:r>
        <w:rPr>
          <w:rFonts w:asciiTheme="minorHAnsi" w:hAnsiTheme="minorHAnsi" w:cstheme="minorHAnsi"/>
          <w:lang w:val="sr-Latn-RS"/>
        </w:rPr>
        <w:t xml:space="preserve"> и развој</w:t>
      </w:r>
      <w:r>
        <w:rPr>
          <w:rFonts w:asciiTheme="minorHAnsi" w:hAnsiTheme="minorHAnsi" w:cstheme="minorHAnsi"/>
          <w:lang w:val="sr-Cyrl-RS"/>
        </w:rPr>
        <w:t xml:space="preserve">у предузетништва. При том су, као </w:t>
      </w:r>
      <w:r>
        <w:rPr>
          <w:rFonts w:asciiTheme="minorHAnsi" w:hAnsiTheme="minorHAnsi" w:cstheme="minorHAnsi"/>
          <w:lang w:val="sr-Cyrl-CS"/>
        </w:rPr>
        <w:t>највећи проблеми бањалучког п</w:t>
      </w:r>
      <w:r>
        <w:rPr>
          <w:rFonts w:asciiTheme="minorHAnsi" w:hAnsiTheme="minorHAnsi" w:cstheme="minorHAnsi"/>
          <w:lang w:val="sr-Latn-RS"/>
        </w:rPr>
        <w:t xml:space="preserve">редузетништва </w:t>
      </w:r>
      <w:r>
        <w:rPr>
          <w:rFonts w:asciiTheme="minorHAnsi" w:hAnsiTheme="minorHAnsi" w:cstheme="minorHAnsi"/>
          <w:lang w:val="sr-Cyrl-CS"/>
        </w:rPr>
        <w:t>истакнути сљедећи ограничавајући фактори</w:t>
      </w:r>
      <w:r>
        <w:rPr>
          <w:rFonts w:asciiTheme="minorHAnsi" w:hAnsiTheme="minorHAnsi" w:cstheme="minorHAnsi"/>
          <w:lang w:val="sr-Latn-RS"/>
        </w:rPr>
        <w:t>:</w:t>
      </w:r>
      <w:r>
        <w:rPr>
          <w:rFonts w:asciiTheme="minorHAnsi" w:hAnsiTheme="minorHAnsi" w:cstheme="minorHAnsi"/>
          <w:b/>
          <w:lang w:val="sr-Latn-RS"/>
        </w:rPr>
        <w:t xml:space="preserve"> </w:t>
      </w:r>
    </w:p>
    <w:p>
      <w:pPr>
        <w:pStyle w:val="46"/>
        <w:numPr>
          <w:ilvl w:val="0"/>
          <w:numId w:val="6"/>
        </w:numPr>
        <w:rPr>
          <w:rFonts w:asciiTheme="minorHAnsi" w:hAnsiTheme="minorHAnsi" w:cstheme="minorHAnsi"/>
          <w:b/>
          <w:lang w:val="sr-Cyrl-CS"/>
        </w:rPr>
      </w:pPr>
      <w:r>
        <w:rPr>
          <w:rFonts w:asciiTheme="minorHAnsi" w:hAnsiTheme="minorHAnsi" w:cstheme="minorHAnsi"/>
          <w:lang w:val="sr-Cyrl-RS"/>
        </w:rPr>
        <w:t>Н</w:t>
      </w:r>
      <w:r>
        <w:rPr>
          <w:rFonts w:asciiTheme="minorHAnsi" w:hAnsiTheme="minorHAnsi" w:cstheme="minorHAnsi"/>
          <w:lang w:val="sr-Latn-RS"/>
        </w:rPr>
        <w:t>едостатак финансијских средстава,</w:t>
      </w:r>
      <w:r>
        <w:rPr>
          <w:rFonts w:asciiTheme="minorHAnsi" w:hAnsiTheme="minorHAnsi" w:cstheme="minorHAnsi"/>
          <w:lang w:val="sr-Cyrl-CS"/>
        </w:rPr>
        <w:t xml:space="preserve"> недовољни подстицаји, нарочито финансијски и проблеми с наплатом потраживања;</w:t>
      </w:r>
    </w:p>
    <w:p>
      <w:pPr>
        <w:pStyle w:val="46"/>
        <w:numPr>
          <w:ilvl w:val="0"/>
          <w:numId w:val="6"/>
        </w:numPr>
        <w:rPr>
          <w:rFonts w:asciiTheme="minorHAnsi" w:hAnsiTheme="minorHAnsi" w:cstheme="minorHAnsi"/>
          <w:b/>
          <w:lang w:val="sr-Cyrl-CS"/>
        </w:rPr>
      </w:pPr>
      <w:r>
        <w:rPr>
          <w:rFonts w:asciiTheme="minorHAnsi" w:hAnsiTheme="minorHAnsi" w:cstheme="minorHAnsi"/>
          <w:lang w:val="sr-Cyrl-CS"/>
        </w:rPr>
        <w:t>З</w:t>
      </w:r>
      <w:r>
        <w:rPr>
          <w:rFonts w:asciiTheme="minorHAnsi" w:hAnsiTheme="minorHAnsi" w:cstheme="minorHAnsi"/>
          <w:lang w:val="sr-Latn-RS"/>
        </w:rPr>
        <w:t>аконска регулатива</w:t>
      </w:r>
      <w:r>
        <w:rPr>
          <w:rFonts w:asciiTheme="minorHAnsi" w:hAnsiTheme="minorHAnsi" w:cstheme="minorHAnsi"/>
          <w:lang w:val="sr-Cyrl-CS"/>
        </w:rPr>
        <w:t xml:space="preserve"> (нарочито порески прописи и административне процедуре)</w:t>
      </w:r>
      <w:r>
        <w:rPr>
          <w:rFonts w:asciiTheme="minorHAnsi" w:hAnsiTheme="minorHAnsi" w:cstheme="minorHAnsi"/>
          <w:lang w:val="sr-Latn-RS"/>
        </w:rPr>
        <w:t>,</w:t>
      </w:r>
    </w:p>
    <w:p>
      <w:pPr>
        <w:pStyle w:val="46"/>
        <w:numPr>
          <w:ilvl w:val="0"/>
          <w:numId w:val="6"/>
        </w:numPr>
        <w:rPr>
          <w:rFonts w:asciiTheme="minorHAnsi" w:hAnsiTheme="minorHAnsi" w:cstheme="minorHAnsi"/>
          <w:b/>
          <w:lang w:val="sr-Cyrl-CS"/>
        </w:rPr>
      </w:pPr>
      <w:r>
        <w:rPr>
          <w:rFonts w:asciiTheme="minorHAnsi" w:hAnsiTheme="minorHAnsi" w:cstheme="minorHAnsi"/>
          <w:lang w:val="sr-Cyrl-CS"/>
        </w:rPr>
        <w:t>Н</w:t>
      </w:r>
      <w:r>
        <w:rPr>
          <w:rFonts w:asciiTheme="minorHAnsi" w:hAnsiTheme="minorHAnsi" w:cstheme="minorHAnsi"/>
          <w:lang w:val="sr-Latn-RS"/>
        </w:rPr>
        <w:t xml:space="preserve">еусклађеност пословања с међународним стандардима и </w:t>
      </w:r>
    </w:p>
    <w:p>
      <w:pPr>
        <w:pStyle w:val="46"/>
        <w:numPr>
          <w:ilvl w:val="0"/>
          <w:numId w:val="6"/>
        </w:numPr>
        <w:rPr>
          <w:rFonts w:asciiTheme="minorHAnsi" w:hAnsiTheme="minorHAnsi" w:cstheme="minorHAnsi"/>
          <w:b/>
          <w:lang w:val="sr-Cyrl-CS"/>
        </w:rPr>
      </w:pPr>
      <w:r>
        <w:rPr>
          <w:rFonts w:asciiTheme="minorHAnsi" w:hAnsiTheme="minorHAnsi" w:cstheme="minorHAnsi"/>
          <w:lang w:val="sr-Cyrl-CS"/>
        </w:rPr>
        <w:t>Н</w:t>
      </w:r>
      <w:r>
        <w:rPr>
          <w:rFonts w:asciiTheme="minorHAnsi" w:hAnsiTheme="minorHAnsi" w:cstheme="minorHAnsi"/>
          <w:lang w:val="sr-Latn-RS"/>
        </w:rPr>
        <w:t>едостатак информација о тржишту</w:t>
      </w:r>
      <w:r>
        <w:rPr>
          <w:rFonts w:asciiTheme="minorHAnsi" w:hAnsiTheme="minorHAnsi" w:cstheme="minorHAnsi"/>
          <w:lang w:val="sr-Cyrl-CS"/>
        </w:rPr>
        <w:t xml:space="preserve"> и слаба конкурентност на тржишту, </w:t>
      </w:r>
    </w:p>
    <w:p>
      <w:pPr>
        <w:pStyle w:val="46"/>
        <w:numPr>
          <w:ilvl w:val="0"/>
          <w:numId w:val="6"/>
        </w:numPr>
        <w:spacing w:after="120"/>
        <w:rPr>
          <w:rFonts w:asciiTheme="minorHAnsi" w:hAnsiTheme="minorHAnsi" w:cstheme="minorHAnsi"/>
          <w:b/>
          <w:lang w:val="sr-Cyrl-CS"/>
        </w:rPr>
      </w:pPr>
      <w:r>
        <w:rPr>
          <w:rFonts w:asciiTheme="minorHAnsi" w:hAnsiTheme="minorHAnsi" w:cstheme="minorHAnsi"/>
          <w:lang w:val="sr-Cyrl-RS"/>
        </w:rPr>
        <w:t>Д</w:t>
      </w:r>
      <w:r>
        <w:rPr>
          <w:rFonts w:asciiTheme="minorHAnsi" w:hAnsiTheme="minorHAnsi" w:cstheme="minorHAnsi"/>
          <w:lang w:val="sr-Latn-RS"/>
        </w:rPr>
        <w:t xml:space="preserve">ок </w:t>
      </w:r>
      <w:r>
        <w:rPr>
          <w:rFonts w:asciiTheme="minorHAnsi" w:hAnsiTheme="minorHAnsi" w:cstheme="minorHAnsi"/>
          <w:lang w:val="sr-Cyrl-CS"/>
        </w:rPr>
        <w:t>с</w:t>
      </w:r>
      <w:r>
        <w:rPr>
          <w:rFonts w:asciiTheme="minorHAnsi" w:hAnsiTheme="minorHAnsi" w:cstheme="minorHAnsi"/>
          <w:lang w:val="sr-Latn-RS"/>
        </w:rPr>
        <w:t xml:space="preserve">е </w:t>
      </w:r>
      <w:r>
        <w:rPr>
          <w:rFonts w:asciiTheme="minorHAnsi" w:hAnsiTheme="minorHAnsi" w:cstheme="minorHAnsi"/>
          <w:lang w:val="sr-Cyrl-CS"/>
        </w:rPr>
        <w:t xml:space="preserve">недостатак квалификоване радне снаге појављује као ограничавајући фактор само у одређеним дјелатностима (инжењери електротехнике, електроенергетике и аутоматике, техничари </w:t>
      </w:r>
      <w:r>
        <w:rPr>
          <w:rFonts w:asciiTheme="minorHAnsi" w:hAnsiTheme="minorHAnsi" w:cstheme="minorHAnsi"/>
          <w:lang w:val="sr-Latn-RS"/>
        </w:rPr>
        <w:t xml:space="preserve">CNC </w:t>
      </w:r>
      <w:r>
        <w:rPr>
          <w:rFonts w:asciiTheme="minorHAnsi" w:hAnsiTheme="minorHAnsi" w:cstheme="minorHAnsi"/>
          <w:lang w:val="sr-Cyrl-CS"/>
        </w:rPr>
        <w:t xml:space="preserve">машина, механичари расхладних уређаја, текстилни техничари, обућари, моделари и армирачи). </w:t>
      </w:r>
    </w:p>
    <w:p>
      <w:pPr>
        <w:rPr>
          <w:lang w:val="sr-Cyrl-CS"/>
        </w:rPr>
      </w:pPr>
      <w:r>
        <w:rPr>
          <w:lang w:val="sr-Cyrl-CS"/>
        </w:rPr>
        <w:t>Сходно наведеном, наглашена су три приоритетна задатка у сектору предузетништва:</w:t>
      </w:r>
    </w:p>
    <w:p>
      <w:pPr>
        <w:rPr>
          <w:lang w:val="sr-Cyrl-CS"/>
        </w:rPr>
      </w:pPr>
    </w:p>
    <w:p>
      <w:pPr>
        <w:pStyle w:val="155"/>
        <w:numPr>
          <w:ilvl w:val="0"/>
          <w:numId w:val="7"/>
        </w:numPr>
        <w:shd w:val="clear" w:color="auto" w:fill="auto"/>
        <w:spacing w:before="0" w:after="0"/>
        <w:rPr>
          <w:rFonts w:cstheme="minorHAnsi"/>
          <w:sz w:val="22"/>
          <w:szCs w:val="22"/>
          <w:lang w:val="sr-Cyrl-CS"/>
        </w:rPr>
      </w:pPr>
      <w:r>
        <w:rPr>
          <w:rFonts w:cstheme="minorHAnsi"/>
          <w:sz w:val="22"/>
          <w:szCs w:val="22"/>
          <w:lang w:val="sr-Cyrl-CS"/>
        </w:rPr>
        <w:t>Израда јединственог регистара предузетника, који би био упоредив с другим базама података о предузетништву (градским-општинским, Фонда ПИО, Пореске управе РС, Републичког завода за статистику, Занатско-предузетничке коморе и др.);</w:t>
      </w:r>
    </w:p>
    <w:p>
      <w:pPr>
        <w:pStyle w:val="155"/>
        <w:numPr>
          <w:ilvl w:val="0"/>
          <w:numId w:val="7"/>
        </w:numPr>
        <w:shd w:val="clear" w:color="auto" w:fill="auto"/>
        <w:spacing w:before="0" w:after="0"/>
        <w:rPr>
          <w:rFonts w:cstheme="minorHAnsi"/>
          <w:sz w:val="22"/>
          <w:szCs w:val="22"/>
          <w:lang w:val="sr-Cyrl-CS"/>
        </w:rPr>
      </w:pPr>
      <w:r>
        <w:rPr>
          <w:rFonts w:cstheme="minorHAnsi"/>
          <w:sz w:val="22"/>
          <w:szCs w:val="22"/>
          <w:lang w:val="sr-Cyrl-CS"/>
        </w:rPr>
        <w:t>Законска обавеза израде финансијских извјештаја и достављања надлежним институцијама;</w:t>
      </w:r>
    </w:p>
    <w:p>
      <w:pPr>
        <w:pStyle w:val="155"/>
        <w:numPr>
          <w:ilvl w:val="0"/>
          <w:numId w:val="7"/>
        </w:numPr>
        <w:shd w:val="clear" w:color="auto" w:fill="auto"/>
        <w:spacing w:before="0" w:after="0"/>
        <w:rPr>
          <w:rFonts w:cstheme="minorHAnsi"/>
          <w:sz w:val="22"/>
          <w:szCs w:val="22"/>
          <w:lang w:val="sr-Cyrl-CS"/>
        </w:rPr>
      </w:pPr>
      <w:r>
        <w:rPr>
          <w:rFonts w:cstheme="minorHAnsi"/>
          <w:sz w:val="22"/>
          <w:szCs w:val="22"/>
          <w:lang w:val="sr-Cyrl-CS"/>
        </w:rPr>
        <w:t xml:space="preserve">Квалитетан и континуиран систем финансијске подршке предузетништву, субвенције за унапређење пословања и за отварање нових радних мјеста, укључујући и државни програм подршке. </w:t>
      </w:r>
    </w:p>
    <w:p>
      <w:pPr>
        <w:pStyle w:val="155"/>
        <w:shd w:val="clear" w:color="auto" w:fill="auto"/>
        <w:spacing w:before="0" w:after="0"/>
        <w:ind w:left="720" w:firstLine="0"/>
        <w:rPr>
          <w:rFonts w:cstheme="minorHAnsi"/>
          <w:sz w:val="22"/>
          <w:szCs w:val="22"/>
          <w:lang w:val="sr-Cyrl-CS"/>
        </w:rPr>
      </w:pPr>
    </w:p>
    <w:tbl>
      <w:tblPr>
        <w:tblStyle w:val="37"/>
        <w:tblW w:w="93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Ex>
        <w:tc>
          <w:tcPr>
            <w:tcW w:w="9350" w:type="dxa"/>
            <w:shd w:val="clear" w:color="auto" w:fill="C5E0B3" w:themeFill="accent6" w:themeFillTint="66"/>
          </w:tcPr>
          <w:p>
            <w:pPr>
              <w:jc w:val="both"/>
              <w:rPr>
                <w:i/>
                <w:lang w:val="sr-Cyrl-RS"/>
              </w:rPr>
            </w:pPr>
            <w:r>
              <w:rPr>
                <w:i/>
                <w:lang w:val="sr-Cyrl-RS"/>
              </w:rPr>
              <w:t xml:space="preserve">Наведени подаци указују да у привреди Бања Луке доминирају микро, мала предузећа и предузетници, који се превасходно  баве трговином и услужном дјелатношћу. Евидентно је да се велики број привредних субјеката тешко сналази на тржишту и услијед финансијске кризе и негативних трендова одлучују се да напусте тржишну утакмицу. </w:t>
            </w:r>
          </w:p>
          <w:p>
            <w:pPr>
              <w:shd w:val="clear" w:color="auto" w:fill="C5E0B3" w:themeFill="accent6" w:themeFillTint="66"/>
              <w:jc w:val="both"/>
              <w:rPr>
                <w:i/>
                <w:lang w:val="sr-Cyrl-RS"/>
              </w:rPr>
            </w:pPr>
            <w:r>
              <w:rPr>
                <w:i/>
                <w:lang w:val="sr-Cyrl-RS"/>
              </w:rPr>
              <w:t>Овај приказ стања привреде у Бања Луци је само индикативан, а осим овдје наведених развојних проблема и изазова,  путем јавно-приватног дијалога и редовним анкетирањем МСП и предузетника (на годишњем нивоу) треба сагледати додатне смјернице, те усвојити сет мјера којима би се олакшлао и поспешило функционисање МСП и предузетника.</w:t>
            </w:r>
          </w:p>
        </w:tc>
      </w:tr>
    </w:tbl>
    <w:p>
      <w:pPr>
        <w:jc w:val="both"/>
        <w:rPr>
          <w:b/>
          <w:i/>
          <w:lang w:val="sr-Cyrl-CS"/>
        </w:rPr>
      </w:pPr>
    </w:p>
    <w:p>
      <w:pPr>
        <w:jc w:val="both"/>
        <w:rPr>
          <w:i/>
          <w:sz w:val="18"/>
          <w:szCs w:val="18"/>
          <w:lang w:val="sr-Cyrl-BA"/>
        </w:rPr>
      </w:pPr>
      <w:r>
        <w:rPr>
          <w:b/>
          <w:i/>
          <w:lang w:val="sr-Cyrl-CS"/>
        </w:rPr>
        <w:t>Финансијско пословање привредних субјеката.</w:t>
      </w:r>
      <w:r>
        <w:rPr>
          <w:lang w:val="sr-Cyrl-CS"/>
        </w:rPr>
        <w:t xml:space="preserve"> Према АПИФ-овој обради годишњих обрачуна 2.676 бањалучких предузећа, нето добит у 2016. години износила је 532,12 милиона КМ, што је 14,9% више, него у 2015. години. Остварена нето-добит у периоду 2008 - 2016.  године осцилирала је од 417.466.347 КМ, колико је износила 2010. године, до 532.119.470 КМ, колико је износила 2016. године. Иако је, почев од 2011. године, евидентан континуиран раст нето добити, истовремено је забиљежен и раст губитка бањалучких привредних друштава, која су обухваћена обрадом годишњих обрачуна. Поред тога, уочљива је и мања осцилација у кретању укупних прихода која се креће око 6,6 милијарди КМ и варира око +-400 милиона КМ на годишњем нивоу од 2011. до 2016. године, што је резултат уједначеног обухвата привредних субјеката, који предају годишње обрачуне АПИФ-у (од 2.352 субјекта за 2008. годину, до 2.676 предузећа за 2016. годину). </w:t>
      </w:r>
    </w:p>
    <w:p>
      <w:pPr>
        <w:spacing w:after="120" w:line="264" w:lineRule="auto"/>
        <w:jc w:val="both"/>
        <w:rPr>
          <w:lang w:val="sr-Cyrl-CS"/>
        </w:rPr>
      </w:pPr>
    </w:p>
    <w:tbl>
      <w:tblPr>
        <w:tblStyle w:val="36"/>
        <w:tblW w:w="9345" w:type="dxa"/>
        <w:tblInd w:w="10" w:type="dxa"/>
        <w:tblLayout w:type="fixed"/>
        <w:tblCellMar>
          <w:top w:w="0" w:type="dxa"/>
          <w:left w:w="0" w:type="dxa"/>
          <w:bottom w:w="0" w:type="dxa"/>
          <w:right w:w="0" w:type="dxa"/>
        </w:tblCellMar>
      </w:tblPr>
      <w:tblGrid>
        <w:gridCol w:w="1080"/>
        <w:gridCol w:w="1640"/>
        <w:gridCol w:w="1601"/>
        <w:gridCol w:w="1421"/>
        <w:gridCol w:w="1421"/>
        <w:gridCol w:w="1201"/>
        <w:gridCol w:w="981"/>
      </w:tblGrid>
      <w:tr>
        <w:tblPrEx>
          <w:tblLayout w:type="fixed"/>
          <w:tblCellMar>
            <w:top w:w="0" w:type="dxa"/>
            <w:left w:w="0" w:type="dxa"/>
            <w:bottom w:w="0" w:type="dxa"/>
            <w:right w:w="0" w:type="dxa"/>
          </w:tblCellMar>
        </w:tblPrEx>
        <w:trPr>
          <w:trHeight w:val="243" w:hRule="atLeast"/>
        </w:trPr>
        <w:tc>
          <w:tcPr>
            <w:tcW w:w="9345" w:type="dxa"/>
            <w:gridSpan w:val="7"/>
            <w:tcBorders>
              <w:top w:val="single" w:color="auto" w:sz="8" w:space="0"/>
              <w:left w:val="single" w:color="auto" w:sz="8" w:space="0"/>
              <w:bottom w:val="single" w:color="auto" w:sz="8" w:space="0"/>
              <w:right w:val="single" w:color="auto" w:sz="8" w:space="0"/>
            </w:tcBorders>
            <w:shd w:val="clear" w:color="auto" w:fill="C5E0B3"/>
            <w:vAlign w:val="bottom"/>
          </w:tcPr>
          <w:p>
            <w:pPr>
              <w:spacing w:after="160" w:line="0" w:lineRule="atLeast"/>
              <w:jc w:val="center"/>
              <w:rPr>
                <w:rFonts w:eastAsia="Times New Roman" w:cs="Calibri"/>
                <w:b/>
                <w:lang w:val="sr-Cyrl-BA"/>
              </w:rPr>
            </w:pPr>
            <w:r>
              <w:rPr>
                <w:rFonts w:eastAsia="Times New Roman" w:cs="Calibri"/>
                <w:b/>
                <w:lang w:val="sr-Cyrl-BA"/>
              </w:rPr>
              <w:t>Основни финансијски показатељи пословања привреде града Бања Луке по годишњем обрачуну за период 2008 – 2016. године</w:t>
            </w:r>
          </w:p>
        </w:tc>
      </w:tr>
      <w:tr>
        <w:tblPrEx>
          <w:tblLayout w:type="fixed"/>
          <w:tblCellMar>
            <w:top w:w="0" w:type="dxa"/>
            <w:left w:w="0" w:type="dxa"/>
            <w:bottom w:w="0" w:type="dxa"/>
            <w:right w:w="0" w:type="dxa"/>
          </w:tblCellMar>
        </w:tblPrEx>
        <w:trPr>
          <w:trHeight w:val="243" w:hRule="atLeast"/>
        </w:trPr>
        <w:tc>
          <w:tcPr>
            <w:tcW w:w="1080" w:type="dxa"/>
            <w:tcBorders>
              <w:top w:val="single" w:color="auto" w:sz="8" w:space="0"/>
              <w:left w:val="single" w:color="auto" w:sz="8" w:space="0"/>
              <w:bottom w:val="single" w:color="auto" w:sz="8" w:space="0"/>
              <w:right w:val="single" w:color="auto" w:sz="8" w:space="0"/>
            </w:tcBorders>
            <w:shd w:val="clear" w:color="auto" w:fill="E2EFD9"/>
            <w:vAlign w:val="center"/>
          </w:tcPr>
          <w:p>
            <w:pPr>
              <w:spacing w:after="160" w:line="0" w:lineRule="atLeast"/>
              <w:jc w:val="center"/>
              <w:rPr>
                <w:rFonts w:eastAsia="Times New Roman" w:cs="Calibri"/>
                <w:b/>
                <w:lang w:val="sr-Cyrl-BA"/>
              </w:rPr>
            </w:pPr>
            <w:r>
              <w:rPr>
                <w:rFonts w:eastAsia="Times New Roman" w:cs="Calibri"/>
                <w:b/>
                <w:lang w:val="sr-Cyrl-BA"/>
              </w:rPr>
              <w:t>Година</w:t>
            </w:r>
          </w:p>
          <w:p>
            <w:pPr>
              <w:spacing w:after="160" w:line="0" w:lineRule="atLeast"/>
              <w:jc w:val="center"/>
              <w:rPr>
                <w:rFonts w:eastAsia="Times New Roman" w:cs="Calibri"/>
                <w:b/>
                <w:lang w:val="sr-Cyrl-BA"/>
              </w:rPr>
            </w:pPr>
          </w:p>
        </w:tc>
        <w:tc>
          <w:tcPr>
            <w:tcW w:w="1640" w:type="dxa"/>
            <w:tcBorders>
              <w:top w:val="single" w:color="auto" w:sz="8" w:space="0"/>
              <w:left w:val="nil"/>
              <w:bottom w:val="single" w:color="auto" w:sz="8" w:space="0"/>
              <w:right w:val="single" w:color="auto" w:sz="8" w:space="0"/>
            </w:tcBorders>
            <w:shd w:val="clear" w:color="auto" w:fill="E2EFD9"/>
            <w:vAlign w:val="center"/>
          </w:tcPr>
          <w:p>
            <w:pPr>
              <w:spacing w:after="160" w:line="0" w:lineRule="atLeast"/>
              <w:jc w:val="center"/>
              <w:rPr>
                <w:rFonts w:eastAsia="Times New Roman" w:cs="Calibri"/>
                <w:b/>
                <w:lang w:val="sr-Cyrl-BA"/>
              </w:rPr>
            </w:pPr>
            <w:r>
              <w:rPr>
                <w:rFonts w:eastAsia="Times New Roman" w:cs="Calibri"/>
                <w:b/>
                <w:lang w:val="sr-Cyrl-BA"/>
              </w:rPr>
              <w:t>Укупни приходи у КМ</w:t>
            </w:r>
          </w:p>
        </w:tc>
        <w:tc>
          <w:tcPr>
            <w:tcW w:w="1601" w:type="dxa"/>
            <w:tcBorders>
              <w:top w:val="single" w:color="auto" w:sz="8" w:space="0"/>
              <w:left w:val="nil"/>
              <w:bottom w:val="single" w:color="auto" w:sz="8" w:space="0"/>
              <w:right w:val="single" w:color="auto" w:sz="8" w:space="0"/>
            </w:tcBorders>
            <w:shd w:val="clear" w:color="auto" w:fill="E2EFD9"/>
            <w:vAlign w:val="center"/>
          </w:tcPr>
          <w:p>
            <w:pPr>
              <w:spacing w:after="160" w:line="0" w:lineRule="atLeast"/>
              <w:jc w:val="center"/>
              <w:rPr>
                <w:rFonts w:eastAsia="Times New Roman" w:cs="Calibri"/>
                <w:b/>
                <w:lang w:val="sr-Cyrl-BA"/>
              </w:rPr>
            </w:pPr>
            <w:r>
              <w:rPr>
                <w:rFonts w:eastAsia="Times New Roman" w:cs="Calibri"/>
                <w:b/>
                <w:lang w:val="sr-Cyrl-BA"/>
              </w:rPr>
              <w:t>Укупни расходи у КМ</w:t>
            </w:r>
          </w:p>
        </w:tc>
        <w:tc>
          <w:tcPr>
            <w:tcW w:w="1421" w:type="dxa"/>
            <w:tcBorders>
              <w:top w:val="single" w:color="auto" w:sz="8" w:space="0"/>
              <w:left w:val="nil"/>
              <w:bottom w:val="single" w:color="auto" w:sz="8" w:space="0"/>
              <w:right w:val="single" w:color="auto" w:sz="8" w:space="0"/>
            </w:tcBorders>
            <w:shd w:val="clear" w:color="auto" w:fill="E2EFD9"/>
            <w:vAlign w:val="center"/>
          </w:tcPr>
          <w:p>
            <w:pPr>
              <w:spacing w:after="160" w:line="0" w:lineRule="atLeast"/>
              <w:jc w:val="center"/>
              <w:rPr>
                <w:rFonts w:eastAsia="Times New Roman" w:cs="Calibri"/>
                <w:b/>
                <w:lang w:val="sr-Cyrl-BA"/>
              </w:rPr>
            </w:pPr>
            <w:r>
              <w:rPr>
                <w:rFonts w:eastAsia="Times New Roman" w:cs="Calibri"/>
                <w:b/>
                <w:lang w:val="sr-Cyrl-BA"/>
              </w:rPr>
              <w:t>Добит у КМ</w:t>
            </w:r>
          </w:p>
        </w:tc>
        <w:tc>
          <w:tcPr>
            <w:tcW w:w="1421" w:type="dxa"/>
            <w:tcBorders>
              <w:top w:val="single" w:color="auto" w:sz="8" w:space="0"/>
              <w:left w:val="nil"/>
              <w:bottom w:val="single" w:color="auto" w:sz="8" w:space="0"/>
              <w:right w:val="single" w:color="auto" w:sz="8" w:space="0"/>
            </w:tcBorders>
            <w:shd w:val="clear" w:color="auto" w:fill="E2EFD9"/>
            <w:vAlign w:val="center"/>
          </w:tcPr>
          <w:p>
            <w:pPr>
              <w:spacing w:after="160" w:line="0" w:lineRule="atLeast"/>
              <w:jc w:val="center"/>
              <w:rPr>
                <w:rFonts w:eastAsia="Times New Roman" w:cs="Calibri"/>
                <w:b/>
                <w:lang w:val="sr-Cyrl-BA"/>
              </w:rPr>
            </w:pPr>
            <w:r>
              <w:rPr>
                <w:rFonts w:eastAsia="Times New Roman" w:cs="Calibri"/>
                <w:b/>
                <w:lang w:val="sr-Cyrl-BA"/>
              </w:rPr>
              <w:t>Губитак у КМ</w:t>
            </w:r>
          </w:p>
        </w:tc>
        <w:tc>
          <w:tcPr>
            <w:tcW w:w="1201" w:type="dxa"/>
            <w:tcBorders>
              <w:top w:val="single" w:color="auto" w:sz="8" w:space="0"/>
              <w:left w:val="nil"/>
              <w:bottom w:val="single" w:color="auto" w:sz="8" w:space="0"/>
              <w:right w:val="single" w:color="auto" w:sz="8" w:space="0"/>
            </w:tcBorders>
            <w:shd w:val="clear" w:color="auto" w:fill="E2EFD9"/>
            <w:vAlign w:val="center"/>
          </w:tcPr>
          <w:p>
            <w:pPr>
              <w:spacing w:after="160" w:line="0" w:lineRule="atLeast"/>
              <w:jc w:val="center"/>
              <w:rPr>
                <w:rFonts w:eastAsia="Times New Roman" w:cs="Calibri"/>
                <w:b/>
                <w:lang w:val="sr-Cyrl-BA"/>
              </w:rPr>
            </w:pPr>
            <w:r>
              <w:rPr>
                <w:rFonts w:eastAsia="Times New Roman" w:cs="Calibri"/>
                <w:b/>
                <w:lang w:val="sr-Cyrl-BA"/>
              </w:rPr>
              <w:t>Радници</w:t>
            </w:r>
          </w:p>
        </w:tc>
        <w:tc>
          <w:tcPr>
            <w:tcW w:w="981" w:type="dxa"/>
            <w:tcBorders>
              <w:top w:val="single" w:color="auto" w:sz="8" w:space="0"/>
              <w:left w:val="nil"/>
              <w:bottom w:val="single" w:color="auto" w:sz="8" w:space="0"/>
              <w:right w:val="single" w:color="auto" w:sz="8" w:space="0"/>
            </w:tcBorders>
            <w:shd w:val="clear" w:color="auto" w:fill="E2EFD9"/>
            <w:vAlign w:val="center"/>
          </w:tcPr>
          <w:p>
            <w:pPr>
              <w:spacing w:after="160" w:line="0" w:lineRule="atLeast"/>
              <w:jc w:val="center"/>
              <w:rPr>
                <w:rFonts w:eastAsia="Times New Roman" w:cs="Calibri"/>
                <w:b/>
                <w:lang w:val="sr-Cyrl-BA"/>
              </w:rPr>
            </w:pPr>
            <w:r>
              <w:rPr>
                <w:rFonts w:eastAsia="Times New Roman" w:cs="Calibri"/>
                <w:b/>
                <w:lang w:val="sr-Cyrl-BA"/>
              </w:rPr>
              <w:t>Број прив. друштава</w:t>
            </w:r>
          </w:p>
        </w:tc>
      </w:tr>
      <w:tr>
        <w:tblPrEx>
          <w:tblLayout w:type="fixed"/>
          <w:tblCellMar>
            <w:top w:w="0" w:type="dxa"/>
            <w:left w:w="0" w:type="dxa"/>
            <w:bottom w:w="0" w:type="dxa"/>
            <w:right w:w="0" w:type="dxa"/>
          </w:tblCellMar>
        </w:tblPrEx>
        <w:trPr>
          <w:trHeight w:val="266" w:hRule="atLeast"/>
        </w:trPr>
        <w:tc>
          <w:tcPr>
            <w:tcW w:w="1080" w:type="dxa"/>
            <w:tcBorders>
              <w:top w:val="nil"/>
              <w:left w:val="single" w:color="auto" w:sz="8" w:space="0"/>
              <w:bottom w:val="single" w:color="auto" w:sz="8" w:space="0"/>
              <w:right w:val="single" w:color="auto" w:sz="8" w:space="0"/>
            </w:tcBorders>
            <w:vAlign w:val="bottom"/>
          </w:tcPr>
          <w:p>
            <w:pPr>
              <w:spacing w:after="160" w:line="265" w:lineRule="exact"/>
              <w:jc w:val="center"/>
              <w:rPr>
                <w:rFonts w:eastAsia="Times New Roman" w:cs="Calibri"/>
                <w:b/>
                <w:w w:val="99"/>
                <w:lang w:val="sr-Cyrl-BA"/>
              </w:rPr>
            </w:pPr>
            <w:r>
              <w:rPr>
                <w:rFonts w:eastAsia="Times New Roman" w:cs="Calibri"/>
                <w:b/>
                <w:w w:val="99"/>
                <w:lang w:val="sr-Cyrl-BA"/>
              </w:rPr>
              <w:t>2012.</w:t>
            </w:r>
          </w:p>
        </w:tc>
        <w:tc>
          <w:tcPr>
            <w:tcW w:w="1640"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6.987.924.930</w:t>
            </w:r>
          </w:p>
        </w:tc>
        <w:tc>
          <w:tcPr>
            <w:tcW w:w="160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6.929.892.947</w:t>
            </w:r>
          </w:p>
        </w:tc>
        <w:tc>
          <w:tcPr>
            <w:tcW w:w="142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388.788.532</w:t>
            </w:r>
          </w:p>
        </w:tc>
        <w:tc>
          <w:tcPr>
            <w:tcW w:w="142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356.041.247</w:t>
            </w:r>
          </w:p>
        </w:tc>
        <w:tc>
          <w:tcPr>
            <w:tcW w:w="120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43.743</w:t>
            </w:r>
          </w:p>
        </w:tc>
        <w:tc>
          <w:tcPr>
            <w:tcW w:w="98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2.394</w:t>
            </w:r>
          </w:p>
        </w:tc>
      </w:tr>
      <w:tr>
        <w:tblPrEx>
          <w:tblLayout w:type="fixed"/>
          <w:tblCellMar>
            <w:top w:w="0" w:type="dxa"/>
            <w:left w:w="0" w:type="dxa"/>
            <w:bottom w:w="0" w:type="dxa"/>
            <w:right w:w="0" w:type="dxa"/>
          </w:tblCellMar>
        </w:tblPrEx>
        <w:trPr>
          <w:trHeight w:val="266" w:hRule="atLeast"/>
        </w:trPr>
        <w:tc>
          <w:tcPr>
            <w:tcW w:w="1080" w:type="dxa"/>
            <w:tcBorders>
              <w:top w:val="nil"/>
              <w:left w:val="single" w:color="auto" w:sz="8" w:space="0"/>
              <w:bottom w:val="single" w:color="auto" w:sz="8" w:space="0"/>
              <w:right w:val="single" w:color="auto" w:sz="8" w:space="0"/>
            </w:tcBorders>
            <w:vAlign w:val="bottom"/>
          </w:tcPr>
          <w:p>
            <w:pPr>
              <w:spacing w:after="160" w:line="265" w:lineRule="exact"/>
              <w:jc w:val="center"/>
              <w:rPr>
                <w:rFonts w:eastAsia="Times New Roman" w:cs="Calibri"/>
                <w:b/>
                <w:w w:val="99"/>
                <w:lang w:val="sr-Cyrl-BA"/>
              </w:rPr>
            </w:pPr>
            <w:r>
              <w:rPr>
                <w:rFonts w:eastAsia="Times New Roman" w:cs="Calibri"/>
                <w:b/>
                <w:w w:val="99"/>
                <w:lang w:val="sr-Cyrl-BA"/>
              </w:rPr>
              <w:t>2013.</w:t>
            </w:r>
          </w:p>
        </w:tc>
        <w:tc>
          <w:tcPr>
            <w:tcW w:w="1640"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6.727.548.085</w:t>
            </w:r>
          </w:p>
        </w:tc>
        <w:tc>
          <w:tcPr>
            <w:tcW w:w="160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6.718.474.237</w:t>
            </w:r>
          </w:p>
        </w:tc>
        <w:tc>
          <w:tcPr>
            <w:tcW w:w="142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362.378.910</w:t>
            </w:r>
          </w:p>
        </w:tc>
        <w:tc>
          <w:tcPr>
            <w:tcW w:w="142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396.138.560</w:t>
            </w:r>
          </w:p>
        </w:tc>
        <w:tc>
          <w:tcPr>
            <w:tcW w:w="120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43.627</w:t>
            </w:r>
          </w:p>
        </w:tc>
        <w:tc>
          <w:tcPr>
            <w:tcW w:w="98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2.366</w:t>
            </w:r>
          </w:p>
        </w:tc>
      </w:tr>
      <w:tr>
        <w:tblPrEx>
          <w:tblLayout w:type="fixed"/>
          <w:tblCellMar>
            <w:top w:w="0" w:type="dxa"/>
            <w:left w:w="0" w:type="dxa"/>
            <w:bottom w:w="0" w:type="dxa"/>
            <w:right w:w="0" w:type="dxa"/>
          </w:tblCellMar>
        </w:tblPrEx>
        <w:trPr>
          <w:trHeight w:val="266" w:hRule="atLeast"/>
        </w:trPr>
        <w:tc>
          <w:tcPr>
            <w:tcW w:w="1080" w:type="dxa"/>
            <w:tcBorders>
              <w:top w:val="nil"/>
              <w:left w:val="single" w:color="auto" w:sz="8" w:space="0"/>
              <w:bottom w:val="single" w:color="auto" w:sz="8" w:space="0"/>
              <w:right w:val="single" w:color="auto" w:sz="8" w:space="0"/>
            </w:tcBorders>
            <w:vAlign w:val="bottom"/>
          </w:tcPr>
          <w:p>
            <w:pPr>
              <w:spacing w:after="160" w:line="265" w:lineRule="exact"/>
              <w:jc w:val="center"/>
              <w:rPr>
                <w:rFonts w:eastAsia="Times New Roman" w:cs="Calibri"/>
                <w:b/>
                <w:w w:val="99"/>
                <w:lang w:val="sr-Cyrl-BA"/>
              </w:rPr>
            </w:pPr>
            <w:r>
              <w:rPr>
                <w:rFonts w:eastAsia="Times New Roman" w:cs="Calibri"/>
                <w:b/>
                <w:w w:val="99"/>
                <w:lang w:val="sr-Cyrl-BA"/>
              </w:rPr>
              <w:t>2014.</w:t>
            </w:r>
          </w:p>
        </w:tc>
        <w:tc>
          <w:tcPr>
            <w:tcW w:w="1640"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6.499.089.479</w:t>
            </w:r>
          </w:p>
        </w:tc>
        <w:tc>
          <w:tcPr>
            <w:tcW w:w="160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6.882.528.836</w:t>
            </w:r>
          </w:p>
        </w:tc>
        <w:tc>
          <w:tcPr>
            <w:tcW w:w="142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432.815.570</w:t>
            </w:r>
          </w:p>
        </w:tc>
        <w:tc>
          <w:tcPr>
            <w:tcW w:w="142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847.133.203</w:t>
            </w:r>
          </w:p>
        </w:tc>
        <w:tc>
          <w:tcPr>
            <w:tcW w:w="120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44.183</w:t>
            </w:r>
          </w:p>
        </w:tc>
        <w:tc>
          <w:tcPr>
            <w:tcW w:w="981" w:type="dxa"/>
            <w:tcBorders>
              <w:top w:val="nil"/>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2.462</w:t>
            </w:r>
          </w:p>
        </w:tc>
      </w:tr>
      <w:tr>
        <w:tblPrEx>
          <w:tblLayout w:type="fixed"/>
          <w:tblCellMar>
            <w:top w:w="0" w:type="dxa"/>
            <w:left w:w="0" w:type="dxa"/>
            <w:bottom w:w="0" w:type="dxa"/>
            <w:right w:w="0" w:type="dxa"/>
          </w:tblCellMar>
        </w:tblPrEx>
        <w:trPr>
          <w:trHeight w:val="267" w:hRule="atLeast"/>
        </w:trPr>
        <w:tc>
          <w:tcPr>
            <w:tcW w:w="1080" w:type="dxa"/>
            <w:tcBorders>
              <w:top w:val="single" w:color="auto" w:sz="8" w:space="0"/>
              <w:left w:val="single" w:color="auto" w:sz="8" w:space="0"/>
              <w:bottom w:val="single" w:color="auto" w:sz="8" w:space="0"/>
              <w:right w:val="single" w:color="auto" w:sz="8" w:space="0"/>
            </w:tcBorders>
            <w:vAlign w:val="bottom"/>
          </w:tcPr>
          <w:p>
            <w:pPr>
              <w:spacing w:after="160" w:line="267" w:lineRule="exact"/>
              <w:jc w:val="center"/>
              <w:rPr>
                <w:rFonts w:eastAsia="Times New Roman" w:cs="Calibri"/>
                <w:b/>
                <w:w w:val="99"/>
                <w:lang w:val="sr-Cyrl-BA"/>
              </w:rPr>
            </w:pPr>
            <w:r>
              <w:rPr>
                <w:rFonts w:eastAsia="Times New Roman" w:cs="Calibri"/>
                <w:b/>
                <w:w w:val="99"/>
                <w:lang w:val="sr-Cyrl-BA"/>
              </w:rPr>
              <w:t>2015.</w:t>
            </w:r>
          </w:p>
        </w:tc>
        <w:tc>
          <w:tcPr>
            <w:tcW w:w="1640"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6.175.097.792</w:t>
            </w:r>
          </w:p>
        </w:tc>
        <w:tc>
          <w:tcPr>
            <w:tcW w:w="160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5.979.357.205</w:t>
            </w:r>
          </w:p>
        </w:tc>
        <w:tc>
          <w:tcPr>
            <w:tcW w:w="142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442.655.349</w:t>
            </w:r>
          </w:p>
        </w:tc>
        <w:tc>
          <w:tcPr>
            <w:tcW w:w="142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303.193.362</w:t>
            </w:r>
          </w:p>
        </w:tc>
        <w:tc>
          <w:tcPr>
            <w:tcW w:w="120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44.238</w:t>
            </w:r>
          </w:p>
        </w:tc>
        <w:tc>
          <w:tcPr>
            <w:tcW w:w="98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2.581</w:t>
            </w:r>
          </w:p>
        </w:tc>
      </w:tr>
      <w:tr>
        <w:tblPrEx>
          <w:tblLayout w:type="fixed"/>
          <w:tblCellMar>
            <w:top w:w="0" w:type="dxa"/>
            <w:left w:w="0" w:type="dxa"/>
            <w:bottom w:w="0" w:type="dxa"/>
            <w:right w:w="0" w:type="dxa"/>
          </w:tblCellMar>
        </w:tblPrEx>
        <w:trPr>
          <w:trHeight w:val="267" w:hRule="atLeast"/>
        </w:trPr>
        <w:tc>
          <w:tcPr>
            <w:tcW w:w="1080" w:type="dxa"/>
            <w:tcBorders>
              <w:top w:val="single" w:color="auto" w:sz="8" w:space="0"/>
              <w:left w:val="single" w:color="auto" w:sz="8" w:space="0"/>
              <w:bottom w:val="single" w:color="auto" w:sz="8" w:space="0"/>
              <w:right w:val="single" w:color="auto" w:sz="8" w:space="0"/>
            </w:tcBorders>
            <w:vAlign w:val="bottom"/>
          </w:tcPr>
          <w:p>
            <w:pPr>
              <w:spacing w:after="160" w:line="267" w:lineRule="exact"/>
              <w:jc w:val="center"/>
              <w:rPr>
                <w:rFonts w:eastAsia="Times New Roman" w:cs="Calibri"/>
                <w:b/>
                <w:w w:val="99"/>
                <w:lang w:val="sr-Cyrl-BA"/>
              </w:rPr>
            </w:pPr>
            <w:r>
              <w:rPr>
                <w:rFonts w:eastAsia="Times New Roman" w:cs="Calibri"/>
                <w:b/>
                <w:w w:val="99"/>
                <w:lang w:val="sr-Cyrl-BA"/>
              </w:rPr>
              <w:t>2016.</w:t>
            </w:r>
          </w:p>
        </w:tc>
        <w:tc>
          <w:tcPr>
            <w:tcW w:w="1640"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6.379.114.475</w:t>
            </w:r>
          </w:p>
        </w:tc>
        <w:tc>
          <w:tcPr>
            <w:tcW w:w="160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6.232.890.232</w:t>
            </w:r>
          </w:p>
        </w:tc>
        <w:tc>
          <w:tcPr>
            <w:tcW w:w="142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532.116.460</w:t>
            </w:r>
          </w:p>
        </w:tc>
        <w:tc>
          <w:tcPr>
            <w:tcW w:w="142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437.633.766</w:t>
            </w:r>
          </w:p>
        </w:tc>
        <w:tc>
          <w:tcPr>
            <w:tcW w:w="120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46.648</w:t>
            </w:r>
          </w:p>
        </w:tc>
        <w:tc>
          <w:tcPr>
            <w:tcW w:w="981" w:type="dxa"/>
            <w:tcBorders>
              <w:top w:val="single" w:color="auto" w:sz="8" w:space="0"/>
              <w:left w:val="nil"/>
              <w:bottom w:val="single" w:color="auto" w:sz="8" w:space="0"/>
              <w:right w:val="single" w:color="auto" w:sz="8" w:space="0"/>
            </w:tcBorders>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2.673</w:t>
            </w:r>
          </w:p>
        </w:tc>
      </w:tr>
    </w:tbl>
    <w:p>
      <w:pPr>
        <w:jc w:val="both"/>
        <w:rPr>
          <w:i/>
          <w:sz w:val="18"/>
          <w:szCs w:val="18"/>
          <w:lang w:val="sr-Cyrl-BA"/>
        </w:rPr>
      </w:pPr>
      <w:r>
        <w:rPr>
          <w:i/>
          <w:sz w:val="18"/>
          <w:szCs w:val="18"/>
          <w:lang w:val="sr-Cyrl-BA"/>
        </w:rPr>
        <w:t>Извор: Збрини финансијски извјештаји АПИФ-а</w:t>
      </w:r>
    </w:p>
    <w:p>
      <w:pPr>
        <w:spacing w:after="120" w:line="264" w:lineRule="auto"/>
        <w:jc w:val="both"/>
        <w:rPr>
          <w:lang w:val="sr-Cyrl-CS"/>
        </w:rPr>
      </w:pPr>
    </w:p>
    <w:p>
      <w:pPr>
        <w:spacing w:after="120" w:line="264" w:lineRule="auto"/>
        <w:jc w:val="both"/>
        <w:rPr>
          <w:b/>
          <w:lang w:val="sr-Cyrl-CS"/>
        </w:rPr>
      </w:pPr>
      <w:r>
        <w:rPr>
          <w:lang w:val="sr-Cyrl-CS"/>
        </w:rPr>
        <w:t xml:space="preserve">Приказани показатељи показују уједначене вриједности основних финансијских параметара у свим годинама посматраног периода (укупни приходи од 6,1 до 6,9 милијарди КМ, укупни расходи од 5,9 до 6,9 </w:t>
      </w:r>
      <w:r>
        <w:rPr>
          <w:lang w:val="sr-Cyrl-BA"/>
        </w:rPr>
        <w:t>милијарди</w:t>
      </w:r>
      <w:r>
        <w:rPr>
          <w:lang w:val="sr-Cyrl-CS"/>
        </w:rPr>
        <w:t xml:space="preserve"> КМ, добит од 362 до 532 милиона КМ, а губици од 303 до 847 милиона КМ). Међутим, у истом периоду уједначен је по годинама и број пословних субјеката, који су предали АПИФ-у годишње обрачуне (од 2.366 предузећа у 2013. години до 2.673 предузећа у 2016. години), као и број запослених у наведеном броју предузећа, чији су годишњи обрачуни обарђени (од 43,6 хиљада радника до 46,6 хиљада радника у наведеном броју обрађених предузећа).</w:t>
      </w:r>
    </w:p>
    <w:p>
      <w:pPr>
        <w:spacing w:after="120" w:line="264" w:lineRule="auto"/>
        <w:jc w:val="both"/>
        <w:rPr>
          <w:lang w:val="sr-Cyrl-CS"/>
        </w:rPr>
      </w:pPr>
      <w:r>
        <w:rPr>
          <w:lang w:val="sr-Cyrl-CS"/>
        </w:rPr>
        <w:t xml:space="preserve">Представљене вриједности укупног прихода, укупних расхода, укупне добити и укупних губитка на нивоу града не одражавају стварно стање, будући да је у посматраном периоду, од укупног броја правних лица с подручја Бања Луке, и поред обавезности, која проистиче из Закона о рачуноводству РС, само 32,8 до 36,0% укупног броја бањалучких правних лица предало АПИФ-у годишње обрачуне. </w:t>
      </w:r>
    </w:p>
    <w:p>
      <w:pPr>
        <w:jc w:val="both"/>
        <w:rPr>
          <w:lang w:val="sr-Cyrl-BA"/>
        </w:rPr>
      </w:pPr>
      <w:r>
        <w:rPr>
          <w:lang w:val="sr-Latn-CS" w:eastAsia="sr-Latn-CS"/>
        </w:rPr>
        <w:drawing>
          <wp:inline distT="0" distB="0" distL="0" distR="0">
            <wp:extent cx="5991225" cy="26079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36308" cy="2627577"/>
                    </a:xfrm>
                    <a:prstGeom prst="rect">
                      <a:avLst/>
                    </a:prstGeom>
                    <a:noFill/>
                    <a:ln>
                      <a:noFill/>
                    </a:ln>
                  </pic:spPr>
                </pic:pic>
              </a:graphicData>
            </a:graphic>
          </wp:inline>
        </w:drawing>
      </w:r>
    </w:p>
    <w:p>
      <w:pPr>
        <w:jc w:val="both"/>
        <w:rPr>
          <w:i/>
          <w:sz w:val="18"/>
          <w:szCs w:val="18"/>
          <w:lang w:val="sr-Cyrl-BA"/>
        </w:rPr>
      </w:pPr>
      <w:r>
        <w:rPr>
          <w:i/>
          <w:sz w:val="18"/>
          <w:szCs w:val="18"/>
          <w:lang w:val="sr-Cyrl-BA"/>
        </w:rPr>
        <w:t xml:space="preserve">               Извор: АПИФ</w:t>
      </w:r>
    </w:p>
    <w:p>
      <w:pPr>
        <w:jc w:val="both"/>
        <w:rPr>
          <w:i/>
          <w:sz w:val="18"/>
          <w:szCs w:val="18"/>
          <w:lang w:val="sr-Cyrl-BA"/>
        </w:rPr>
      </w:pPr>
    </w:p>
    <w:tbl>
      <w:tblPr>
        <w:tblStyle w:val="37"/>
        <w:tblW w:w="93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Ex>
        <w:tc>
          <w:tcPr>
            <w:tcW w:w="9350" w:type="dxa"/>
            <w:shd w:val="clear" w:color="auto" w:fill="C5E0B3" w:themeFill="accent6" w:themeFillTint="66"/>
          </w:tcPr>
          <w:p>
            <w:pPr>
              <w:shd w:val="clear" w:color="auto" w:fill="C5E0B3" w:themeFill="accent6" w:themeFillTint="66"/>
              <w:jc w:val="both"/>
              <w:rPr>
                <w:i/>
                <w:lang w:val="sr-Cyrl-RS"/>
              </w:rPr>
            </w:pPr>
            <w:r>
              <w:rPr>
                <w:i/>
                <w:lang w:val="sr-Cyrl-RS"/>
              </w:rPr>
              <w:t>Иако је уочљив раст прихода привредних предузећа, губици су такође велики. Друга карактеристика је да се највећи приходи остварују из трговине (37%), а тек 1/5 укупних прихода из прерађивачке индустрије. Током година, примјетни су све већи приходи у области информационо-комуикационих технологија, па је неопходан стратешки приступ и систематска улагања у ову индустрију. Најмањи приходи остварују се у области пољопривреде, шумарства и риболова.</w:t>
            </w:r>
          </w:p>
        </w:tc>
      </w:tr>
    </w:tbl>
    <w:p>
      <w:pPr>
        <w:jc w:val="both"/>
        <w:rPr>
          <w:b/>
          <w:i/>
          <w:lang w:val="sr-Cyrl-RS"/>
        </w:rPr>
      </w:pPr>
    </w:p>
    <w:p>
      <w:pPr>
        <w:jc w:val="both"/>
        <w:rPr>
          <w:lang w:val="sr-Cyrl-RS"/>
        </w:rPr>
      </w:pPr>
      <w:r>
        <w:rPr>
          <w:b/>
          <w:i/>
          <w:lang w:val="sr-Cyrl-RS"/>
        </w:rPr>
        <w:t xml:space="preserve">Заступљеност привредних сектора. </w:t>
      </w:r>
      <w:r>
        <w:rPr>
          <w:lang w:val="sr-Cyrl-RS"/>
        </w:rPr>
        <w:t>Према броју привредних субјеката, у 2016. години доминантне су различите услужне дјелатности, које чине чак 46% од свих привредних грана у граду Бања Лука. Највећи број привредних субјеката регистрован је за трговинске дјелатности, док је само 10% регистровано за прерађивачку дјелатност.</w:t>
      </w:r>
    </w:p>
    <w:p>
      <w:pPr>
        <w:jc w:val="both"/>
        <w:rPr>
          <w:lang w:val="sr-Cyrl-RS"/>
        </w:rPr>
      </w:pPr>
    </w:p>
    <w:p>
      <w:pPr>
        <w:jc w:val="both"/>
        <w:rPr>
          <w:rFonts w:eastAsia="Times New Roman" w:asciiTheme="minorHAnsi" w:hAnsiTheme="minorHAnsi"/>
          <w:bCs/>
          <w:kern w:val="32"/>
        </w:rPr>
      </w:pPr>
      <w:r>
        <w:rPr>
          <w:lang w:val="sr-Latn-CS" w:eastAsia="sr-Latn-CS"/>
        </w:rPr>
        <w:drawing>
          <wp:inline distT="0" distB="0" distL="0" distR="0">
            <wp:extent cx="6011545" cy="261556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60299" cy="2636859"/>
                    </a:xfrm>
                    <a:prstGeom prst="rect">
                      <a:avLst/>
                    </a:prstGeom>
                    <a:noFill/>
                    <a:ln>
                      <a:noFill/>
                    </a:ln>
                  </pic:spPr>
                </pic:pic>
              </a:graphicData>
            </a:graphic>
          </wp:inline>
        </w:drawing>
      </w:r>
    </w:p>
    <w:p>
      <w:pPr>
        <w:jc w:val="both"/>
        <w:rPr>
          <w:i/>
          <w:sz w:val="18"/>
          <w:szCs w:val="18"/>
          <w:lang w:val="sr-Cyrl-BA"/>
        </w:rPr>
      </w:pPr>
      <w:r>
        <w:rPr>
          <w:i/>
          <w:sz w:val="18"/>
          <w:szCs w:val="18"/>
          <w:lang w:val="sr-Cyrl-BA"/>
        </w:rPr>
        <w:t xml:space="preserve"> Извор: АПИФ</w:t>
      </w:r>
    </w:p>
    <w:p>
      <w:pPr>
        <w:jc w:val="both"/>
        <w:rPr>
          <w:i/>
          <w:sz w:val="18"/>
          <w:szCs w:val="18"/>
          <w:lang w:val="sr-Cyrl-BA"/>
        </w:rPr>
      </w:pPr>
    </w:p>
    <w:p>
      <w:pPr>
        <w:jc w:val="both"/>
        <w:rPr>
          <w:i/>
          <w:sz w:val="18"/>
          <w:szCs w:val="18"/>
          <w:lang w:val="sr-Cyrl-BA"/>
        </w:rPr>
      </w:pPr>
    </w:p>
    <w:p>
      <w:pPr>
        <w:jc w:val="both"/>
        <w:rPr>
          <w:i/>
          <w:sz w:val="18"/>
          <w:szCs w:val="18"/>
          <w:lang w:val="sr-Cyrl-BA"/>
        </w:rPr>
      </w:pPr>
    </w:p>
    <w:tbl>
      <w:tblPr>
        <w:tblStyle w:val="37"/>
        <w:tblW w:w="93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Ex>
        <w:tc>
          <w:tcPr>
            <w:tcW w:w="9350" w:type="dxa"/>
            <w:shd w:val="clear" w:color="auto" w:fill="C5E0B3" w:themeFill="accent6" w:themeFillTint="66"/>
          </w:tcPr>
          <w:p>
            <w:pPr>
              <w:shd w:val="clear" w:color="auto" w:fill="C5E0B3" w:themeFill="accent6" w:themeFillTint="66"/>
              <w:jc w:val="both"/>
              <w:rPr>
                <w:i/>
                <w:lang w:val="sr-Cyrl-RS"/>
              </w:rPr>
            </w:pPr>
            <w:r>
              <w:rPr>
                <w:i/>
                <w:sz w:val="18"/>
                <w:szCs w:val="18"/>
                <w:lang w:val="sr-Cyrl-BA"/>
              </w:rPr>
              <w:br w:type="page"/>
            </w:r>
            <w:r>
              <w:rPr>
                <w:i/>
                <w:lang w:val="sr-Cyrl-RS"/>
              </w:rPr>
              <w:t>У предстојећем периоду је кључно да град Бања Лука пружи како стратешку, тако и оперативну подршку јачању прерађивачке дјелатности кроз сет јасно дефинисаних мјера и ревидираних подстицаја намењених привредним субјектима који се баве производном дјелатношћу, у циљу унапређења пословног окружења и јачање конкурентности МСП и предузетника. Кључно је да се предложене мјере и подстицаји предлажу и разматрају путем јавно-приватног дијалога.</w:t>
            </w:r>
          </w:p>
        </w:tc>
      </w:tr>
    </w:tbl>
    <w:p>
      <w:pPr>
        <w:jc w:val="both"/>
        <w:rPr>
          <w:lang w:val="sr-Cyrl-RS"/>
        </w:rPr>
      </w:pPr>
    </w:p>
    <w:p>
      <w:pPr>
        <w:jc w:val="both"/>
        <w:rPr>
          <w:lang w:val="sr-Cyrl-RS"/>
        </w:rPr>
      </w:pPr>
    </w:p>
    <w:p>
      <w:pPr>
        <w:jc w:val="both"/>
        <w:rPr>
          <w:b/>
          <w:i/>
          <w:lang w:val="sr-Cyrl-RS"/>
        </w:rPr>
      </w:pPr>
      <w:r>
        <w:rPr>
          <w:b/>
          <w:i/>
          <w:lang w:val="sr-Cyrl-RS"/>
        </w:rPr>
        <w:t>Профил приоритетних сектора</w:t>
      </w:r>
    </w:p>
    <w:p>
      <w:pPr>
        <w:jc w:val="both"/>
        <w:rPr>
          <w:b/>
          <w:i/>
          <w:lang w:val="sr-Cyrl-RS"/>
        </w:rPr>
      </w:pPr>
    </w:p>
    <w:p>
      <w:pPr>
        <w:jc w:val="both"/>
        <w:rPr>
          <w:lang w:val="sr-Cyrl-BA"/>
        </w:rPr>
      </w:pPr>
      <w:r>
        <w:rPr>
          <w:b/>
          <w:lang w:val="sr-Cyrl-RS"/>
        </w:rPr>
        <w:t>Прерађивачка индустрија.</w:t>
      </w:r>
      <w:r>
        <w:rPr>
          <w:b/>
          <w:i/>
          <w:lang w:val="sr-Cyrl-RS"/>
        </w:rPr>
        <w:t xml:space="preserve"> </w:t>
      </w:r>
      <w:r>
        <w:rPr>
          <w:lang w:val="sr-Cyrl-BA"/>
        </w:rPr>
        <w:t>У прерађивачкој индустрији доминира дрвопрерада, а у мањој мјери металопрерада, прехрамбена индустрија, производња папирне конфекције и производња пластике. Удио извоза прерађивачке индустрије у укупном извозу града Бања Луке износи преко 53%, али су у овој индустрији готово сви приказани приходи од извоза остварени кроз „лон“ послове, који у ствари представљају само извоз услуга. Удио овог сектора у укупној добити је такође недовољна (12,5%), а ова индустрија запошљава тек једну петину свих запослених у граду Бања Лука.</w:t>
      </w:r>
    </w:p>
    <w:p>
      <w:pPr>
        <w:jc w:val="both"/>
        <w:rPr>
          <w:lang w:val="sr-Cyrl-BA"/>
        </w:rPr>
      </w:pPr>
    </w:p>
    <w:p>
      <w:pPr>
        <w:jc w:val="both"/>
        <w:rPr>
          <w:lang w:val="sr-Cyrl-BA"/>
        </w:rPr>
      </w:pPr>
      <w:r>
        <w:rPr>
          <w:b/>
          <w:lang w:val="sr-Cyrl-BA"/>
        </w:rPr>
        <w:t xml:space="preserve">Пољопривреда, шумарство и рибилов. </w:t>
      </w:r>
      <w:r>
        <w:rPr>
          <w:lang w:val="sr-Cyrl-BA"/>
        </w:rPr>
        <w:t>Регистрована пољопривредна дјелатност, укључујући и шумарство и риболов је веома ниско заступљена. Један од приоритета би требало да буде и подршка развоју пољопривредне дјелатности, која у овом тренутку није адекватна.</w:t>
      </w:r>
    </w:p>
    <w:p>
      <w:pPr>
        <w:jc w:val="both"/>
        <w:rPr>
          <w:lang w:val="sr-Cyrl-BA"/>
        </w:rPr>
      </w:pPr>
    </w:p>
    <w:p>
      <w:pPr>
        <w:jc w:val="both"/>
        <w:rPr>
          <w:lang w:val="sr-Cyrl-BA"/>
        </w:rPr>
      </w:pPr>
      <w:r>
        <w:rPr>
          <w:b/>
          <w:lang w:val="sr-Cyrl-BA"/>
        </w:rPr>
        <w:t xml:space="preserve">Грађевинарство. </w:t>
      </w:r>
      <w:r>
        <w:rPr>
          <w:lang w:val="sr-Cyrl-BA"/>
        </w:rPr>
        <w:t>Сектор грађевинарства релативно је развијен у граду Бања Лука и учествује са 8,4% у укупној добити оствареној на територији града Бања Лука. У овом сектору, просечна нето плата је, такође, нешто већа него у другим секторима. Овај сектор остварује и солидну добит у односу на остварене приходе (око 11%). С обзиром да се, углавном ради о грађевинској дјелатности на територији града, извоз у овом сектору је занемарљив.</w:t>
      </w:r>
    </w:p>
    <w:p>
      <w:pPr>
        <w:jc w:val="both"/>
        <w:rPr>
          <w:lang w:val="sr-Cyrl-BA"/>
        </w:rPr>
      </w:pPr>
    </w:p>
    <w:p>
      <w:pPr>
        <w:jc w:val="both"/>
        <w:rPr>
          <w:lang w:val="sr-Cyrl-RS"/>
        </w:rPr>
      </w:pPr>
      <w:r>
        <w:rPr>
          <w:b/>
          <w:lang w:val="sr-Cyrl-BA"/>
        </w:rPr>
        <w:t xml:space="preserve">Трговина. </w:t>
      </w:r>
      <w:r>
        <w:rPr>
          <w:lang w:val="sr-Cyrl-BA"/>
        </w:rPr>
        <w:t>Као што је већ раније напоменуто, најзастуљенији, по свим параметрима је сектор трговине. Удио овог сектора у укупним приходима града Бања Лука износи чак 37,3% и износи више од 2,3 милијарде КМ. Овај сектор запошљава 19,4% свих запослених, више од укупне прерађивачке индустрије, а просечна плата је, такође, нешто већа у односу на друге секторе.</w:t>
      </w:r>
      <w:r>
        <w:rPr>
          <w:lang w:val="sr-Cyrl-RS"/>
        </w:rPr>
        <w:t xml:space="preserve"> </w:t>
      </w:r>
    </w:p>
    <w:p>
      <w:pPr>
        <w:jc w:val="both"/>
        <w:rPr>
          <w:lang w:val="sr-Cyrl-BA"/>
        </w:rPr>
      </w:pPr>
    </w:p>
    <w:p>
      <w:pPr>
        <w:jc w:val="both"/>
        <w:rPr>
          <w:lang w:val="sr-Cyrl-BA"/>
        </w:rPr>
      </w:pPr>
      <w:r>
        <w:rPr>
          <w:b/>
          <w:lang w:val="sr-Cyrl-BA"/>
        </w:rPr>
        <w:t xml:space="preserve">Информационо-комуникационе технологије. </w:t>
      </w:r>
      <w:r>
        <w:rPr>
          <w:lang w:val="sr-Cyrl-BA"/>
        </w:rPr>
        <w:t xml:space="preserve">Сектор информационо-комуникационих технологија је у експанзији и остварује нешто више од 17% укупне добити од привредне дјелатности у граду Бања Лука. Приказ сектора садржи и највећу ИКТ компанију, </w:t>
      </w:r>
      <w:r>
        <w:rPr>
          <w:i/>
          <w:lang w:val="sr-Cyrl-BA"/>
        </w:rPr>
        <w:t>Телеком Српске а.д.</w:t>
      </w:r>
      <w:r>
        <w:rPr>
          <w:lang w:val="sr-Cyrl-BA"/>
        </w:rPr>
        <w:t>, која у великој мјери доприноси укупној позитивној слици у овом сектору. С обзиром да је град Бања Лука универзитетски град, са значајним капацитетима у смислу људских ресурса, очекује се да ће у наредним годинама у фокусу развоја града бити ИКТ сектор.</w:t>
      </w:r>
    </w:p>
    <w:p>
      <w:pPr>
        <w:jc w:val="both"/>
        <w:rPr>
          <w:lang w:val="sr-Cyrl-BA"/>
        </w:rPr>
      </w:pPr>
    </w:p>
    <w:p>
      <w:pPr>
        <w:jc w:val="both"/>
        <w:rPr>
          <w:lang w:val="sr-Cyrl-BA"/>
        </w:rPr>
      </w:pPr>
    </w:p>
    <w:p>
      <w:pPr>
        <w:spacing w:after="160" w:line="259" w:lineRule="auto"/>
        <w:rPr>
          <w:lang w:val="sr-Cyrl-BA"/>
        </w:rPr>
      </w:pPr>
      <w:r>
        <w:rPr>
          <w:lang w:val="sr-Cyrl-BA"/>
        </w:rPr>
        <w:br w:type="page"/>
      </w:r>
    </w:p>
    <w:p>
      <w:pPr>
        <w:jc w:val="both"/>
        <w:rPr>
          <w:lang w:val="sr-Cyrl-BA"/>
        </w:rPr>
      </w:pPr>
    </w:p>
    <w:p>
      <w:pPr>
        <w:jc w:val="both"/>
        <w:rPr>
          <w:lang w:val="sr-Cyrl-RS"/>
        </w:rPr>
      </w:pPr>
    </w:p>
    <w:tbl>
      <w:tblPr>
        <w:tblStyle w:val="36"/>
        <w:tblW w:w="9576" w:type="dxa"/>
        <w:tblInd w:w="0" w:type="dxa"/>
        <w:tblLayout w:type="fixed"/>
        <w:tblCellMar>
          <w:top w:w="15" w:type="dxa"/>
          <w:left w:w="108" w:type="dxa"/>
          <w:bottom w:w="15" w:type="dxa"/>
          <w:right w:w="108" w:type="dxa"/>
        </w:tblCellMar>
      </w:tblPr>
      <w:tblGrid>
        <w:gridCol w:w="4871"/>
        <w:gridCol w:w="941"/>
        <w:gridCol w:w="941"/>
        <w:gridCol w:w="941"/>
        <w:gridCol w:w="941"/>
        <w:gridCol w:w="941"/>
      </w:tblGrid>
      <w:tr>
        <w:tblPrEx>
          <w:tblLayout w:type="fixed"/>
          <w:tblCellMar>
            <w:top w:w="15" w:type="dxa"/>
            <w:left w:w="108" w:type="dxa"/>
            <w:bottom w:w="15" w:type="dxa"/>
            <w:right w:w="108" w:type="dxa"/>
          </w:tblCellMar>
        </w:tblPrEx>
        <w:trPr>
          <w:cantSplit/>
          <w:trHeight w:val="235" w:hRule="atLeast"/>
        </w:trPr>
        <w:tc>
          <w:tcPr>
            <w:tcW w:w="9576" w:type="dxa"/>
            <w:gridSpan w:val="6"/>
            <w:tcBorders>
              <w:top w:val="single" w:color="auto" w:sz="8" w:space="0"/>
              <w:left w:val="single" w:color="auto" w:sz="8" w:space="0"/>
              <w:bottom w:val="single" w:color="auto" w:sz="8" w:space="0"/>
              <w:right w:val="single" w:color="auto" w:sz="8" w:space="0"/>
            </w:tcBorders>
            <w:shd w:val="clear" w:color="auto" w:fill="385623" w:themeFill="accent6" w:themeFillShade="80"/>
            <w:vAlign w:val="center"/>
          </w:tcPr>
          <w:p>
            <w:pPr>
              <w:jc w:val="center"/>
              <w:rPr>
                <w:b/>
                <w:color w:val="FFFFFF" w:themeColor="background1"/>
                <w:lang w:val="sr-Cyrl-BA"/>
                <w14:textFill>
                  <w14:solidFill>
                    <w14:schemeClr w14:val="bg1"/>
                  </w14:solidFill>
                </w14:textFill>
              </w:rPr>
            </w:pPr>
            <w:r>
              <w:rPr>
                <w:b/>
                <w:color w:val="FFFFFF" w:themeColor="background1"/>
                <w:lang w:val="sr-Cyrl-BA"/>
                <w14:textFill>
                  <w14:solidFill>
                    <w14:schemeClr w14:val="bg1"/>
                  </w14:solidFill>
                </w14:textFill>
              </w:rPr>
              <w:t>Компаративни приказ кључних параметара у приоритетним секторима</w:t>
            </w:r>
          </w:p>
        </w:tc>
      </w:tr>
      <w:tr>
        <w:tblPrEx>
          <w:tblLayout w:type="fixed"/>
          <w:tblCellMar>
            <w:top w:w="15" w:type="dxa"/>
            <w:left w:w="108" w:type="dxa"/>
            <w:bottom w:w="15" w:type="dxa"/>
            <w:right w:w="108" w:type="dxa"/>
          </w:tblCellMar>
        </w:tblPrEx>
        <w:trPr>
          <w:cantSplit/>
          <w:trHeight w:val="1522" w:hRule="atLeast"/>
        </w:trPr>
        <w:tc>
          <w:tcPr>
            <w:tcW w:w="4871" w:type="dxa"/>
            <w:tcBorders>
              <w:top w:val="single" w:color="auto" w:sz="8" w:space="0"/>
              <w:left w:val="single" w:color="auto" w:sz="8" w:space="0"/>
              <w:bottom w:val="single" w:color="auto" w:sz="8" w:space="0"/>
              <w:right w:val="single" w:color="auto" w:sz="8" w:space="0"/>
            </w:tcBorders>
            <w:shd w:val="clear" w:color="auto" w:fill="A8D08D" w:themeFill="accent6" w:themeFillTint="99"/>
            <w:vAlign w:val="center"/>
          </w:tcPr>
          <w:p>
            <w:pPr>
              <w:jc w:val="center"/>
              <w:rPr>
                <w:rFonts w:eastAsia="Times New Roman" w:cs="Calibri"/>
                <w:b/>
                <w:color w:val="000000" w:themeColor="text1"/>
                <w:sz w:val="20"/>
                <w:szCs w:val="20"/>
                <w:lang w:val="bs-Latn-BA"/>
                <w14:textFill>
                  <w14:solidFill>
                    <w14:schemeClr w14:val="tx1"/>
                  </w14:solidFill>
                </w14:textFill>
              </w:rPr>
            </w:pPr>
            <w:r>
              <w:rPr>
                <w:rFonts w:eastAsia="Times New Roman" w:cs="Calibri"/>
                <w:b/>
                <w:color w:val="000000" w:themeColor="text1"/>
                <w:sz w:val="20"/>
                <w:szCs w:val="20"/>
                <w:lang w:val="bs-Latn-BA"/>
                <w14:textFill>
                  <w14:solidFill>
                    <w14:schemeClr w14:val="tx1"/>
                  </w14:solidFill>
                </w14:textFill>
              </w:rPr>
              <w:t>2016</w:t>
            </w:r>
          </w:p>
        </w:tc>
        <w:tc>
          <w:tcPr>
            <w:tcW w:w="941" w:type="dxa"/>
            <w:tcBorders>
              <w:top w:val="single" w:color="auto" w:sz="8" w:space="0"/>
              <w:left w:val="nil"/>
              <w:bottom w:val="single" w:color="auto" w:sz="8" w:space="0"/>
              <w:right w:val="single" w:color="auto" w:sz="4" w:space="0"/>
            </w:tcBorders>
            <w:shd w:val="clear" w:color="auto" w:fill="A8D08D" w:themeFill="accent6" w:themeFillTint="99"/>
            <w:textDirection w:val="btLr"/>
            <w:vAlign w:val="center"/>
          </w:tcPr>
          <w:p>
            <w:pPr>
              <w:ind w:left="113" w:right="113"/>
              <w:jc w:val="center"/>
              <w:rPr>
                <w:rFonts w:eastAsia="Times New Roman" w:cs="Calibri"/>
                <w:b/>
                <w:color w:val="000000" w:themeColor="text1"/>
                <w:sz w:val="20"/>
                <w:szCs w:val="20"/>
                <w:lang w:val="sr-Cyrl-RS"/>
                <w14:textFill>
                  <w14:solidFill>
                    <w14:schemeClr w14:val="tx1"/>
                  </w14:solidFill>
                </w14:textFill>
              </w:rPr>
            </w:pPr>
            <w:r>
              <w:rPr>
                <w:rFonts w:eastAsia="Times New Roman" w:cs="Calibri"/>
                <w:b/>
                <w:color w:val="000000" w:themeColor="text1"/>
                <w:sz w:val="20"/>
                <w:szCs w:val="20"/>
                <w:lang w:val="sr-Cyrl-RS"/>
                <w14:textFill>
                  <w14:solidFill>
                    <w14:schemeClr w14:val="tx1"/>
                  </w14:solidFill>
                </w14:textFill>
              </w:rPr>
              <w:t>Прерађивачка индустрија</w:t>
            </w:r>
          </w:p>
        </w:tc>
        <w:tc>
          <w:tcPr>
            <w:tcW w:w="941" w:type="dxa"/>
            <w:tcBorders>
              <w:top w:val="single" w:color="auto" w:sz="8" w:space="0"/>
              <w:left w:val="single" w:color="auto" w:sz="4" w:space="0"/>
              <w:bottom w:val="single" w:color="auto" w:sz="8" w:space="0"/>
              <w:right w:val="single" w:color="auto" w:sz="4" w:space="0"/>
            </w:tcBorders>
            <w:shd w:val="clear" w:color="auto" w:fill="A8D08D" w:themeFill="accent6" w:themeFillTint="99"/>
            <w:textDirection w:val="btLr"/>
            <w:vAlign w:val="center"/>
          </w:tcPr>
          <w:p>
            <w:pPr>
              <w:ind w:left="113" w:right="113"/>
              <w:jc w:val="center"/>
              <w:rPr>
                <w:rFonts w:eastAsia="Times New Roman" w:cs="Calibri"/>
                <w:b/>
                <w:color w:val="000000" w:themeColor="text1"/>
                <w:sz w:val="20"/>
                <w:szCs w:val="20"/>
                <w:lang w:val="sr-Cyrl-RS"/>
                <w14:textFill>
                  <w14:solidFill>
                    <w14:schemeClr w14:val="tx1"/>
                  </w14:solidFill>
                </w14:textFill>
              </w:rPr>
            </w:pPr>
            <w:r>
              <w:rPr>
                <w:rFonts w:eastAsia="Times New Roman" w:cs="Calibri"/>
                <w:b/>
                <w:color w:val="000000" w:themeColor="text1"/>
                <w:sz w:val="20"/>
                <w:szCs w:val="20"/>
                <w:lang w:val="sr-Cyrl-RS"/>
                <w14:textFill>
                  <w14:solidFill>
                    <w14:schemeClr w14:val="tx1"/>
                  </w14:solidFill>
                </w14:textFill>
              </w:rPr>
              <w:t>Пољопривреда, шумарство и риболов</w:t>
            </w:r>
          </w:p>
        </w:tc>
        <w:tc>
          <w:tcPr>
            <w:tcW w:w="941" w:type="dxa"/>
            <w:tcBorders>
              <w:top w:val="single" w:color="auto" w:sz="8" w:space="0"/>
              <w:left w:val="single" w:color="auto" w:sz="4" w:space="0"/>
              <w:bottom w:val="single" w:color="auto" w:sz="8" w:space="0"/>
              <w:right w:val="single" w:color="auto" w:sz="4" w:space="0"/>
            </w:tcBorders>
            <w:shd w:val="clear" w:color="auto" w:fill="A8D08D" w:themeFill="accent6" w:themeFillTint="99"/>
            <w:textDirection w:val="btLr"/>
            <w:vAlign w:val="center"/>
          </w:tcPr>
          <w:p>
            <w:pPr>
              <w:ind w:left="113" w:right="113"/>
              <w:jc w:val="center"/>
              <w:rPr>
                <w:rFonts w:eastAsia="Times New Roman" w:cs="Calibri"/>
                <w:b/>
                <w:color w:val="000000" w:themeColor="text1"/>
                <w:sz w:val="20"/>
                <w:szCs w:val="20"/>
                <w:lang w:val="sr-Cyrl-RS"/>
                <w14:textFill>
                  <w14:solidFill>
                    <w14:schemeClr w14:val="tx1"/>
                  </w14:solidFill>
                </w14:textFill>
              </w:rPr>
            </w:pPr>
            <w:r>
              <w:rPr>
                <w:rFonts w:eastAsia="Times New Roman" w:cs="Calibri"/>
                <w:b/>
                <w:color w:val="000000" w:themeColor="text1"/>
                <w:sz w:val="20"/>
                <w:szCs w:val="20"/>
                <w:lang w:val="sr-Cyrl-RS"/>
                <w14:textFill>
                  <w14:solidFill>
                    <w14:schemeClr w14:val="tx1"/>
                  </w14:solidFill>
                </w14:textFill>
              </w:rPr>
              <w:t>Грађевинарство</w:t>
            </w:r>
          </w:p>
        </w:tc>
        <w:tc>
          <w:tcPr>
            <w:tcW w:w="941" w:type="dxa"/>
            <w:tcBorders>
              <w:top w:val="single" w:color="auto" w:sz="8" w:space="0"/>
              <w:left w:val="single" w:color="auto" w:sz="4" w:space="0"/>
              <w:bottom w:val="single" w:color="auto" w:sz="8" w:space="0"/>
              <w:right w:val="single" w:color="auto" w:sz="8" w:space="0"/>
            </w:tcBorders>
            <w:shd w:val="clear" w:color="auto" w:fill="A8D08D" w:themeFill="accent6" w:themeFillTint="99"/>
            <w:textDirection w:val="btLr"/>
            <w:vAlign w:val="center"/>
          </w:tcPr>
          <w:p>
            <w:pPr>
              <w:ind w:left="113" w:right="113"/>
              <w:jc w:val="center"/>
              <w:rPr>
                <w:rFonts w:eastAsia="Times New Roman" w:cs="Calibri"/>
                <w:b/>
                <w:color w:val="000000" w:themeColor="text1"/>
                <w:sz w:val="20"/>
                <w:szCs w:val="20"/>
                <w:lang w:val="sr-Cyrl-RS"/>
                <w14:textFill>
                  <w14:solidFill>
                    <w14:schemeClr w14:val="tx1"/>
                  </w14:solidFill>
                </w14:textFill>
              </w:rPr>
            </w:pPr>
            <w:r>
              <w:rPr>
                <w:rFonts w:eastAsia="Times New Roman" w:cs="Calibri"/>
                <w:b/>
                <w:color w:val="000000" w:themeColor="text1"/>
                <w:sz w:val="20"/>
                <w:szCs w:val="20"/>
                <w:lang w:val="sr-Cyrl-RS"/>
                <w14:textFill>
                  <w14:solidFill>
                    <w14:schemeClr w14:val="tx1"/>
                  </w14:solidFill>
                </w14:textFill>
              </w:rPr>
              <w:t>Трговина</w:t>
            </w:r>
          </w:p>
        </w:tc>
        <w:tc>
          <w:tcPr>
            <w:tcW w:w="941" w:type="dxa"/>
            <w:tcBorders>
              <w:top w:val="single" w:color="auto" w:sz="8" w:space="0"/>
              <w:left w:val="single" w:color="auto" w:sz="4" w:space="0"/>
              <w:bottom w:val="single" w:color="auto" w:sz="8" w:space="0"/>
              <w:right w:val="single" w:color="auto" w:sz="8" w:space="0"/>
            </w:tcBorders>
            <w:shd w:val="clear" w:color="auto" w:fill="A8D08D" w:themeFill="accent6" w:themeFillTint="99"/>
            <w:textDirection w:val="btLr"/>
            <w:vAlign w:val="center"/>
          </w:tcPr>
          <w:p>
            <w:pPr>
              <w:ind w:left="113" w:right="113"/>
              <w:jc w:val="center"/>
              <w:rPr>
                <w:rFonts w:eastAsia="Times New Roman" w:cs="Calibri"/>
                <w:b/>
                <w:color w:val="000000" w:themeColor="text1"/>
                <w:sz w:val="20"/>
                <w:szCs w:val="20"/>
                <w:lang w:val="sr-Cyrl-RS"/>
                <w14:textFill>
                  <w14:solidFill>
                    <w14:schemeClr w14:val="tx1"/>
                  </w14:solidFill>
                </w14:textFill>
              </w:rPr>
            </w:pPr>
            <w:r>
              <w:rPr>
                <w:rFonts w:eastAsia="Times New Roman" w:cs="Calibri"/>
                <w:b/>
                <w:color w:val="000000" w:themeColor="text1"/>
                <w:sz w:val="20"/>
                <w:szCs w:val="20"/>
                <w:lang w:val="sr-Cyrl-RS"/>
                <w14:textFill>
                  <w14:solidFill>
                    <w14:schemeClr w14:val="tx1"/>
                  </w14:solidFill>
                </w14:textFill>
              </w:rPr>
              <w:t>Информације и комуникације</w:t>
            </w:r>
          </w:p>
        </w:tc>
      </w:tr>
      <w:tr>
        <w:tblPrEx>
          <w:tblLayout w:type="fixed"/>
          <w:tblCellMar>
            <w:top w:w="15" w:type="dxa"/>
            <w:left w:w="108" w:type="dxa"/>
            <w:bottom w:w="15" w:type="dxa"/>
            <w:right w:w="108" w:type="dxa"/>
          </w:tblCellMar>
        </w:tblPrEx>
        <w:trPr>
          <w:trHeight w:val="300" w:hRule="atLeast"/>
        </w:trPr>
        <w:tc>
          <w:tcPr>
            <w:tcW w:w="4871" w:type="dxa"/>
            <w:tcBorders>
              <w:top w:val="nil"/>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sz w:val="20"/>
                <w:lang w:val="sr-Cyrl-RS"/>
              </w:rPr>
            </w:pPr>
            <w:r>
              <w:rPr>
                <w:rFonts w:eastAsia="Times New Roman" w:cs="Calibri"/>
                <w:b/>
                <w:lang w:val="sr-Cyrl-RS"/>
              </w:rPr>
              <w:t>Број прив. субјеката</w:t>
            </w:r>
          </w:p>
        </w:tc>
        <w:tc>
          <w:tcPr>
            <w:tcW w:w="941" w:type="dxa"/>
            <w:tcBorders>
              <w:top w:val="nil"/>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325</w:t>
            </w:r>
          </w:p>
        </w:tc>
        <w:tc>
          <w:tcPr>
            <w:tcW w:w="941" w:type="dxa"/>
            <w:tcBorders>
              <w:top w:val="nil"/>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36</w:t>
            </w:r>
          </w:p>
        </w:tc>
        <w:tc>
          <w:tcPr>
            <w:tcW w:w="941" w:type="dxa"/>
            <w:tcBorders>
              <w:top w:val="nil"/>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217</w:t>
            </w:r>
          </w:p>
        </w:tc>
        <w:tc>
          <w:tcPr>
            <w:tcW w:w="941" w:type="dxa"/>
            <w:tcBorders>
              <w:top w:val="nil"/>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858</w:t>
            </w:r>
          </w:p>
        </w:tc>
        <w:tc>
          <w:tcPr>
            <w:tcW w:w="941" w:type="dxa"/>
            <w:tcBorders>
              <w:top w:val="nil"/>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166</w:t>
            </w:r>
          </w:p>
        </w:tc>
      </w:tr>
      <w:tr>
        <w:tblPrEx>
          <w:tblLayout w:type="fixed"/>
          <w:tblCellMar>
            <w:top w:w="15" w:type="dxa"/>
            <w:left w:w="108" w:type="dxa"/>
            <w:bottom w:w="15" w:type="dxa"/>
            <w:right w:w="108" w:type="dxa"/>
          </w:tblCellMar>
        </w:tblPrEx>
        <w:trPr>
          <w:trHeight w:val="300"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sr-Cyrl-RS"/>
              </w:rPr>
            </w:pPr>
            <w:r>
              <w:rPr>
                <w:rFonts w:eastAsia="Times New Roman" w:cs="Calibri"/>
                <w:b/>
                <w:lang w:val="sr-Cyrl-RS"/>
              </w:rPr>
              <w:t>Број запослених</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9.092</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323</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2.966</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rPr>
            </w:pPr>
            <w:r>
              <w:rPr>
                <w:rFonts w:eastAsia="Times New Roman" w:cs="Calibri"/>
                <w:color w:val="000000"/>
              </w:rPr>
              <w:t>9.330</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4.077</w:t>
            </w:r>
          </w:p>
        </w:tc>
      </w:tr>
      <w:tr>
        <w:tblPrEx>
          <w:tblLayout w:type="fixed"/>
          <w:tblCellMar>
            <w:top w:w="15" w:type="dxa"/>
            <w:left w:w="108" w:type="dxa"/>
            <w:bottom w:w="15" w:type="dxa"/>
            <w:right w:w="108" w:type="dxa"/>
          </w:tblCellMar>
        </w:tblPrEx>
        <w:trPr>
          <w:trHeight w:val="300"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sr-Cyrl-RS"/>
              </w:rPr>
            </w:pPr>
            <w:r>
              <w:rPr>
                <w:rFonts w:eastAsia="Times New Roman" w:cs="Calibri"/>
                <w:b/>
                <w:lang w:val="sr-Cyrl-RS"/>
              </w:rPr>
              <w:t xml:space="preserve">% запослених у сектору у односу на укупан број запослених </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18,92%</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0,67%</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6,17%</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rPr>
            </w:pPr>
            <w:r>
              <w:rPr>
                <w:rFonts w:eastAsia="Times New Roman" w:cs="Calibri"/>
                <w:color w:val="000000"/>
                <w:lang w:val="bs-Latn-BA"/>
              </w:rPr>
              <w:t>19,42%</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8,48%</w:t>
            </w:r>
          </w:p>
        </w:tc>
      </w:tr>
      <w:tr>
        <w:tblPrEx>
          <w:tblLayout w:type="fixed"/>
          <w:tblCellMar>
            <w:top w:w="15" w:type="dxa"/>
            <w:left w:w="108" w:type="dxa"/>
            <w:bottom w:w="15" w:type="dxa"/>
            <w:right w:w="108" w:type="dxa"/>
          </w:tblCellMar>
        </w:tblPrEx>
        <w:trPr>
          <w:trHeight w:val="326"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bs-Latn-BA"/>
              </w:rPr>
            </w:pPr>
            <w:r>
              <w:rPr>
                <w:rFonts w:eastAsia="Times New Roman" w:cs="Calibri"/>
                <w:b/>
                <w:lang w:val="sr-Cyrl-RS"/>
              </w:rPr>
              <w:t>Укупан приход (у милионима КМ)</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 xml:space="preserve">1.315 </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39,65</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327</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2.377</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627,45</w:t>
            </w:r>
          </w:p>
        </w:tc>
      </w:tr>
      <w:tr>
        <w:tblPrEx>
          <w:tblLayout w:type="fixed"/>
          <w:tblCellMar>
            <w:top w:w="15" w:type="dxa"/>
            <w:left w:w="108" w:type="dxa"/>
            <w:bottom w:w="15" w:type="dxa"/>
            <w:right w:w="108" w:type="dxa"/>
          </w:tblCellMar>
        </w:tblPrEx>
        <w:trPr>
          <w:trHeight w:val="300"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bs-Latn-BA"/>
              </w:rPr>
            </w:pPr>
            <w:r>
              <w:rPr>
                <w:rFonts w:eastAsia="Times New Roman" w:cs="Calibri"/>
                <w:b/>
                <w:lang w:val="sr-Cyrl-RS"/>
              </w:rPr>
              <w:t>Добит у 2016.</w:t>
            </w:r>
            <w:r>
              <w:rPr>
                <w:rFonts w:eastAsia="Times New Roman" w:cs="Calibri"/>
                <w:b/>
                <w:lang w:val="bs-Latn-BA"/>
              </w:rPr>
              <w:t xml:space="preserve"> </w:t>
            </w:r>
            <w:r>
              <w:rPr>
                <w:rFonts w:eastAsia="Times New Roman" w:cs="Calibri"/>
                <w:b/>
                <w:lang w:val="sr-Cyrl-RS"/>
              </w:rPr>
              <w:t>(у милионима КМ)</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bs-Latn-BA"/>
              </w:rPr>
            </w:pPr>
            <w:r>
              <w:rPr>
                <w:rFonts w:eastAsia="Times New Roman" w:cs="Calibri"/>
                <w:color w:val="000000"/>
                <w:lang w:val="bs-Latn-BA"/>
              </w:rPr>
              <w:t>4,57</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6,29</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44,66</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142,09</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90,9</w:t>
            </w:r>
          </w:p>
        </w:tc>
      </w:tr>
      <w:tr>
        <w:tblPrEx>
          <w:tblLayout w:type="fixed"/>
          <w:tblCellMar>
            <w:top w:w="15" w:type="dxa"/>
            <w:left w:w="108" w:type="dxa"/>
            <w:bottom w:w="15" w:type="dxa"/>
            <w:right w:w="108" w:type="dxa"/>
          </w:tblCellMar>
        </w:tblPrEx>
        <w:trPr>
          <w:trHeight w:val="245"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sr-Cyrl-RS"/>
              </w:rPr>
            </w:pPr>
            <w:r>
              <w:rPr>
                <w:rFonts w:eastAsia="Times New Roman" w:cs="Calibri"/>
                <w:b/>
                <w:lang w:val="sr-Cyrl-RS"/>
              </w:rPr>
              <w:t>Приход по запосленом (КМ)</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bs-Latn-BA"/>
              </w:rPr>
              <w:t>1</w:t>
            </w:r>
            <w:r>
              <w:rPr>
                <w:rFonts w:eastAsia="Times New Roman" w:cs="Calibri"/>
                <w:color w:val="000000"/>
                <w:lang w:val="sr-Cyrl-RS"/>
              </w:rPr>
              <w:t>44</w:t>
            </w:r>
            <w:r>
              <w:rPr>
                <w:rFonts w:eastAsia="Times New Roman" w:cs="Calibri"/>
                <w:color w:val="000000"/>
                <w:lang w:val="bs-Latn-BA"/>
              </w:rPr>
              <w:t>.</w:t>
            </w:r>
            <w:r>
              <w:rPr>
                <w:rFonts w:eastAsia="Times New Roman" w:cs="Calibri"/>
                <w:color w:val="000000"/>
                <w:lang w:val="sr-Cyrl-RS"/>
              </w:rPr>
              <w:t>712</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122.754</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110.230</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254.796</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153.883</w:t>
            </w:r>
          </w:p>
        </w:tc>
      </w:tr>
      <w:tr>
        <w:tblPrEx>
          <w:tblLayout w:type="fixed"/>
          <w:tblCellMar>
            <w:top w:w="15" w:type="dxa"/>
            <w:left w:w="108" w:type="dxa"/>
            <w:bottom w:w="15" w:type="dxa"/>
            <w:right w:w="108" w:type="dxa"/>
          </w:tblCellMar>
        </w:tblPrEx>
        <w:trPr>
          <w:trHeight w:val="569"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sr-Cyrl-RS"/>
              </w:rPr>
            </w:pPr>
            <w:r>
              <w:rPr>
                <w:rFonts w:eastAsia="Times New Roman" w:cs="Calibri"/>
                <w:b/>
                <w:lang w:val="sr-Cyrl-RS"/>
              </w:rPr>
              <w:t>Удио прихода у сектору у укупним приходима МСП</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20,63%</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0,62%</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5,13%</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37,27%</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9,84%</w:t>
            </w:r>
          </w:p>
        </w:tc>
      </w:tr>
      <w:tr>
        <w:tblPrEx>
          <w:tblLayout w:type="fixed"/>
          <w:tblCellMar>
            <w:top w:w="15" w:type="dxa"/>
            <w:left w:w="108" w:type="dxa"/>
            <w:bottom w:w="15" w:type="dxa"/>
            <w:right w:w="108" w:type="dxa"/>
          </w:tblCellMar>
        </w:tblPrEx>
        <w:trPr>
          <w:trHeight w:val="317"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sr-Cyrl-RS"/>
              </w:rPr>
            </w:pPr>
            <w:r>
              <w:rPr>
                <w:rFonts w:eastAsia="Times New Roman" w:cs="Calibri"/>
                <w:b/>
                <w:lang w:val="sr-Cyrl-RS"/>
              </w:rPr>
              <w:t>Удио добити у сектору  у укупној добити МСП</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12,24%</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1,18%</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8,39%</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26,70%</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17,08%</w:t>
            </w:r>
          </w:p>
        </w:tc>
      </w:tr>
      <w:tr>
        <w:tblPrEx>
          <w:tblLayout w:type="fixed"/>
          <w:tblCellMar>
            <w:top w:w="15" w:type="dxa"/>
            <w:left w:w="108" w:type="dxa"/>
            <w:bottom w:w="15" w:type="dxa"/>
            <w:right w:w="108" w:type="dxa"/>
          </w:tblCellMar>
        </w:tblPrEx>
        <w:trPr>
          <w:trHeight w:val="300"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bs-Latn-BA"/>
              </w:rPr>
            </w:pPr>
            <w:r>
              <w:rPr>
                <w:rFonts w:eastAsia="Times New Roman" w:cs="Calibri"/>
                <w:b/>
                <w:lang w:val="sr-Cyrl-RS"/>
              </w:rPr>
              <w:t>Извоз (у милионима КМ)</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274</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18,6</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7</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85,9</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40</w:t>
            </w:r>
          </w:p>
        </w:tc>
      </w:tr>
      <w:tr>
        <w:tblPrEx>
          <w:tblLayout w:type="fixed"/>
          <w:tblCellMar>
            <w:top w:w="15" w:type="dxa"/>
            <w:left w:w="108" w:type="dxa"/>
            <w:bottom w:w="15" w:type="dxa"/>
            <w:right w:w="108" w:type="dxa"/>
          </w:tblCellMar>
        </w:tblPrEx>
        <w:trPr>
          <w:trHeight w:val="254"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bs-Latn-BA"/>
              </w:rPr>
            </w:pPr>
            <w:r>
              <w:rPr>
                <w:b/>
                <w:lang w:val="sr-Cyrl-BA"/>
              </w:rPr>
              <w:t>Удио извоза сектора у укупном  извозу</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53,25%</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3,61%</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1,36%</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16,69%</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7,79%</w:t>
            </w:r>
          </w:p>
        </w:tc>
      </w:tr>
      <w:tr>
        <w:tblPrEx>
          <w:tblLayout w:type="fixed"/>
          <w:tblCellMar>
            <w:top w:w="15" w:type="dxa"/>
            <w:left w:w="108" w:type="dxa"/>
            <w:bottom w:w="15" w:type="dxa"/>
            <w:right w:w="108" w:type="dxa"/>
          </w:tblCellMar>
        </w:tblPrEx>
        <w:trPr>
          <w:trHeight w:val="200" w:hRule="atLeast"/>
        </w:trPr>
        <w:tc>
          <w:tcPr>
            <w:tcW w:w="4871" w:type="dxa"/>
            <w:tcBorders>
              <w:top w:val="single" w:color="auto" w:sz="4" w:space="0"/>
              <w:left w:val="single" w:color="auto" w:sz="8" w:space="0"/>
              <w:bottom w:val="single" w:color="auto" w:sz="4" w:space="0"/>
              <w:right w:val="single" w:color="auto" w:sz="8" w:space="0"/>
            </w:tcBorders>
            <w:shd w:val="clear" w:color="auto" w:fill="E2EFD9" w:themeFill="accent6" w:themeFillTint="33"/>
            <w:vAlign w:val="center"/>
          </w:tcPr>
          <w:p>
            <w:pPr>
              <w:rPr>
                <w:rFonts w:eastAsia="Times New Roman" w:cs="Calibri"/>
                <w:b/>
                <w:lang w:val="sr-Cyrl-RS"/>
              </w:rPr>
            </w:pPr>
            <w:r>
              <w:rPr>
                <w:rFonts w:eastAsia="Times New Roman" w:cs="Calibri"/>
                <w:b/>
                <w:lang w:val="sr-Cyrl-RS"/>
              </w:rPr>
              <w:t>Просјечна бруто плата</w:t>
            </w:r>
          </w:p>
        </w:tc>
        <w:tc>
          <w:tcPr>
            <w:tcW w:w="941" w:type="dxa"/>
            <w:tcBorders>
              <w:top w:val="single" w:color="auto" w:sz="4" w:space="0"/>
              <w:left w:val="nil"/>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805</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775</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819</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876</w:t>
            </w:r>
          </w:p>
        </w:tc>
        <w:tc>
          <w:tcPr>
            <w:tcW w:w="941" w:type="dxa"/>
            <w:tcBorders>
              <w:top w:val="single" w:color="auto" w:sz="4" w:space="0"/>
              <w:left w:val="single" w:color="auto" w:sz="4" w:space="0"/>
              <w:bottom w:val="single" w:color="auto" w:sz="4"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1.171</w:t>
            </w:r>
          </w:p>
        </w:tc>
      </w:tr>
      <w:tr>
        <w:tblPrEx>
          <w:tblLayout w:type="fixed"/>
          <w:tblCellMar>
            <w:top w:w="15" w:type="dxa"/>
            <w:left w:w="108" w:type="dxa"/>
            <w:bottom w:w="15" w:type="dxa"/>
            <w:right w:w="108" w:type="dxa"/>
          </w:tblCellMar>
        </w:tblPrEx>
        <w:trPr>
          <w:trHeight w:val="245" w:hRule="atLeast"/>
        </w:trPr>
        <w:tc>
          <w:tcPr>
            <w:tcW w:w="4871" w:type="dxa"/>
            <w:tcBorders>
              <w:top w:val="single" w:color="auto" w:sz="4" w:space="0"/>
              <w:left w:val="single" w:color="auto" w:sz="8" w:space="0"/>
              <w:bottom w:val="single" w:color="auto" w:sz="8" w:space="0"/>
              <w:right w:val="single" w:color="auto" w:sz="8" w:space="0"/>
            </w:tcBorders>
            <w:shd w:val="clear" w:color="auto" w:fill="E2EFD9" w:themeFill="accent6" w:themeFillTint="33"/>
            <w:vAlign w:val="center"/>
          </w:tcPr>
          <w:p>
            <w:pPr>
              <w:rPr>
                <w:rFonts w:eastAsia="Times New Roman" w:cs="Calibri"/>
                <w:b/>
                <w:lang w:val="sr-Cyrl-RS"/>
              </w:rPr>
            </w:pPr>
            <w:r>
              <w:rPr>
                <w:rFonts w:eastAsia="Times New Roman" w:cs="Calibri"/>
                <w:b/>
                <w:lang w:val="sr-Cyrl-RS"/>
              </w:rPr>
              <w:t>Просјечна нето плата</w:t>
            </w:r>
          </w:p>
        </w:tc>
        <w:tc>
          <w:tcPr>
            <w:tcW w:w="941" w:type="dxa"/>
            <w:tcBorders>
              <w:top w:val="single" w:color="auto" w:sz="4" w:space="0"/>
              <w:left w:val="nil"/>
              <w:bottom w:val="single" w:color="auto" w:sz="8"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537</w:t>
            </w:r>
          </w:p>
        </w:tc>
        <w:tc>
          <w:tcPr>
            <w:tcW w:w="941" w:type="dxa"/>
            <w:tcBorders>
              <w:top w:val="single" w:color="auto" w:sz="4" w:space="0"/>
              <w:left w:val="single" w:color="auto" w:sz="4" w:space="0"/>
              <w:bottom w:val="single" w:color="auto" w:sz="8"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517</w:t>
            </w:r>
          </w:p>
        </w:tc>
        <w:tc>
          <w:tcPr>
            <w:tcW w:w="941" w:type="dxa"/>
            <w:tcBorders>
              <w:top w:val="single" w:color="auto" w:sz="4" w:space="0"/>
              <w:left w:val="single" w:color="auto" w:sz="4" w:space="0"/>
              <w:bottom w:val="single" w:color="auto" w:sz="8" w:space="0"/>
              <w:right w:val="single" w:color="auto" w:sz="4" w:space="0"/>
            </w:tcBorders>
            <w:vAlign w:val="center"/>
          </w:tcPr>
          <w:p>
            <w:pPr>
              <w:jc w:val="center"/>
              <w:rPr>
                <w:rFonts w:eastAsia="Times New Roman" w:cs="Calibri"/>
                <w:color w:val="000000"/>
                <w:lang w:val="sr-Cyrl-RS"/>
              </w:rPr>
            </w:pPr>
            <w:r>
              <w:rPr>
                <w:rFonts w:eastAsia="Times New Roman" w:cs="Calibri"/>
                <w:color w:val="000000"/>
                <w:lang w:val="sr-Cyrl-RS"/>
              </w:rPr>
              <w:t>546</w:t>
            </w:r>
          </w:p>
        </w:tc>
        <w:tc>
          <w:tcPr>
            <w:tcW w:w="941" w:type="dxa"/>
            <w:tcBorders>
              <w:top w:val="single" w:color="auto" w:sz="4" w:space="0"/>
              <w:left w:val="single" w:color="auto" w:sz="4" w:space="0"/>
              <w:bottom w:val="single" w:color="auto" w:sz="8" w:space="0"/>
              <w:right w:val="single" w:color="auto" w:sz="8" w:space="0"/>
            </w:tcBorders>
            <w:vAlign w:val="center"/>
          </w:tcPr>
          <w:p>
            <w:pPr>
              <w:jc w:val="center"/>
              <w:rPr>
                <w:rFonts w:eastAsia="Times New Roman" w:cs="Calibri"/>
                <w:color w:val="000000"/>
                <w:lang w:val="bs-Latn-BA"/>
              </w:rPr>
            </w:pPr>
            <w:r>
              <w:rPr>
                <w:rFonts w:eastAsia="Times New Roman" w:cs="Calibri"/>
                <w:color w:val="000000"/>
                <w:lang w:val="bs-Latn-BA"/>
              </w:rPr>
              <w:t>584</w:t>
            </w:r>
          </w:p>
        </w:tc>
        <w:tc>
          <w:tcPr>
            <w:tcW w:w="941" w:type="dxa"/>
            <w:tcBorders>
              <w:top w:val="single" w:color="auto" w:sz="4" w:space="0"/>
              <w:left w:val="single" w:color="auto" w:sz="4" w:space="0"/>
              <w:bottom w:val="single" w:color="auto" w:sz="8" w:space="0"/>
              <w:right w:val="single" w:color="auto" w:sz="8" w:space="0"/>
            </w:tcBorders>
            <w:vAlign w:val="center"/>
          </w:tcPr>
          <w:p>
            <w:pPr>
              <w:jc w:val="center"/>
              <w:rPr>
                <w:rFonts w:eastAsia="Times New Roman" w:cs="Calibri"/>
                <w:color w:val="000000"/>
                <w:lang w:val="sr-Cyrl-RS"/>
              </w:rPr>
            </w:pPr>
            <w:r>
              <w:rPr>
                <w:rFonts w:eastAsia="Times New Roman" w:cs="Calibri"/>
                <w:color w:val="000000"/>
                <w:lang w:val="sr-Cyrl-RS"/>
              </w:rPr>
              <w:t>781</w:t>
            </w:r>
          </w:p>
        </w:tc>
      </w:tr>
    </w:tbl>
    <w:p>
      <w:pPr>
        <w:jc w:val="both"/>
        <w:rPr>
          <w:lang w:val="sr-Cyrl-RS"/>
        </w:rPr>
      </w:pPr>
    </w:p>
    <w:p>
      <w:pPr>
        <w:spacing w:after="120"/>
        <w:jc w:val="both"/>
        <w:rPr>
          <w:lang w:val="sr-Cyrl-BA"/>
        </w:rPr>
      </w:pPr>
      <w:r>
        <w:rPr>
          <w:b/>
          <w:lang w:val="sr-Cyrl-BA"/>
        </w:rPr>
        <w:t xml:space="preserve">Број привредних субјеката по секторима. </w:t>
      </w:r>
      <w:r>
        <w:rPr>
          <w:lang w:val="sr-Cyrl-BA"/>
        </w:rPr>
        <w:t xml:space="preserve">Највећи број привредних субјеката регистрован је за трговину (858), а за прерађивачку индустрију тек (353). Слиједи грађевинарство и ИКТ, док је број регистрованих </w:t>
      </w:r>
      <w:r>
        <w:rPr>
          <w:rFonts w:asciiTheme="minorHAnsi" w:hAnsiTheme="minorHAnsi" w:cstheme="minorHAnsi"/>
          <w:lang w:val="sr-Cyrl-CS"/>
        </w:rPr>
        <w:t>привредних</w:t>
      </w:r>
      <w:r>
        <w:rPr>
          <w:lang w:val="sr-Cyrl-BA"/>
        </w:rPr>
        <w:t xml:space="preserve"> субјеката у области пољопривреде, шумарства и риболова веома ниско заступљен.</w:t>
      </w:r>
    </w:p>
    <w:p>
      <w:pPr>
        <w:spacing w:after="120"/>
        <w:jc w:val="both"/>
        <w:rPr>
          <w:lang w:val="sr-Cyrl-BA"/>
        </w:rPr>
      </w:pPr>
      <w:r>
        <w:rPr>
          <w:b/>
          <w:lang w:val="sr-Cyrl-BA"/>
        </w:rPr>
        <w:t>Запошљавање</w:t>
      </w:r>
      <w:r>
        <w:rPr>
          <w:lang w:val="sr-Cyrl-BA"/>
        </w:rPr>
        <w:t xml:space="preserve">. Највише је запослених у трговини (2.966 или 18,9% од свих запослених), а затим у прерађивачкој </w:t>
      </w:r>
      <w:r>
        <w:rPr>
          <w:rFonts w:asciiTheme="minorHAnsi" w:hAnsiTheme="minorHAnsi" w:cstheme="minorHAnsi"/>
          <w:lang w:val="sr-Cyrl-CS"/>
        </w:rPr>
        <w:t>индустрији</w:t>
      </w:r>
      <w:r>
        <w:rPr>
          <w:lang w:val="sr-Cyrl-BA"/>
        </w:rPr>
        <w:t xml:space="preserve"> (9.092 или 19,4% свих запослених). Трећи највећи послодавац је ИКТ сектор, где 166 компанија запошљава чак 4.077 радника (8,5%).</w:t>
      </w:r>
    </w:p>
    <w:p>
      <w:pPr>
        <w:spacing w:after="120"/>
        <w:jc w:val="both"/>
        <w:rPr>
          <w:lang w:val="sr-Cyrl-BA"/>
        </w:rPr>
      </w:pPr>
      <w:r>
        <w:rPr>
          <w:b/>
          <w:lang w:val="sr-Cyrl-BA"/>
        </w:rPr>
        <w:t xml:space="preserve">Остварени приходи и добит. </w:t>
      </w:r>
      <w:r>
        <w:rPr>
          <w:lang w:val="sr-Cyrl-BA"/>
        </w:rPr>
        <w:t>Убједљиво највеће приходе остварује</w:t>
      </w:r>
      <w:r>
        <w:rPr>
          <w:lang w:val="sr-Latn-RS"/>
        </w:rPr>
        <w:t xml:space="preserve">, </w:t>
      </w:r>
      <w:r>
        <w:rPr>
          <w:lang w:val="sr-Cyrl-RS"/>
        </w:rPr>
        <w:t>поново,</w:t>
      </w:r>
      <w:r>
        <w:rPr>
          <w:lang w:val="sr-Cyrl-BA"/>
        </w:rPr>
        <w:t xml:space="preserve"> трговинска дјелатност, укључујући и највеће приходе по запосленом, као и удио овог сектора у укупним приходима од 37,7%. и </w:t>
      </w:r>
      <w:r>
        <w:rPr>
          <w:rFonts w:asciiTheme="minorHAnsi" w:hAnsiTheme="minorHAnsi" w:cstheme="minorHAnsi"/>
          <w:lang w:val="sr-Cyrl-CS"/>
        </w:rPr>
        <w:t>његов</w:t>
      </w:r>
      <w:r>
        <w:rPr>
          <w:lang w:val="sr-Cyrl-BA"/>
        </w:rPr>
        <w:t xml:space="preserve"> удио у укупној добити од 26,7%.  У прерађивачкој индустрији, добит је несразмерно мала у односу на укупне приходе, јер су у овом сектору и губици највећи. </w:t>
      </w:r>
    </w:p>
    <w:p>
      <w:pPr>
        <w:spacing w:after="120"/>
        <w:jc w:val="both"/>
        <w:rPr>
          <w:lang w:val="sr-Cyrl-BA"/>
        </w:rPr>
      </w:pPr>
      <w:r>
        <w:rPr>
          <w:b/>
          <w:lang w:val="sr-Cyrl-BA"/>
        </w:rPr>
        <w:t xml:space="preserve">Извозна дјелатност. </w:t>
      </w:r>
      <w:r>
        <w:rPr>
          <w:lang w:val="sr-Cyrl-BA"/>
        </w:rPr>
        <w:t xml:space="preserve">Статистика указује да се највећи извоз остварује у прерађивачкој индустрији, али више од 90% укупног извоза у овом сектору односи се на „лон“ послове, који се односе на извоз услуга и не </w:t>
      </w:r>
      <w:r>
        <w:rPr>
          <w:rFonts w:asciiTheme="minorHAnsi" w:hAnsiTheme="minorHAnsi" w:cstheme="minorHAnsi"/>
          <w:lang w:val="sr-Cyrl-CS"/>
        </w:rPr>
        <w:t>доносе</w:t>
      </w:r>
      <w:r>
        <w:rPr>
          <w:lang w:val="sr-Cyrl-BA"/>
        </w:rPr>
        <w:t xml:space="preserve"> значајне приходе привредним субјектима. Укупна извозна дјелатност у граду Бања Лука је недовољна, па је неопходно да се кроз разне подстицајне и друге мјере, укључујући и измјене законодавног оквира, побољшају услови за пословање привредних субјектима на иностраном тржишту.</w:t>
      </w:r>
    </w:p>
    <w:p>
      <w:pPr>
        <w:spacing w:after="120"/>
        <w:jc w:val="both"/>
        <w:rPr>
          <w:lang w:val="sr-Cyrl-BA"/>
        </w:rPr>
      </w:pPr>
      <w:r>
        <w:rPr>
          <w:b/>
          <w:lang w:val="sr-Cyrl-BA"/>
        </w:rPr>
        <w:t xml:space="preserve">Просјечна плата по </w:t>
      </w:r>
      <w:r>
        <w:rPr>
          <w:rFonts w:asciiTheme="minorHAnsi" w:hAnsiTheme="minorHAnsi" w:cstheme="minorHAnsi"/>
          <w:lang w:val="sr-Cyrl-CS"/>
        </w:rPr>
        <w:t>секторима</w:t>
      </w:r>
      <w:r>
        <w:rPr>
          <w:b/>
          <w:lang w:val="sr-Cyrl-BA"/>
        </w:rPr>
        <w:t xml:space="preserve">. </w:t>
      </w:r>
      <w:r>
        <w:rPr>
          <w:lang w:val="sr-Cyrl-BA"/>
        </w:rPr>
        <w:t>Најбоља зарада остварује се у ИКТ сектору, која је за око 1/3 већа у односу на зараду у осталим секторима.</w:t>
      </w:r>
    </w:p>
    <w:p>
      <w:pPr>
        <w:jc w:val="both"/>
        <w:rPr>
          <w:lang w:val="sr-Cyrl-BA"/>
        </w:rPr>
      </w:pPr>
    </w:p>
    <w:p>
      <w:pPr>
        <w:jc w:val="both"/>
        <w:rPr>
          <w:rFonts w:asciiTheme="minorHAnsi" w:hAnsiTheme="minorHAnsi" w:cstheme="minorHAnsi"/>
          <w:bCs/>
          <w:lang w:val="sr-Cyrl-CS"/>
        </w:rPr>
      </w:pPr>
      <w:r>
        <w:rPr>
          <w:b/>
          <w:i/>
        </w:rPr>
        <w:t>Инвестиције</w:t>
      </w:r>
      <w:r>
        <w:rPr>
          <w:b/>
          <w:i/>
          <w:lang w:val="sr-Cyrl-RS"/>
        </w:rPr>
        <w:t xml:space="preserve">. </w:t>
      </w:r>
      <w:r>
        <w:rPr>
          <w:rFonts w:asciiTheme="minorHAnsi" w:hAnsiTheme="minorHAnsi" w:cstheme="minorHAnsi"/>
          <w:lang w:val="sr-Cyrl-CS"/>
        </w:rPr>
        <w:t xml:space="preserve">Посматрајући вриједност инвестиција реализованих на подручју града Бања Лука у периоду од 2012. до 2016. године, уочава се да је највећа вриједност реализованих инвестиција остварена 2013. године (645,5 милиона КМ) и 2016. године (544,8 милиона КМ), а тиме и највеће учешће вриједности инвестиција града Бања Лука у инвестицијама </w:t>
      </w:r>
      <w:r>
        <w:rPr>
          <w:rFonts w:asciiTheme="minorHAnsi" w:hAnsiTheme="minorHAnsi" w:cstheme="minorHAnsi"/>
          <w:bCs/>
          <w:lang w:val="sr-Cyrl-CS"/>
        </w:rPr>
        <w:t xml:space="preserve">Републике Српске (41,8% у 2013. години и 32,7% у 2016. години). </w:t>
      </w:r>
    </w:p>
    <w:p>
      <w:pPr>
        <w:jc w:val="both"/>
        <w:rPr>
          <w:rFonts w:asciiTheme="minorHAnsi" w:hAnsiTheme="minorHAnsi" w:cstheme="minorHAnsi"/>
          <w:bCs/>
          <w:lang w:val="sr-Cyrl-CS"/>
        </w:rPr>
      </w:pPr>
    </w:p>
    <w:p>
      <w:pPr>
        <w:spacing w:after="120"/>
        <w:jc w:val="both"/>
        <w:rPr>
          <w:rFonts w:asciiTheme="minorHAnsi" w:hAnsiTheme="minorHAnsi" w:cstheme="minorHAnsi"/>
          <w:lang w:val="sr-Cyrl-CS"/>
        </w:rPr>
      </w:pPr>
      <w:r>
        <w:rPr>
          <w:rFonts w:asciiTheme="minorHAnsi" w:hAnsiTheme="minorHAnsi" w:cstheme="minorHAnsi"/>
        </w:rPr>
        <w:t>С аспекта карактера изградње, на изградњу нових капацитета односи се</w:t>
      </w:r>
      <w:r>
        <w:rPr>
          <w:rFonts w:asciiTheme="minorHAnsi" w:hAnsiTheme="minorHAnsi" w:cstheme="minorHAnsi"/>
          <w:lang w:val="sr-Cyrl-CS"/>
        </w:rPr>
        <w:t xml:space="preserve"> више од 50</w:t>
      </w:r>
      <w:r>
        <w:rPr>
          <w:rFonts w:asciiTheme="minorHAnsi" w:hAnsiTheme="minorHAnsi" w:cstheme="minorHAnsi"/>
        </w:rPr>
        <w:t>%</w:t>
      </w:r>
      <w:r>
        <w:rPr>
          <w:rFonts w:asciiTheme="minorHAnsi" w:hAnsiTheme="minorHAnsi" w:cstheme="minorHAnsi"/>
          <w:lang w:val="sr-Cyrl-CS"/>
        </w:rPr>
        <w:t xml:space="preserve"> вриједности инвестиција</w:t>
      </w:r>
      <w:r>
        <w:rPr>
          <w:rFonts w:asciiTheme="minorHAnsi" w:hAnsiTheme="minorHAnsi" w:cstheme="minorHAnsi"/>
        </w:rPr>
        <w:t xml:space="preserve">, на </w:t>
      </w:r>
      <w:r>
        <w:rPr>
          <w:rFonts w:asciiTheme="minorHAnsi" w:hAnsiTheme="minorHAnsi" w:cstheme="minorHAnsi"/>
          <w:lang w:val="sr-Cyrl-CS"/>
        </w:rPr>
        <w:t>реконструкцију</w:t>
      </w:r>
      <w:r>
        <w:rPr>
          <w:rFonts w:asciiTheme="minorHAnsi" w:hAnsiTheme="minorHAnsi" w:cstheme="minorHAnsi"/>
        </w:rPr>
        <w:t>, модернизацију и проширење</w:t>
      </w:r>
      <w:r>
        <w:rPr>
          <w:rFonts w:asciiTheme="minorHAnsi" w:hAnsiTheme="minorHAnsi" w:cstheme="minorHAnsi"/>
          <w:lang w:val="sr-Cyrl-CS"/>
        </w:rPr>
        <w:t xml:space="preserve"> око 40%</w:t>
      </w:r>
      <w:r>
        <w:rPr>
          <w:rFonts w:asciiTheme="minorHAnsi" w:hAnsiTheme="minorHAnsi" w:cstheme="minorHAnsi"/>
        </w:rPr>
        <w:t>, а на одржавање</w:t>
      </w:r>
      <w:r>
        <w:rPr>
          <w:rFonts w:asciiTheme="minorHAnsi" w:hAnsiTheme="minorHAnsi" w:cstheme="minorHAnsi"/>
          <w:lang w:val="sr-Cyrl-CS"/>
        </w:rPr>
        <w:t xml:space="preserve"> постојећих капацитета до 10%. Са становишта техничке структуре, највеће учешће имају инвестиције у машине, опрему и транспортна средства (око 50%) и инвестиције у грађевинске објекте (до 40%). </w:t>
      </w:r>
    </w:p>
    <w:tbl>
      <w:tblPr>
        <w:tblStyle w:val="37"/>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870"/>
        <w:gridCol w:w="1870"/>
        <w:gridCol w:w="1870"/>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0" w:type="dxa"/>
            <w:gridSpan w:val="5"/>
            <w:shd w:val="clear" w:color="auto" w:fill="385623" w:themeFill="accent6" w:themeFillShade="80"/>
          </w:tcPr>
          <w:p>
            <w:pPr>
              <w:jc w:val="center"/>
              <w:rPr>
                <w:rFonts w:asciiTheme="minorHAnsi" w:hAnsiTheme="minorHAnsi" w:cstheme="minorHAnsi"/>
                <w:color w:val="FFFFFF" w:themeColor="background1"/>
                <w:lang w:val="sr-Cyrl-CS"/>
                <w14:textFill>
                  <w14:solidFill>
                    <w14:schemeClr w14:val="bg1"/>
                  </w14:solidFill>
                </w14:textFill>
              </w:rPr>
            </w:pPr>
            <w:r>
              <w:rPr>
                <w:rFonts w:asciiTheme="minorHAnsi" w:hAnsiTheme="minorHAnsi" w:cstheme="minorHAnsi"/>
                <w:b/>
                <w:bCs/>
                <w:color w:val="FFFFFF" w:themeColor="background1"/>
                <w:lang w:val="sr-Cyrl-CS"/>
                <w14:textFill>
                  <w14:solidFill>
                    <w14:schemeClr w14:val="bg1"/>
                  </w14:solidFill>
                </w14:textFill>
              </w:rPr>
              <w:t>Преглед реализованих инвестиција у периоду 2012-2016.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vMerge w:val="restart"/>
            <w:shd w:val="clear" w:color="auto" w:fill="A8D08D" w:themeFill="accent6" w:themeFillTint="99"/>
          </w:tcPr>
          <w:p>
            <w:pPr>
              <w:jc w:val="center"/>
              <w:rPr>
                <w:rFonts w:asciiTheme="minorHAnsi" w:hAnsiTheme="minorHAnsi" w:cstheme="minorHAnsi"/>
                <w:b/>
                <w:bCs/>
                <w:sz w:val="18"/>
                <w:szCs w:val="18"/>
              </w:rPr>
            </w:pPr>
          </w:p>
          <w:p>
            <w:pPr>
              <w:jc w:val="center"/>
              <w:rPr>
                <w:rFonts w:asciiTheme="minorHAnsi" w:hAnsiTheme="minorHAnsi" w:cstheme="minorHAnsi"/>
                <w:b/>
                <w:lang w:val="sr-Cyrl-CS"/>
              </w:rPr>
            </w:pPr>
            <w:r>
              <w:rPr>
                <w:rFonts w:asciiTheme="minorHAnsi" w:hAnsiTheme="minorHAnsi" w:cstheme="minorHAnsi"/>
                <w:b/>
                <w:bCs/>
                <w:sz w:val="18"/>
                <w:szCs w:val="18"/>
                <w:lang w:val="sr-Cyrl-CS"/>
              </w:rPr>
              <w:t>Година</w:t>
            </w:r>
          </w:p>
        </w:tc>
        <w:tc>
          <w:tcPr>
            <w:tcW w:w="5610" w:type="dxa"/>
            <w:gridSpan w:val="3"/>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bCs/>
                <w:sz w:val="18"/>
                <w:szCs w:val="18"/>
                <w:lang w:val="sr-Cyrl-CS"/>
              </w:rPr>
              <w:t>Вриједност у КМ</w:t>
            </w:r>
          </w:p>
        </w:tc>
        <w:tc>
          <w:tcPr>
            <w:tcW w:w="1870" w:type="dxa"/>
            <w:vMerge w:val="restart"/>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bCs/>
                <w:sz w:val="18"/>
                <w:szCs w:val="18"/>
                <w:lang w:val="sr-Cyrl-CS"/>
              </w:rPr>
              <w:t>Учешће града Бања Лука у РС 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vMerge w:val="continue"/>
          </w:tcPr>
          <w:p>
            <w:pPr>
              <w:jc w:val="both"/>
              <w:rPr>
                <w:rFonts w:asciiTheme="minorHAnsi" w:hAnsiTheme="minorHAnsi" w:cstheme="minorHAnsi"/>
                <w:lang w:val="sr-Cyrl-CS"/>
              </w:rPr>
            </w:pPr>
          </w:p>
        </w:tc>
        <w:tc>
          <w:tcPr>
            <w:tcW w:w="1870" w:type="dxa"/>
            <w:vMerge w:val="restart"/>
            <w:shd w:val="clear" w:color="auto" w:fill="A8D08D" w:themeFill="accent6" w:themeFillTint="99"/>
          </w:tcPr>
          <w:p>
            <w:pPr>
              <w:jc w:val="center"/>
              <w:rPr>
                <w:rFonts w:asciiTheme="minorHAnsi" w:hAnsiTheme="minorHAnsi" w:cstheme="minorHAnsi"/>
                <w:bCs/>
                <w:sz w:val="18"/>
                <w:szCs w:val="18"/>
                <w:lang w:val="sr-Cyrl-CS"/>
              </w:rPr>
            </w:pPr>
            <w:r>
              <w:rPr>
                <w:rFonts w:asciiTheme="minorHAnsi" w:hAnsiTheme="minorHAnsi" w:cstheme="minorHAnsi"/>
                <w:bCs/>
                <w:sz w:val="18"/>
                <w:szCs w:val="18"/>
                <w:lang w:val="sr-Cyrl-CS"/>
              </w:rPr>
              <w:t>Република</w:t>
            </w:r>
          </w:p>
          <w:p>
            <w:pPr>
              <w:jc w:val="center"/>
              <w:rPr>
                <w:rFonts w:asciiTheme="minorHAnsi" w:hAnsiTheme="minorHAnsi" w:cstheme="minorHAnsi"/>
                <w:lang w:val="sr-Cyrl-CS"/>
              </w:rPr>
            </w:pPr>
            <w:r>
              <w:rPr>
                <w:rFonts w:asciiTheme="minorHAnsi" w:hAnsiTheme="minorHAnsi" w:cstheme="minorHAnsi"/>
                <w:bCs/>
                <w:sz w:val="18"/>
                <w:szCs w:val="18"/>
                <w:lang w:val="sr-Cyrl-CS"/>
              </w:rPr>
              <w:t>Српска</w:t>
            </w:r>
          </w:p>
        </w:tc>
        <w:tc>
          <w:tcPr>
            <w:tcW w:w="3740" w:type="dxa"/>
            <w:gridSpan w:val="2"/>
            <w:shd w:val="clear" w:color="auto" w:fill="A8D08D" w:themeFill="accent6" w:themeFillTint="99"/>
          </w:tcPr>
          <w:p>
            <w:pPr>
              <w:jc w:val="center"/>
              <w:rPr>
                <w:rFonts w:asciiTheme="minorHAnsi" w:hAnsiTheme="minorHAnsi" w:cstheme="minorHAnsi"/>
                <w:lang w:val="sr-Cyrl-CS"/>
              </w:rPr>
            </w:pPr>
            <w:r>
              <w:rPr>
                <w:lang w:val="sr-Cyrl-BA"/>
              </w:rPr>
              <w:t>Бања Лука</w:t>
            </w:r>
          </w:p>
        </w:tc>
        <w:tc>
          <w:tcPr>
            <w:tcW w:w="1870" w:type="dxa"/>
            <w:vMerge w:val="continue"/>
          </w:tcPr>
          <w:p>
            <w:pPr>
              <w:jc w:val="both"/>
              <w:rPr>
                <w:rFonts w:asciiTheme="minorHAnsi" w:hAnsiTheme="minorHAnsi" w:cstheme="minorHAnsi"/>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vMerge w:val="continue"/>
          </w:tcPr>
          <w:p>
            <w:pPr>
              <w:jc w:val="both"/>
              <w:rPr>
                <w:rFonts w:asciiTheme="minorHAnsi" w:hAnsiTheme="minorHAnsi" w:cstheme="minorHAnsi"/>
                <w:lang w:val="sr-Cyrl-CS"/>
              </w:rPr>
            </w:pPr>
          </w:p>
        </w:tc>
        <w:tc>
          <w:tcPr>
            <w:tcW w:w="1870" w:type="dxa"/>
            <w:vMerge w:val="continue"/>
          </w:tcPr>
          <w:p>
            <w:pPr>
              <w:jc w:val="both"/>
              <w:rPr>
                <w:rFonts w:asciiTheme="minorHAnsi" w:hAnsiTheme="minorHAnsi" w:cstheme="minorHAnsi"/>
                <w:lang w:val="sr-Cyrl-CS"/>
              </w:rPr>
            </w:pPr>
          </w:p>
        </w:tc>
        <w:tc>
          <w:tcPr>
            <w:tcW w:w="1870" w:type="dxa"/>
            <w:shd w:val="clear" w:color="auto" w:fill="A8D08D" w:themeFill="accent6" w:themeFillTint="99"/>
          </w:tcPr>
          <w:p>
            <w:pPr>
              <w:jc w:val="center"/>
              <w:rPr>
                <w:rFonts w:asciiTheme="minorHAnsi" w:hAnsiTheme="minorHAnsi" w:cstheme="minorHAnsi"/>
                <w:bCs/>
                <w:sz w:val="18"/>
                <w:szCs w:val="18"/>
                <w:lang w:val="sr-Cyrl-CS"/>
              </w:rPr>
            </w:pPr>
            <w:r>
              <w:rPr>
                <w:rFonts w:asciiTheme="minorHAnsi" w:hAnsiTheme="minorHAnsi" w:cstheme="minorHAnsi"/>
                <w:bCs/>
                <w:sz w:val="18"/>
                <w:szCs w:val="18"/>
                <w:lang w:val="sr-Cyrl-CS"/>
              </w:rPr>
              <w:t>Износ у КМ</w:t>
            </w:r>
          </w:p>
        </w:tc>
        <w:tc>
          <w:tcPr>
            <w:tcW w:w="1870" w:type="dxa"/>
            <w:shd w:val="clear" w:color="auto" w:fill="A8D08D" w:themeFill="accent6" w:themeFillTint="99"/>
          </w:tcPr>
          <w:p>
            <w:pPr>
              <w:jc w:val="center"/>
              <w:rPr>
                <w:rFonts w:asciiTheme="minorHAnsi" w:hAnsiTheme="minorHAnsi" w:cstheme="minorHAnsi"/>
                <w:bCs/>
                <w:sz w:val="18"/>
                <w:szCs w:val="18"/>
                <w:lang w:val="sr-Cyrl-CS"/>
              </w:rPr>
            </w:pPr>
            <w:r>
              <w:rPr>
                <w:rFonts w:asciiTheme="minorHAnsi" w:hAnsiTheme="minorHAnsi" w:cstheme="minorHAnsi"/>
                <w:bCs/>
                <w:sz w:val="18"/>
                <w:szCs w:val="18"/>
                <w:lang w:val="sr-Cyrl-CS"/>
              </w:rPr>
              <w:t>Ланчани индекс</w:t>
            </w:r>
          </w:p>
        </w:tc>
        <w:tc>
          <w:tcPr>
            <w:tcW w:w="1870" w:type="dxa"/>
            <w:vMerge w:val="continue"/>
          </w:tcPr>
          <w:p>
            <w:pPr>
              <w:jc w:val="both"/>
              <w:rPr>
                <w:rFonts w:asciiTheme="minorHAnsi" w:hAnsiTheme="minorHAnsi" w:cstheme="minorHAnsi"/>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tcPr>
          <w:p>
            <w:pPr>
              <w:jc w:val="center"/>
              <w:rPr>
                <w:rFonts w:asciiTheme="minorHAnsi" w:hAnsiTheme="minorHAnsi" w:cstheme="minorHAnsi"/>
                <w:b/>
                <w:bCs/>
                <w:sz w:val="18"/>
                <w:szCs w:val="18"/>
                <w:lang w:val="sr-Cyrl-CS"/>
              </w:rPr>
            </w:pPr>
            <w:r>
              <w:rPr>
                <w:rFonts w:asciiTheme="minorHAnsi" w:hAnsiTheme="minorHAnsi" w:cstheme="minorHAnsi"/>
                <w:b/>
                <w:bCs/>
                <w:sz w:val="18"/>
                <w:szCs w:val="18"/>
                <w:lang w:val="sr-Cyrl-CS"/>
              </w:rPr>
              <w:t>2012</w:t>
            </w:r>
          </w:p>
        </w:tc>
        <w:tc>
          <w:tcPr>
            <w:tcW w:w="1870" w:type="dxa"/>
          </w:tcPr>
          <w:p>
            <w:pPr>
              <w:jc w:val="right"/>
              <w:rPr>
                <w:rFonts w:asciiTheme="minorHAnsi" w:hAnsiTheme="minorHAnsi" w:cstheme="minorHAnsi"/>
                <w:bCs/>
                <w:sz w:val="18"/>
                <w:szCs w:val="18"/>
              </w:rPr>
            </w:pPr>
            <w:r>
              <w:rPr>
                <w:rFonts w:eastAsia="Times New Roman" w:asciiTheme="minorHAnsi" w:hAnsiTheme="minorHAnsi" w:cstheme="minorHAnsi"/>
                <w:sz w:val="18"/>
                <w:szCs w:val="18"/>
              </w:rPr>
              <w:t>1</w:t>
            </w:r>
            <w:r>
              <w:rPr>
                <w:rFonts w:eastAsia="Times New Roman" w:asciiTheme="minorHAnsi" w:hAnsiTheme="minorHAnsi" w:cstheme="minorHAnsi"/>
                <w:sz w:val="18"/>
                <w:szCs w:val="18"/>
                <w:lang w:val="sr-Cyrl-CS"/>
              </w:rPr>
              <w:t>.</w:t>
            </w:r>
            <w:r>
              <w:rPr>
                <w:rFonts w:eastAsia="Times New Roman" w:asciiTheme="minorHAnsi" w:hAnsiTheme="minorHAnsi" w:cstheme="minorHAnsi"/>
                <w:sz w:val="18"/>
                <w:szCs w:val="18"/>
              </w:rPr>
              <w:t>63</w:t>
            </w:r>
            <w:r>
              <w:rPr>
                <w:rFonts w:eastAsia="Times New Roman" w:asciiTheme="minorHAnsi" w:hAnsiTheme="minorHAnsi" w:cstheme="minorHAnsi"/>
                <w:sz w:val="18"/>
                <w:szCs w:val="18"/>
                <w:lang w:val="sr-Cyrl-CS"/>
              </w:rPr>
              <w:t>0.</w:t>
            </w:r>
            <w:r>
              <w:rPr>
                <w:rFonts w:eastAsia="Times New Roman" w:asciiTheme="minorHAnsi" w:hAnsiTheme="minorHAnsi" w:cstheme="minorHAnsi"/>
                <w:sz w:val="18"/>
                <w:szCs w:val="18"/>
              </w:rPr>
              <w:t>244.000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499.593.000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105,2</w:t>
            </w:r>
          </w:p>
        </w:tc>
        <w:tc>
          <w:tcPr>
            <w:tcW w:w="1870" w:type="dxa"/>
          </w:tcPr>
          <w:p>
            <w:pPr>
              <w:jc w:val="right"/>
              <w:rPr>
                <w:rFonts w:asciiTheme="minorHAnsi" w:hAnsiTheme="minorHAnsi" w:cstheme="minorHAnsi"/>
                <w:bCs/>
                <w:sz w:val="18"/>
                <w:szCs w:val="18"/>
              </w:rPr>
            </w:pPr>
            <w:r>
              <w:rPr>
                <w:rFonts w:asciiTheme="minorHAnsi" w:hAnsiTheme="minorHAnsi" w:cstheme="minorHAnsi"/>
                <w:bCs/>
                <w:sz w:val="18"/>
                <w:szCs w:val="18"/>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tcPr>
          <w:p>
            <w:pPr>
              <w:jc w:val="center"/>
              <w:rPr>
                <w:rFonts w:asciiTheme="minorHAnsi" w:hAnsiTheme="minorHAnsi" w:cstheme="minorHAnsi"/>
                <w:b/>
                <w:bCs/>
                <w:sz w:val="18"/>
                <w:szCs w:val="18"/>
                <w:lang w:val="sr-Cyrl-CS"/>
              </w:rPr>
            </w:pPr>
            <w:r>
              <w:rPr>
                <w:rFonts w:asciiTheme="minorHAnsi" w:hAnsiTheme="minorHAnsi" w:cstheme="minorHAnsi"/>
                <w:b/>
                <w:bCs/>
                <w:sz w:val="18"/>
                <w:szCs w:val="18"/>
                <w:lang w:val="sr-Cyrl-CS"/>
              </w:rPr>
              <w:t>2013</w:t>
            </w:r>
          </w:p>
        </w:tc>
        <w:tc>
          <w:tcPr>
            <w:tcW w:w="1870" w:type="dxa"/>
          </w:tcPr>
          <w:p>
            <w:pPr>
              <w:jc w:val="right"/>
              <w:rPr>
                <w:rFonts w:asciiTheme="minorHAnsi" w:hAnsiTheme="minorHAnsi" w:cstheme="minorHAnsi"/>
                <w:bCs/>
                <w:sz w:val="18"/>
                <w:szCs w:val="18"/>
              </w:rPr>
            </w:pPr>
            <w:r>
              <w:rPr>
                <w:rFonts w:asciiTheme="minorHAnsi" w:hAnsiTheme="minorHAnsi" w:cstheme="minorHAnsi"/>
                <w:bCs/>
                <w:sz w:val="18"/>
                <w:szCs w:val="18"/>
              </w:rPr>
              <w:t>1.5</w:t>
            </w:r>
            <w:r>
              <w:rPr>
                <w:rFonts w:asciiTheme="minorHAnsi" w:hAnsiTheme="minorHAnsi" w:cstheme="minorHAnsi"/>
                <w:bCs/>
                <w:sz w:val="18"/>
                <w:szCs w:val="18"/>
                <w:lang w:val="sr-Cyrl-CS"/>
              </w:rPr>
              <w:t>46</w:t>
            </w:r>
            <w:r>
              <w:rPr>
                <w:rFonts w:asciiTheme="minorHAnsi" w:hAnsiTheme="minorHAnsi" w:cstheme="minorHAnsi"/>
                <w:bCs/>
                <w:sz w:val="18"/>
                <w:szCs w:val="18"/>
              </w:rPr>
              <w:t>.</w:t>
            </w:r>
            <w:r>
              <w:rPr>
                <w:rFonts w:asciiTheme="minorHAnsi" w:hAnsiTheme="minorHAnsi" w:cstheme="minorHAnsi"/>
                <w:bCs/>
                <w:sz w:val="18"/>
                <w:szCs w:val="18"/>
                <w:lang w:val="sr-Cyrl-CS"/>
              </w:rPr>
              <w:t>014</w:t>
            </w:r>
            <w:r>
              <w:rPr>
                <w:rFonts w:asciiTheme="minorHAnsi" w:hAnsiTheme="minorHAnsi" w:cstheme="minorHAnsi"/>
                <w:bCs/>
                <w:sz w:val="18"/>
                <w:szCs w:val="18"/>
              </w:rPr>
              <w:t>.000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645.503.000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129,2</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rPr>
              <w:t>4</w:t>
            </w:r>
            <w:r>
              <w:rPr>
                <w:rFonts w:asciiTheme="minorHAnsi" w:hAnsiTheme="minorHAnsi" w:cstheme="minorHAnsi"/>
                <w:bCs/>
                <w:sz w:val="18"/>
                <w:szCs w:val="18"/>
                <w:lang w:val="sr-Cyrl-CS"/>
              </w:rPr>
              <w:t>1</w:t>
            </w:r>
            <w:r>
              <w:rPr>
                <w:rFonts w:asciiTheme="minorHAnsi" w:hAnsiTheme="minorHAnsi" w:cstheme="minorHAnsi"/>
                <w:bCs/>
                <w:sz w:val="18"/>
                <w:szCs w:val="18"/>
              </w:rPr>
              <w:t>,</w:t>
            </w:r>
            <w:r>
              <w:rPr>
                <w:rFonts w:asciiTheme="minorHAnsi" w:hAnsiTheme="minorHAnsi" w:cstheme="minorHAnsi"/>
                <w:bCs/>
                <w:sz w:val="18"/>
                <w:szCs w:val="18"/>
                <w:lang w:val="sr-Cyrl-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tcPr>
          <w:p>
            <w:pPr>
              <w:jc w:val="center"/>
              <w:rPr>
                <w:rFonts w:asciiTheme="minorHAnsi" w:hAnsiTheme="minorHAnsi" w:cstheme="minorHAnsi"/>
                <w:b/>
                <w:bCs/>
                <w:sz w:val="18"/>
                <w:szCs w:val="18"/>
                <w:lang w:val="sr-Cyrl-CS"/>
              </w:rPr>
            </w:pPr>
            <w:r>
              <w:rPr>
                <w:rFonts w:asciiTheme="minorHAnsi" w:hAnsiTheme="minorHAnsi" w:cstheme="minorHAnsi"/>
                <w:b/>
                <w:bCs/>
                <w:sz w:val="18"/>
                <w:szCs w:val="18"/>
                <w:lang w:val="sr-Cyrl-CS"/>
              </w:rPr>
              <w:t>2014</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1.995.499.000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357.246.000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55,3</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tcPr>
          <w:p>
            <w:pPr>
              <w:jc w:val="center"/>
              <w:rPr>
                <w:rFonts w:asciiTheme="minorHAnsi" w:hAnsiTheme="minorHAnsi" w:cstheme="minorHAnsi"/>
                <w:b/>
                <w:bCs/>
                <w:sz w:val="18"/>
                <w:szCs w:val="18"/>
                <w:lang w:val="sr-Cyrl-CS"/>
              </w:rPr>
            </w:pPr>
            <w:r>
              <w:rPr>
                <w:rFonts w:asciiTheme="minorHAnsi" w:hAnsiTheme="minorHAnsi" w:cstheme="minorHAnsi"/>
                <w:b/>
                <w:bCs/>
                <w:sz w:val="18"/>
                <w:szCs w:val="18"/>
                <w:lang w:val="sr-Cyrl-CS"/>
              </w:rPr>
              <w:t>2015</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1.650.506.000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402.464.000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112,7</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tcPr>
          <w:p>
            <w:pPr>
              <w:jc w:val="center"/>
              <w:rPr>
                <w:rFonts w:asciiTheme="minorHAnsi" w:hAnsiTheme="minorHAnsi" w:cstheme="minorHAnsi"/>
                <w:b/>
                <w:bCs/>
                <w:sz w:val="18"/>
                <w:szCs w:val="18"/>
              </w:rPr>
            </w:pPr>
            <w:r>
              <w:rPr>
                <w:rFonts w:asciiTheme="minorHAnsi" w:hAnsiTheme="minorHAnsi" w:cstheme="minorHAnsi"/>
                <w:b/>
                <w:bCs/>
                <w:sz w:val="18"/>
                <w:szCs w:val="18"/>
              </w:rPr>
              <w:t>2016</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1.668.689.000</w:t>
            </w:r>
          </w:p>
        </w:tc>
        <w:tc>
          <w:tcPr>
            <w:tcW w:w="1870" w:type="dxa"/>
          </w:tcPr>
          <w:p>
            <w:pPr>
              <w:jc w:val="right"/>
              <w:rPr>
                <w:rFonts w:asciiTheme="minorHAnsi" w:hAnsiTheme="minorHAnsi" w:cstheme="minorHAnsi"/>
                <w:bCs/>
                <w:sz w:val="18"/>
                <w:szCs w:val="18"/>
              </w:rPr>
            </w:pPr>
            <w:r>
              <w:rPr>
                <w:rFonts w:asciiTheme="minorHAnsi" w:hAnsiTheme="minorHAnsi" w:cstheme="minorHAnsi"/>
                <w:bCs/>
                <w:sz w:val="18"/>
                <w:szCs w:val="18"/>
              </w:rPr>
              <w:t>544.868.000</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135,4</w:t>
            </w:r>
          </w:p>
        </w:tc>
        <w:tc>
          <w:tcPr>
            <w:tcW w:w="1870" w:type="dxa"/>
          </w:tcPr>
          <w:p>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32,7</w:t>
            </w:r>
          </w:p>
        </w:tc>
      </w:tr>
    </w:tbl>
    <w:p>
      <w:pPr>
        <w:jc w:val="both"/>
        <w:rPr>
          <w:rFonts w:asciiTheme="minorHAnsi" w:hAnsiTheme="minorHAnsi" w:cstheme="minorHAnsi"/>
          <w:i/>
          <w:sz w:val="18"/>
          <w:szCs w:val="18"/>
          <w:lang w:val="sr-Cyrl-CS"/>
        </w:rPr>
      </w:pPr>
      <w:r>
        <w:rPr>
          <w:rFonts w:asciiTheme="minorHAnsi" w:hAnsiTheme="minorHAnsi" w:cstheme="minorHAnsi"/>
          <w:i/>
          <w:sz w:val="18"/>
          <w:szCs w:val="18"/>
          <w:lang w:val="sr-Cyrl-CS"/>
        </w:rPr>
        <w:t>Извор: Републички завод за статистику</w:t>
      </w:r>
    </w:p>
    <w:p>
      <w:pPr>
        <w:jc w:val="both"/>
        <w:rPr>
          <w:rFonts w:asciiTheme="minorHAnsi" w:hAnsiTheme="minorHAnsi" w:cstheme="minorHAnsi"/>
          <w:i/>
          <w:sz w:val="18"/>
          <w:szCs w:val="18"/>
          <w:lang w:val="sr-Cyrl-CS"/>
        </w:rPr>
      </w:pPr>
    </w:p>
    <w:p>
      <w:pPr>
        <w:spacing w:after="120"/>
        <w:jc w:val="both"/>
        <w:rPr>
          <w:rFonts w:asciiTheme="minorHAnsi" w:hAnsiTheme="minorHAnsi" w:cstheme="minorHAnsi"/>
          <w:lang w:val="sr-Cyrl-CS"/>
        </w:rPr>
      </w:pPr>
      <w:r>
        <w:rPr>
          <w:rFonts w:asciiTheme="minorHAnsi" w:hAnsiTheme="minorHAnsi" w:cstheme="minorHAnsi"/>
          <w:lang w:val="sr-Cyrl-CS"/>
        </w:rPr>
        <w:t>Најзначајније реализоване инвестиције на подручју града Бања Лука у периоду од 2012. године су:</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Реализација пројеката водоснабдијевања и отпадних вода: окончана II фаза Фабрике воде Новоселија 2 (вриједност пројекта 7,6 милиона КМ) и пројекта „Градски систем водоснабдијевања и одвођења отпадних вода у граду Бања Лука“, уз учешће кредитних средстава KFW банке и донација EU и Владе Њемачке, вриједност пројекта 40 милиона КМ (планирана изградња постројења за пречишћавање отпадних вода и наставак изградње преосталих 5 km главног колектора-процијењена вриједност пројекта 50 милиона €),</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Етапна изградња Централног градског гробља у Врбањи (завршена прва фаза, вриједност инвестиције 17,1 милион КМ),</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Санација и проширење регионалне депоније у Рамићима (у прве двије фазе уложено 16 милиона КМ),</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 xml:space="preserve">Адаптација комплекса бившег пословног система „Унис-Ваљаоница ХВТ“ у Пословну зону „Бања Лука-Рамићи“ (у куповину имовине и инфраструктурно уређење уложено око 8 милиона КМ, а у изградњу производно-складишних објеката 12 милиона КМ),  </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Изградња Технолошког центра за производњу софтвера и хардвера на површини од 10 хиљада m2 у кругу Пословне зоне „Инцел“ (инвеститор „Lanaco“, вриједност инвестиције 17 милиона КМ),</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Изградња двије рејонске топлане (9 милиона КМ) и „Еко-Топлане“ на дрвну сјечку (31 милион КМ),</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Изградња пословног објекта Инвестиционо-развојне банке РС (вриједност инвестиције 5,2 милиона КМ),</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Изградња пословне зграде Централне банке БиХ у Бања Луци (вриједност пројекта 13,72 милиона КМ),</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 xml:space="preserve">Изградња и опремање амбулантно-поликлиничког блока Јужно крило УКЦ Бања Лука (вриједност инвестиције 25 милиона $, у оквиру пројеката: Кореја 3 и „Модернизација болница у РС“), </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Изградња нове зграде Основног суда и реконструкција и модернизација зграде Окружног суда у Бања Луци (вриједност инвестиција 5,2 милиона КМ, уз учешће средстава Европске комисије),</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Изградња продајног објекта „Centrum“, површине 13.500 m2, инвеститор компанија „Centrum trade“;</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 xml:space="preserve">Изградња тржног центра „Emporium“, површине 12.000 m2, с хотелом „Јелена“, инвеститор компанија „Слобопром“, </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Изградња пословне зграде „Euroherc“, површине 20.900 m2, инвеститор концерн „Agram“,</w:t>
      </w:r>
    </w:p>
    <w:p>
      <w:pPr>
        <w:pStyle w:val="46"/>
        <w:numPr>
          <w:ilvl w:val="0"/>
          <w:numId w:val="8"/>
        </w:numPr>
        <w:spacing w:after="120"/>
        <w:jc w:val="left"/>
        <w:rPr>
          <w:rFonts w:asciiTheme="minorHAnsi" w:hAnsiTheme="minorHAnsi" w:cstheme="minorHAnsi"/>
          <w:lang w:val="sr-Cyrl-CS"/>
        </w:rPr>
      </w:pPr>
      <w:r>
        <w:rPr>
          <w:rFonts w:asciiTheme="minorHAnsi" w:hAnsiTheme="minorHAnsi" w:cstheme="minorHAnsi"/>
          <w:lang w:val="sr-Cyrl-CS"/>
        </w:rPr>
        <w:t>Етапна изградња трговачког центра Delta City (површина 62,5 хиљада m2, вриједност инвестиције 70 милиона €),</w:t>
      </w:r>
    </w:p>
    <w:p>
      <w:pPr>
        <w:pStyle w:val="46"/>
        <w:numPr>
          <w:ilvl w:val="0"/>
          <w:numId w:val="8"/>
        </w:numPr>
        <w:spacing w:after="120"/>
        <w:jc w:val="left"/>
        <w:rPr>
          <w:rFonts w:asciiTheme="minorHAnsi" w:hAnsiTheme="minorHAnsi" w:cstheme="minorHAnsi"/>
          <w:bCs/>
          <w:color w:val="000000"/>
          <w:lang w:val="sr-Cyrl-CS"/>
        </w:rPr>
      </w:pPr>
      <w:r>
        <w:rPr>
          <w:rFonts w:asciiTheme="minorHAnsi" w:hAnsiTheme="minorHAnsi" w:cstheme="minorHAnsi"/>
          <w:lang w:val="sr-Cyrl-CS"/>
        </w:rPr>
        <w:t>Изградња стамбено-пословних објеката намијењених продаји на тржишту (инвеститори Интеграл Инжињеринг, Арагоста, Хидрокоп</w:t>
      </w:r>
      <w:r>
        <w:rPr>
          <w:rFonts w:asciiTheme="minorHAnsi" w:hAnsiTheme="minorHAnsi" w:cstheme="minorHAnsi"/>
          <w:bCs/>
          <w:color w:val="000000"/>
          <w:lang w:val="sr-Cyrl-CS"/>
        </w:rPr>
        <w:t>, Малбашић, Екватор, ГП „Крајина“ и др.).</w:t>
      </w:r>
    </w:p>
    <w:p>
      <w:pPr>
        <w:pStyle w:val="46"/>
        <w:ind w:left="567" w:hanging="283"/>
        <w:rPr>
          <w:lang w:val="sr-Cyrl-CS"/>
        </w:rPr>
      </w:pPr>
    </w:p>
    <w:tbl>
      <w:tblPr>
        <w:tblStyle w:val="37"/>
        <w:tblW w:w="9350"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rPr>
          <w:jc w:val="center"/>
        </w:trPr>
        <w:tc>
          <w:tcPr>
            <w:tcW w:w="9350" w:type="dxa"/>
            <w:shd w:val="clear" w:color="auto" w:fill="C5E0B3" w:themeFill="accent6" w:themeFillTint="66"/>
          </w:tcPr>
          <w:p>
            <w:pPr>
              <w:pStyle w:val="149"/>
              <w:numPr>
                <w:ilvl w:val="0"/>
                <w:numId w:val="0"/>
              </w:numPr>
              <w:spacing w:before="0" w:after="0"/>
              <w:ind w:left="288"/>
              <w:rPr>
                <w:rFonts w:asciiTheme="minorHAnsi" w:hAnsiTheme="minorHAnsi" w:cstheme="minorHAnsi"/>
                <w:b w:val="0"/>
                <w:sz w:val="22"/>
              </w:rPr>
            </w:pPr>
            <w:r>
              <w:rPr>
                <w:rFonts w:asciiTheme="minorHAnsi" w:hAnsiTheme="minorHAnsi" w:cstheme="minorHAnsi"/>
                <w:b w:val="0"/>
                <w:sz w:val="22"/>
              </w:rPr>
              <w:t>Имајући у виду да су најзначајније инвестиције у периоду од 2012. године остварене у области изградње јавних</w:t>
            </w:r>
            <w:r>
              <w:rPr>
                <w:rFonts w:asciiTheme="minorHAnsi" w:hAnsiTheme="minorHAnsi" w:cstheme="minorHAnsi"/>
                <w:b w:val="0"/>
                <w:sz w:val="22"/>
                <w:lang w:val="sr-Cyrl-RS"/>
              </w:rPr>
              <w:t>,</w:t>
            </w:r>
            <w:r>
              <w:rPr>
                <w:rFonts w:asciiTheme="minorHAnsi" w:hAnsiTheme="minorHAnsi" w:cstheme="minorHAnsi"/>
                <w:b w:val="0"/>
                <w:sz w:val="22"/>
              </w:rPr>
              <w:t xml:space="preserve"> правосудних и здрвствених установа, инфраструктурних</w:t>
            </w:r>
            <w:r>
              <w:rPr>
                <w:rFonts w:asciiTheme="minorHAnsi" w:hAnsiTheme="minorHAnsi" w:cstheme="minorHAnsi"/>
                <w:b w:val="0"/>
                <w:sz w:val="22"/>
                <w:lang w:val="sr-Cyrl-RS"/>
              </w:rPr>
              <w:t xml:space="preserve"> и</w:t>
            </w:r>
            <w:r>
              <w:rPr>
                <w:rFonts w:asciiTheme="minorHAnsi" w:hAnsiTheme="minorHAnsi" w:cstheme="minorHAnsi"/>
                <w:b w:val="0"/>
                <w:sz w:val="22"/>
              </w:rPr>
              <w:t xml:space="preserve"> комуналних</w:t>
            </w:r>
            <w:r>
              <w:rPr>
                <w:rFonts w:asciiTheme="minorHAnsi" w:hAnsiTheme="minorHAnsi" w:cstheme="minorHAnsi"/>
                <w:b w:val="0"/>
                <w:sz w:val="22"/>
                <w:lang w:val="sr-Cyrl-RS"/>
              </w:rPr>
              <w:t xml:space="preserve"> објеката, </w:t>
            </w:r>
            <w:r>
              <w:rPr>
                <w:rFonts w:asciiTheme="minorHAnsi" w:hAnsiTheme="minorHAnsi" w:cstheme="minorHAnsi"/>
                <w:b w:val="0"/>
                <w:sz w:val="22"/>
              </w:rPr>
              <w:t>великих тржних центара, финанси</w:t>
            </w:r>
            <w:r>
              <w:rPr>
                <w:rFonts w:asciiTheme="minorHAnsi" w:hAnsiTheme="minorHAnsi" w:cstheme="minorHAnsi"/>
                <w:b w:val="0"/>
                <w:sz w:val="22"/>
                <w:lang w:val="sr-Cyrl-RS"/>
              </w:rPr>
              <w:t>јс</w:t>
            </w:r>
            <w:r>
              <w:rPr>
                <w:rFonts w:asciiTheme="minorHAnsi" w:hAnsiTheme="minorHAnsi" w:cstheme="minorHAnsi"/>
                <w:b w:val="0"/>
                <w:sz w:val="22"/>
              </w:rPr>
              <w:t>ких установа, објеката за развој ИТ технологија, констатује се да град добија садржаје и обиљежја административног, здравственог, образовног, трговинског и финансијског центра, са скромним учешћем инвестиција у области прерађивачке индустрије.</w:t>
            </w:r>
          </w:p>
        </w:tc>
      </w:tr>
    </w:tbl>
    <w:p>
      <w:pPr>
        <w:jc w:val="both"/>
        <w:rPr>
          <w:b/>
          <w:i/>
          <w:lang w:val="sr-Cyrl-BA"/>
        </w:rPr>
      </w:pPr>
    </w:p>
    <w:p>
      <w:pPr>
        <w:spacing w:after="120"/>
        <w:jc w:val="both"/>
        <w:rPr>
          <w:b/>
          <w:i/>
          <w:lang w:val="sr-Cyrl-BA"/>
        </w:rPr>
      </w:pPr>
      <w:r>
        <w:rPr>
          <w:b/>
          <w:i/>
          <w:lang w:val="sr-Cyrl-BA"/>
        </w:rPr>
        <w:t>Резултати анкете пословног сектора</w:t>
      </w:r>
    </w:p>
    <w:p>
      <w:pPr>
        <w:jc w:val="both"/>
        <w:rPr>
          <w:lang w:val="sr-Cyrl-RS"/>
        </w:rPr>
      </w:pPr>
      <w:r>
        <w:rPr>
          <w:lang w:val="sr-Cyrl-RS"/>
        </w:rPr>
        <w:t xml:space="preserve">У септембру 2017. године, Градска развојна агенција, урадила је анкету привредног сектора у сврху прикупљања општих </w:t>
      </w:r>
      <w:r>
        <w:rPr>
          <w:lang w:val="sr-Cyrl-BA"/>
        </w:rPr>
        <w:t>информација</w:t>
      </w:r>
      <w:r>
        <w:rPr>
          <w:lang w:val="sr-Cyrl-RS"/>
        </w:rPr>
        <w:t xml:space="preserve"> о послодавцима, њиховима плановима за ново улагање, проширење, нова запошљавања, потребама за радном снагом и пословном окружењу. Такође, циљ је био да се провјери задовољство приватног сектора услугама Градске управе са приједлозима за унапријеђење. </w:t>
      </w:r>
    </w:p>
    <w:p>
      <w:pPr>
        <w:jc w:val="both"/>
        <w:rPr>
          <w:lang w:val="sr-Cyrl-RS"/>
        </w:rPr>
      </w:pPr>
    </w:p>
    <w:p>
      <w:pPr>
        <w:jc w:val="both"/>
        <w:rPr>
          <w:lang w:val="sr-Cyrl-RS"/>
        </w:rPr>
      </w:pPr>
      <w:r>
        <w:rPr>
          <w:lang w:val="sr-Cyrl-RS"/>
        </w:rPr>
        <w:t>Анкета је обухватила 325 пословних субјеката који послују у прерађивачкој индустрији, грађевинарству, области информационо-комуникационих технологија, електро индустрији, трговини, туризма и угоститељства, услуга и др. 73% анкетираних били су представници малих и средњих предузећа. Највећи број анкетираних привредних субјеката (60%) послује у сектору производње и прераде. 41% анкетираних привредних субјеката је извозно оријентисан. Највећи извозници су из дрвопрерађивачке индустрије (25%), слиједе га сектор металопрераде (17%), пољопривредне и прехрамбене индустрије (16%), као и сектор индустрије текстила, коже и обуће (11%).</w:t>
      </w:r>
    </w:p>
    <w:p>
      <w:pPr>
        <w:jc w:val="both"/>
        <w:rPr>
          <w:lang w:val="sr-Cyrl-RS"/>
        </w:rPr>
      </w:pPr>
      <w:r>
        <w:rPr>
          <w:lang w:val="sr-Cyrl-RS"/>
        </w:rPr>
        <w:t xml:space="preserve">Већина испитаника потврдила је да планира нове инвестиције у циљу повећања производних капацитета, куповине нових машина и опреме, изградње нових објеката или проширења постојећих, куповине земљишта и сл. Највећи број радника запошљава прерађивачка индустрија (19%), а затим грађевинска (16%) и дрвопрерађивачка (15%). </w:t>
      </w:r>
    </w:p>
    <w:p>
      <w:pPr>
        <w:jc w:val="both"/>
        <w:rPr>
          <w:lang w:val="sr-Cyrl-RS"/>
        </w:rPr>
      </w:pPr>
    </w:p>
    <w:p>
      <w:pPr>
        <w:jc w:val="both"/>
        <w:rPr>
          <w:lang w:val="sr-Cyrl-RS"/>
        </w:rPr>
      </w:pPr>
      <w:r>
        <w:rPr>
          <w:lang w:val="sr-Cyrl-RS"/>
        </w:rPr>
        <w:t xml:space="preserve">41% испитаника је имало или сматра да ће се суочити са недостатком стручног кадра, као разлоге за то наводе неодговарајуће образовне профиле, незаинтересованост незапослених за рад у привреди, неадекватан план и програм рада у стручним школама, као и недостатак механизама за преквалификацију и доквалификацију радника. Занимљиво је да само 16% анкетираних привредних субјеката тренутно има ученике на пракси. </w:t>
      </w:r>
    </w:p>
    <w:p>
      <w:pPr>
        <w:jc w:val="both"/>
        <w:rPr>
          <w:lang w:val="sr-Cyrl-RS"/>
        </w:rPr>
      </w:pPr>
    </w:p>
    <w:p>
      <w:pPr>
        <w:jc w:val="both"/>
        <w:rPr>
          <w:lang w:val="sr-Cyrl-RS"/>
        </w:rPr>
      </w:pPr>
      <w:r>
        <w:rPr>
          <w:lang w:val="sr-Cyrl-RS"/>
        </w:rPr>
        <w:t>Локални привредници су релативно задовољни квалитетом пружања комуналних услуга, а нарочито услугама водоснабдијевања. Најниже је оцијењена понуда пословних локација и објеката за пословање (просјечна оцјена износи 2 на скали од 1 до 5). Привредници такође нису задовољни начинима на који их Градска управа информише о питањима који су од значаја за њихово пословање (2,25), нити улогом Градске управе у рјешавању питања незапослености. Анкетирани привредници сматрају и да немају једнак третман од стране локалне самоуправе. Чак 76% испитаника сматра да локална самоуправа нема дефинисану политику, нити било каквог утицаја на развој привреде.</w:t>
      </w:r>
    </w:p>
    <w:p>
      <w:pPr>
        <w:jc w:val="both"/>
        <w:rPr>
          <w:lang w:val="sr-Cyrl-RS"/>
        </w:rPr>
      </w:pPr>
    </w:p>
    <w:p>
      <w:pPr>
        <w:jc w:val="both"/>
        <w:rPr>
          <w:lang w:val="sr-Cyrl-RS"/>
        </w:rPr>
      </w:pPr>
      <w:r>
        <w:rPr>
          <w:lang w:val="sr-Cyrl-RS"/>
        </w:rPr>
        <w:t>Привредници сматрају да локална самоуправа може помоћи да се повећа конкурентност локалних привредника на тржишту путем:</w:t>
      </w:r>
    </w:p>
    <w:p>
      <w:pPr>
        <w:pStyle w:val="46"/>
        <w:numPr>
          <w:ilvl w:val="0"/>
          <w:numId w:val="9"/>
        </w:numPr>
        <w:ind w:left="540" w:hanging="270"/>
        <w:rPr>
          <w:lang w:val="sr-Cyrl-RS"/>
        </w:rPr>
      </w:pPr>
      <w:r>
        <w:rPr>
          <w:lang w:val="sr-Cyrl-RS"/>
        </w:rPr>
        <w:t>Информисања привредника о конкурсима за учешће у развојним пројектима који нуде бесповратна средства</w:t>
      </w:r>
    </w:p>
    <w:p>
      <w:pPr>
        <w:pStyle w:val="46"/>
        <w:numPr>
          <w:ilvl w:val="0"/>
          <w:numId w:val="9"/>
        </w:numPr>
        <w:ind w:left="540" w:hanging="270"/>
        <w:rPr>
          <w:lang w:val="sr-Cyrl-RS"/>
        </w:rPr>
      </w:pPr>
      <w:r>
        <w:rPr>
          <w:lang w:val="sr-Cyrl-RS"/>
        </w:rPr>
        <w:t>Посредовање у добијању повољних кредита, нпр. из развојних пројеката или подршком гарантних фондова</w:t>
      </w:r>
    </w:p>
    <w:p>
      <w:pPr>
        <w:pStyle w:val="46"/>
        <w:numPr>
          <w:ilvl w:val="0"/>
          <w:numId w:val="9"/>
        </w:numPr>
        <w:ind w:left="540" w:hanging="270"/>
        <w:rPr>
          <w:lang w:val="sr-Cyrl-RS"/>
        </w:rPr>
      </w:pPr>
      <w:r>
        <w:rPr>
          <w:lang w:val="sr-Cyrl-RS"/>
        </w:rPr>
        <w:t>Дефинисања пакета подстицаја за унапријеђење пословања у приоритетним секторима</w:t>
      </w:r>
    </w:p>
    <w:p>
      <w:pPr>
        <w:pStyle w:val="46"/>
        <w:numPr>
          <w:ilvl w:val="0"/>
          <w:numId w:val="9"/>
        </w:numPr>
        <w:ind w:left="540" w:hanging="270"/>
        <w:rPr>
          <w:lang w:val="sr-Cyrl-RS"/>
        </w:rPr>
      </w:pPr>
      <w:r>
        <w:rPr>
          <w:lang w:val="sr-Cyrl-RS"/>
        </w:rPr>
        <w:t>Подстицајних средстава за запошљавање</w:t>
      </w:r>
    </w:p>
    <w:p>
      <w:pPr>
        <w:pStyle w:val="46"/>
        <w:numPr>
          <w:ilvl w:val="0"/>
          <w:numId w:val="9"/>
        </w:numPr>
        <w:ind w:left="540" w:hanging="270"/>
        <w:rPr>
          <w:lang w:val="sr-Cyrl-RS"/>
        </w:rPr>
      </w:pPr>
      <w:r>
        <w:rPr>
          <w:lang w:val="sr-Cyrl-RS"/>
        </w:rPr>
        <w:t>Финансијске подршке за старт-ап и микро предузећа</w:t>
      </w:r>
    </w:p>
    <w:p>
      <w:pPr>
        <w:pStyle w:val="46"/>
        <w:numPr>
          <w:ilvl w:val="0"/>
          <w:numId w:val="9"/>
        </w:numPr>
        <w:ind w:left="540" w:hanging="270"/>
        <w:rPr>
          <w:lang w:val="sr-Cyrl-RS"/>
        </w:rPr>
      </w:pPr>
      <w:r>
        <w:rPr>
          <w:lang w:val="sr-Cyrl-RS"/>
        </w:rPr>
        <w:t>Промовисања локалних привредника на интернет презентацији Града, локалним, регионалним и међународним сајмовима</w:t>
      </w:r>
    </w:p>
    <w:p>
      <w:pPr>
        <w:pStyle w:val="46"/>
        <w:numPr>
          <w:ilvl w:val="0"/>
          <w:numId w:val="9"/>
        </w:numPr>
        <w:spacing w:after="120"/>
        <w:ind w:left="548" w:hanging="274"/>
        <w:rPr>
          <w:lang w:val="sr-Cyrl-RS"/>
        </w:rPr>
      </w:pPr>
      <w:r>
        <w:rPr>
          <w:lang w:val="sr-Cyrl-RS"/>
        </w:rPr>
        <w:t>Других видова подршке, који обухватају субвенције или ослобођење од плаћања накнада и локалних такси, уклањање административних баријера и изградњу пословне и комуналне инфраструктуре.</w:t>
      </w:r>
    </w:p>
    <w:p>
      <w:pPr>
        <w:jc w:val="both"/>
        <w:rPr>
          <w:lang w:val="sr-Cyrl-RS"/>
        </w:rPr>
      </w:pPr>
      <w:r>
        <w:rPr>
          <w:lang w:val="sr-Cyrl-RS"/>
        </w:rPr>
        <w:t xml:space="preserve">Као највеће пријетње привредници виде јаку конкуренцију и слаб капацитет за излазак на тржиште земаља Европске уније, неприлагођеност школског система потребама привреде, као и застарјелост опреме са великим трошковима одржавања.    </w:t>
      </w:r>
    </w:p>
    <w:p>
      <w:pPr>
        <w:jc w:val="both"/>
        <w:rPr>
          <w:lang w:val="sr-Cyrl-RS"/>
        </w:rPr>
      </w:pPr>
    </w:p>
    <w:tbl>
      <w:tblPr>
        <w:tblStyle w:val="37"/>
        <w:tblW w:w="935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PrEx>
        <w:trPr>
          <w:jc w:val="center"/>
        </w:trPr>
        <w:tc>
          <w:tcPr>
            <w:tcW w:w="9350" w:type="dxa"/>
            <w:shd w:val="clear" w:color="auto" w:fill="C5E0B3" w:themeFill="accent6" w:themeFillTint="66"/>
          </w:tcPr>
          <w:p>
            <w:pPr>
              <w:shd w:val="clear" w:color="auto" w:fill="C5E0B3" w:themeFill="accent6" w:themeFillTint="66"/>
              <w:jc w:val="both"/>
              <w:rPr>
                <w:i/>
                <w:lang w:val="sr-Cyrl-RS"/>
              </w:rPr>
            </w:pPr>
            <w:r>
              <w:rPr>
                <w:i/>
                <w:lang w:val="sr-Cyrl-RS"/>
              </w:rPr>
              <w:t>Неопходно је да се анкета привредног сектора редовно спроводи, на годишњем нивоу, као и да се резултати анкете детаљно анализирају и упоређују са достипним статистичким анализама. Такође, кључно је да се осим редовних састанака Привредног савјета, јавно-приватни дијалог успостави и води на секторском нивоу, кроз посјете привредним субјектима са потенцијалима за развој, као и привредним субјектима који се суочавају са потешкоћама у пословању. Предузете мјере и планирани подстицаји треба да буду засновани на стварним потребама привреде. Град Бања Лука имао је Стратегију развоја МСП и предузетништва за период 2010-2015., па треба размотрити и могућност за припрему нове стратегије, која би била допуна Стратегији интегрисаног развоја, у смислу секторског фокуса на кључне проблеме и потребе привредних субјеката који послују на територији града Бања Лука.</w:t>
            </w:r>
          </w:p>
        </w:tc>
      </w:tr>
    </w:tbl>
    <w:p>
      <w:pPr>
        <w:spacing w:after="160" w:line="259" w:lineRule="auto"/>
        <w:rPr>
          <w:lang w:val="sr-Cyrl-RS"/>
        </w:rPr>
      </w:pPr>
      <w:r>
        <w:rPr>
          <w:lang w:val="sr-Cyrl-RS"/>
        </w:rPr>
        <w:t xml:space="preserve"> </w:t>
      </w:r>
    </w:p>
    <w:p>
      <w:pPr>
        <w:pStyle w:val="5"/>
        <w:rPr>
          <w:lang w:val="sr-Cyrl-RS"/>
        </w:rPr>
      </w:pPr>
      <w:r>
        <w:rPr>
          <w:lang w:val="sr-Cyrl-RS"/>
        </w:rPr>
        <w:t xml:space="preserve"> </w:t>
      </w:r>
      <w:bookmarkStart w:id="21" w:name="_Toc526170582"/>
      <w:r>
        <w:t xml:space="preserve">IV. 1.3.2. </w:t>
      </w:r>
      <w:r>
        <w:rPr>
          <w:lang w:val="sr-Cyrl-RS"/>
        </w:rPr>
        <w:t>Активности</w:t>
      </w:r>
      <w:r>
        <w:t xml:space="preserve"> и мјере Града за подстицање привредног развоја и побољшање услова </w:t>
      </w:r>
      <w:r>
        <w:rPr>
          <w:lang w:val="sr-Cyrl-RS"/>
        </w:rPr>
        <w:t>привређивања</w:t>
      </w:r>
      <w:bookmarkEnd w:id="21"/>
    </w:p>
    <w:p>
      <w:pPr>
        <w:spacing w:after="120"/>
        <w:rPr>
          <w:color w:val="000000"/>
        </w:rPr>
      </w:pPr>
      <w:r>
        <w:t xml:space="preserve">С циљем побољшања укупног пословног амбијента, подстицања привредног развоја, привлачења домаћих и страних инвеститора, повећања запослености и извозних активности, на подручју </w:t>
      </w:r>
      <w:r>
        <w:rPr>
          <w:color w:val="000000"/>
          <w:lang w:val="sr-Cyrl-RS"/>
        </w:rPr>
        <w:t>Г</w:t>
      </w:r>
      <w:r>
        <w:rPr>
          <w:color w:val="000000"/>
          <w:lang w:val="sr-Latn-RS"/>
        </w:rPr>
        <w:t>рад</w:t>
      </w:r>
      <w:r>
        <w:rPr>
          <w:color w:val="000000"/>
        </w:rPr>
        <w:t>а</w:t>
      </w:r>
      <w:r>
        <w:rPr>
          <w:color w:val="000000"/>
          <w:lang w:val="sr-Latn-RS"/>
        </w:rPr>
        <w:t xml:space="preserve"> </w:t>
      </w:r>
      <w:r>
        <w:rPr>
          <w:color w:val="000000"/>
        </w:rPr>
        <w:t xml:space="preserve">потенцијалним </w:t>
      </w:r>
      <w:r>
        <w:rPr>
          <w:color w:val="000000"/>
          <w:lang w:val="sr-Latn-RS"/>
        </w:rPr>
        <w:t>инвеститорима</w:t>
      </w:r>
      <w:r>
        <w:rPr>
          <w:color w:val="000000"/>
        </w:rPr>
        <w:t xml:space="preserve"> бројне услуге пружају:</w:t>
      </w:r>
    </w:p>
    <w:p>
      <w:pPr>
        <w:pStyle w:val="46"/>
        <w:numPr>
          <w:ilvl w:val="0"/>
          <w:numId w:val="10"/>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Одјељење  за локални економски развој и стратешко планирање (</w:t>
      </w:r>
      <w:r>
        <w:rPr>
          <w:rFonts w:asciiTheme="minorHAnsi" w:hAnsiTheme="minorHAnsi" w:cstheme="minorHAnsi"/>
          <w:color w:val="000000"/>
          <w:lang w:val="sr-Cyrl-RS"/>
        </w:rPr>
        <w:t>Центар за инвеститоре</w:t>
      </w:r>
      <w:r>
        <w:rPr>
          <w:rFonts w:asciiTheme="minorHAnsi" w:hAnsiTheme="minorHAnsi" w:cstheme="minorHAnsi"/>
          <w:color w:val="000000"/>
          <w:lang w:val="sr-Latn-RS"/>
        </w:rPr>
        <w:t>)</w:t>
      </w:r>
      <w:r>
        <w:rPr>
          <w:rFonts w:asciiTheme="minorHAnsi" w:hAnsiTheme="minorHAnsi" w:cstheme="minorHAnsi"/>
          <w:color w:val="000000"/>
          <w:lang w:val="sr-Cyrl-RS"/>
        </w:rPr>
        <w:t>,</w:t>
      </w:r>
    </w:p>
    <w:p>
      <w:pPr>
        <w:pStyle w:val="46"/>
        <w:numPr>
          <w:ilvl w:val="0"/>
          <w:numId w:val="10"/>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Одјељењ</w:t>
      </w:r>
      <w:r>
        <w:rPr>
          <w:rFonts w:asciiTheme="minorHAnsi" w:hAnsiTheme="minorHAnsi" w:cstheme="minorHAnsi"/>
          <w:color w:val="000000"/>
          <w:lang w:val="sr-Cyrl-RS"/>
        </w:rPr>
        <w:t>е</w:t>
      </w:r>
      <w:r>
        <w:rPr>
          <w:rFonts w:asciiTheme="minorHAnsi" w:hAnsiTheme="minorHAnsi" w:cstheme="minorHAnsi"/>
          <w:color w:val="000000"/>
          <w:lang w:val="sr-Latn-RS"/>
        </w:rPr>
        <w:t xml:space="preserve"> за просторно уређење </w:t>
      </w:r>
      <w:r>
        <w:rPr>
          <w:rFonts w:asciiTheme="minorHAnsi" w:hAnsiTheme="minorHAnsi" w:cstheme="minorHAnsi"/>
          <w:color w:val="000000"/>
          <w:lang w:val="sr-Cyrl-RS"/>
        </w:rPr>
        <w:t>(</w:t>
      </w:r>
      <w:r>
        <w:rPr>
          <w:rFonts w:asciiTheme="minorHAnsi" w:hAnsiTheme="minorHAnsi" w:cstheme="minorHAnsi"/>
          <w:color w:val="000000"/>
          <w:lang w:val="sr-Latn-RS"/>
        </w:rPr>
        <w:t>Центар за дозволе</w:t>
      </w:r>
      <w:r>
        <w:rPr>
          <w:rFonts w:asciiTheme="minorHAnsi" w:hAnsiTheme="minorHAnsi" w:cstheme="minorHAnsi"/>
          <w:color w:val="000000"/>
          <w:lang w:val="sr-Cyrl-RS"/>
        </w:rPr>
        <w:t>),</w:t>
      </w:r>
      <w:r>
        <w:rPr>
          <w:rFonts w:asciiTheme="minorHAnsi" w:hAnsiTheme="minorHAnsi" w:cstheme="minorHAnsi"/>
          <w:color w:val="000000"/>
          <w:lang w:val="sr-Latn-RS"/>
        </w:rPr>
        <w:t xml:space="preserve"> </w:t>
      </w:r>
    </w:p>
    <w:p>
      <w:pPr>
        <w:pStyle w:val="46"/>
        <w:numPr>
          <w:ilvl w:val="0"/>
          <w:numId w:val="10"/>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Одјељењ</w:t>
      </w:r>
      <w:r>
        <w:rPr>
          <w:rFonts w:asciiTheme="minorHAnsi" w:hAnsiTheme="minorHAnsi" w:cstheme="minorHAnsi"/>
          <w:color w:val="000000"/>
          <w:lang w:val="sr-Cyrl-RS"/>
        </w:rPr>
        <w:t>е</w:t>
      </w:r>
      <w:r>
        <w:rPr>
          <w:rFonts w:asciiTheme="minorHAnsi" w:hAnsiTheme="minorHAnsi" w:cstheme="minorHAnsi"/>
          <w:color w:val="000000"/>
          <w:lang w:val="sr-Latn-RS"/>
        </w:rPr>
        <w:t xml:space="preserve"> за привреду (Канцеларија за предузетнике</w:t>
      </w:r>
      <w:r>
        <w:rPr>
          <w:rFonts w:asciiTheme="minorHAnsi" w:hAnsiTheme="minorHAnsi" w:cstheme="minorHAnsi"/>
          <w:color w:val="000000"/>
          <w:lang w:val="sr-Cyrl-RS"/>
        </w:rPr>
        <w:t>),</w:t>
      </w:r>
      <w:r>
        <w:rPr>
          <w:rFonts w:asciiTheme="minorHAnsi" w:hAnsiTheme="minorHAnsi" w:cstheme="minorHAnsi"/>
          <w:color w:val="000000"/>
          <w:lang w:val="sr-Latn-RS"/>
        </w:rPr>
        <w:t xml:space="preserve"> </w:t>
      </w:r>
    </w:p>
    <w:p>
      <w:pPr>
        <w:pStyle w:val="46"/>
        <w:numPr>
          <w:ilvl w:val="0"/>
          <w:numId w:val="10"/>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Градска развојна агенција</w:t>
      </w:r>
      <w:r>
        <w:rPr>
          <w:rFonts w:asciiTheme="minorHAnsi" w:hAnsiTheme="minorHAnsi" w:cstheme="minorHAnsi"/>
          <w:color w:val="000000"/>
          <w:lang w:val="sr-Cyrl-RS"/>
        </w:rPr>
        <w:t>.</w:t>
      </w:r>
    </w:p>
    <w:p>
      <w:pPr>
        <w:jc w:val="both"/>
        <w:rPr>
          <w:rFonts w:eastAsia="Times New Roman" w:asciiTheme="minorHAnsi" w:hAnsiTheme="minorHAnsi" w:cstheme="minorHAnsi"/>
          <w:lang w:val="sr-Cyrl-CS"/>
        </w:rPr>
      </w:pPr>
      <w:r>
        <w:rPr>
          <w:rFonts w:eastAsia="Times New Roman" w:asciiTheme="minorHAnsi" w:hAnsiTheme="minorHAnsi" w:cstheme="minorHAnsi"/>
          <w:lang w:val="sr-Cyrl-CS"/>
        </w:rPr>
        <w:t>За приведне субјекте и предузетнике с подручја града Бања Лука од посебног су значаја мјере за подстицање привредног развоја и запошљавања међу којима су:</w:t>
      </w:r>
    </w:p>
    <w:p>
      <w:pPr>
        <w:pStyle w:val="46"/>
        <w:numPr>
          <w:ilvl w:val="0"/>
          <w:numId w:val="11"/>
        </w:numPr>
        <w:spacing w:after="120"/>
        <w:contextualSpacing w:val="0"/>
        <w:rPr>
          <w:rFonts w:asciiTheme="minorHAnsi" w:hAnsiTheme="minorHAnsi" w:cstheme="minorHAnsi"/>
          <w:lang w:val="sr-Cyrl-CS"/>
        </w:rPr>
      </w:pPr>
      <w:r>
        <w:rPr>
          <w:rFonts w:asciiTheme="minorHAnsi" w:hAnsiTheme="minorHAnsi" w:cstheme="minorHAnsi"/>
          <w:lang w:val="sr-Cyrl-CS"/>
        </w:rPr>
        <w:t>Подстицаји за повећање продуктивности и конкурентности у функцији запошљавања (набавка основног средства, сертификација и преквалификација), те запошљавање</w:t>
      </w:r>
      <w:r>
        <w:rPr>
          <w:rFonts w:asciiTheme="minorHAnsi" w:hAnsiTheme="minorHAnsi" w:cstheme="minorHAnsi"/>
          <w:lang w:val="sr-Latn-RS"/>
        </w:rPr>
        <w:t xml:space="preserve"> нових рад</w:t>
      </w:r>
      <w:r>
        <w:rPr>
          <w:rFonts w:asciiTheme="minorHAnsi" w:hAnsiTheme="minorHAnsi" w:cstheme="minorHAnsi"/>
          <w:lang w:val="sr-Cyrl-RS"/>
        </w:rPr>
        <w:t>н</w:t>
      </w:r>
      <w:r>
        <w:rPr>
          <w:rFonts w:asciiTheme="minorHAnsi" w:hAnsiTheme="minorHAnsi" w:cstheme="minorHAnsi"/>
          <w:lang w:val="sr-Latn-RS"/>
        </w:rPr>
        <w:t>ика и самозапошљавањ</w:t>
      </w:r>
      <w:r>
        <w:rPr>
          <w:rFonts w:asciiTheme="minorHAnsi" w:hAnsiTheme="minorHAnsi" w:cstheme="minorHAnsi"/>
          <w:lang w:val="sr-Cyrl-CS"/>
        </w:rPr>
        <w:t>е</w:t>
      </w:r>
      <w:r>
        <w:rPr>
          <w:rFonts w:asciiTheme="minorHAnsi" w:hAnsiTheme="minorHAnsi" w:cstheme="minorHAnsi"/>
          <w:lang w:val="sr-Latn-RS"/>
        </w:rPr>
        <w:t xml:space="preserve"> незапослених лица</w:t>
      </w:r>
      <w:r>
        <w:rPr>
          <w:rFonts w:asciiTheme="minorHAnsi" w:hAnsiTheme="minorHAnsi" w:cstheme="minorHAnsi"/>
          <w:lang w:val="sr-Cyrl-CS"/>
        </w:rPr>
        <w:t xml:space="preserve"> у производним, занатским и услужним дјелатностима на подручју града,</w:t>
      </w:r>
    </w:p>
    <w:p>
      <w:pPr>
        <w:pStyle w:val="46"/>
        <w:numPr>
          <w:ilvl w:val="0"/>
          <w:numId w:val="11"/>
        </w:numPr>
        <w:rPr>
          <w:rFonts w:asciiTheme="minorHAnsi" w:hAnsiTheme="minorHAnsi" w:cstheme="minorHAnsi"/>
          <w:lang w:val="sr-Latn-BA"/>
        </w:rPr>
      </w:pPr>
      <w:r>
        <w:rPr>
          <w:rFonts w:asciiTheme="minorHAnsi" w:hAnsiTheme="minorHAnsi" w:cstheme="minorHAnsi"/>
          <w:lang w:val="sr-Cyrl-CS"/>
        </w:rPr>
        <w:t>Д</w:t>
      </w:r>
      <w:r>
        <w:rPr>
          <w:rFonts w:asciiTheme="minorHAnsi" w:hAnsiTheme="minorHAnsi" w:cstheme="minorHAnsi"/>
          <w:lang w:val="sr-Latn-RS"/>
        </w:rPr>
        <w:t xml:space="preserve">авање гаранција </w:t>
      </w:r>
      <w:r>
        <w:rPr>
          <w:rFonts w:asciiTheme="minorHAnsi" w:hAnsiTheme="minorHAnsi" w:cstheme="minorHAnsi"/>
          <w:lang w:val="sr-Cyrl-CS"/>
        </w:rPr>
        <w:t xml:space="preserve">из </w:t>
      </w:r>
      <w:r>
        <w:rPr>
          <w:rFonts w:asciiTheme="minorHAnsi" w:hAnsiTheme="minorHAnsi" w:cstheme="minorHAnsi"/>
          <w:lang w:val="sr-Latn-RS"/>
        </w:rPr>
        <w:t>Гарантн</w:t>
      </w:r>
      <w:r>
        <w:rPr>
          <w:rFonts w:asciiTheme="minorHAnsi" w:hAnsiTheme="minorHAnsi" w:cstheme="minorHAnsi"/>
          <w:lang w:val="sr-Cyrl-CS"/>
        </w:rPr>
        <w:t>ог</w:t>
      </w:r>
      <w:r>
        <w:rPr>
          <w:rFonts w:asciiTheme="minorHAnsi" w:hAnsiTheme="minorHAnsi" w:cstheme="minorHAnsi"/>
          <w:lang w:val="sr-Latn-RS"/>
        </w:rPr>
        <w:t xml:space="preserve"> фонд</w:t>
      </w:r>
      <w:r>
        <w:rPr>
          <w:rFonts w:asciiTheme="minorHAnsi" w:hAnsiTheme="minorHAnsi" w:cstheme="minorHAnsi"/>
          <w:lang w:val="sr-Cyrl-CS"/>
        </w:rPr>
        <w:t xml:space="preserve">а града Бања Лука и субвенционисање </w:t>
      </w:r>
      <w:r>
        <w:rPr>
          <w:rFonts w:asciiTheme="minorHAnsi" w:hAnsiTheme="minorHAnsi" w:cstheme="minorHAnsi"/>
          <w:lang w:val="sr-Latn-RS"/>
        </w:rPr>
        <w:t>камата на кредите</w:t>
      </w:r>
      <w:r>
        <w:rPr>
          <w:rFonts w:asciiTheme="minorHAnsi" w:hAnsiTheme="minorHAnsi" w:cstheme="minorHAnsi"/>
          <w:lang w:val="sr-Cyrl-CS"/>
        </w:rPr>
        <w:t>,</w:t>
      </w:r>
      <w:r>
        <w:rPr>
          <w:rFonts w:asciiTheme="minorHAnsi" w:hAnsiTheme="minorHAnsi" w:cstheme="minorHAnsi"/>
          <w:lang w:val="sr-Latn-RS"/>
        </w:rPr>
        <w:t xml:space="preserve"> за које с</w:t>
      </w:r>
      <w:r>
        <w:rPr>
          <w:rFonts w:asciiTheme="minorHAnsi" w:hAnsiTheme="minorHAnsi" w:cstheme="minorHAnsi"/>
          <w:lang w:val="sr-Cyrl-CS"/>
        </w:rPr>
        <w:t>е</w:t>
      </w:r>
      <w:r>
        <w:rPr>
          <w:rFonts w:asciiTheme="minorHAnsi" w:hAnsiTheme="minorHAnsi" w:cstheme="minorHAnsi"/>
          <w:lang w:val="sr-Latn-RS"/>
        </w:rPr>
        <w:t xml:space="preserve"> изда</w:t>
      </w:r>
      <w:r>
        <w:rPr>
          <w:rFonts w:asciiTheme="minorHAnsi" w:hAnsiTheme="minorHAnsi" w:cstheme="minorHAnsi"/>
          <w:lang w:val="sr-Cyrl-CS"/>
        </w:rPr>
        <w:t>ју</w:t>
      </w:r>
      <w:r>
        <w:rPr>
          <w:rFonts w:asciiTheme="minorHAnsi" w:hAnsiTheme="minorHAnsi" w:cstheme="minorHAnsi"/>
          <w:lang w:val="sr-Latn-RS"/>
        </w:rPr>
        <w:t xml:space="preserve"> гаран</w:t>
      </w:r>
      <w:r>
        <w:rPr>
          <w:rFonts w:asciiTheme="minorHAnsi" w:hAnsiTheme="minorHAnsi" w:cstheme="minorHAnsi"/>
          <w:lang w:val="sr-Cyrl-CS"/>
        </w:rPr>
        <w:t>ције Г</w:t>
      </w:r>
      <w:r>
        <w:rPr>
          <w:rFonts w:asciiTheme="minorHAnsi" w:hAnsiTheme="minorHAnsi" w:cstheme="minorHAnsi"/>
          <w:lang w:val="sr-Latn-RS"/>
        </w:rPr>
        <w:t>арант</w:t>
      </w:r>
      <w:r>
        <w:rPr>
          <w:rFonts w:asciiTheme="minorHAnsi" w:hAnsiTheme="minorHAnsi" w:cstheme="minorHAnsi"/>
          <w:lang w:val="sr-Cyrl-CS"/>
        </w:rPr>
        <w:t>ног</w:t>
      </w:r>
      <w:r>
        <w:rPr>
          <w:rFonts w:asciiTheme="minorHAnsi" w:hAnsiTheme="minorHAnsi" w:cstheme="minorHAnsi"/>
          <w:lang w:val="sr-Latn-RS"/>
        </w:rPr>
        <w:t xml:space="preserve"> фонд</w:t>
      </w:r>
      <w:r>
        <w:rPr>
          <w:rFonts w:asciiTheme="minorHAnsi" w:hAnsiTheme="minorHAnsi" w:cstheme="minorHAnsi"/>
          <w:lang w:val="sr-Cyrl-CS"/>
        </w:rPr>
        <w:t xml:space="preserve">а, </w:t>
      </w:r>
    </w:p>
    <w:p>
      <w:pPr>
        <w:pStyle w:val="46"/>
        <w:numPr>
          <w:ilvl w:val="0"/>
          <w:numId w:val="11"/>
        </w:numPr>
        <w:spacing w:before="0" w:after="120" w:line="240" w:lineRule="auto"/>
        <w:contextualSpacing w:val="0"/>
        <w:rPr>
          <w:rFonts w:asciiTheme="minorHAnsi" w:hAnsiTheme="minorHAnsi" w:cstheme="minorHAnsi"/>
          <w:lang w:val="sr-Latn-RS"/>
        </w:rPr>
      </w:pPr>
      <w:r>
        <w:rPr>
          <w:rFonts w:asciiTheme="minorHAnsi" w:hAnsiTheme="minorHAnsi" w:cstheme="minorHAnsi"/>
          <w:lang w:val="sr-Latn-RS"/>
        </w:rPr>
        <w:t xml:space="preserve">Програм мјера подршке </w:t>
      </w:r>
      <w:r>
        <w:rPr>
          <w:rFonts w:asciiTheme="minorHAnsi" w:hAnsiTheme="minorHAnsi" w:cstheme="minorHAnsi"/>
          <w:lang w:val="sr-Cyrl-CS"/>
        </w:rPr>
        <w:t xml:space="preserve">развоју </w:t>
      </w:r>
      <w:r>
        <w:rPr>
          <w:rFonts w:asciiTheme="minorHAnsi" w:hAnsiTheme="minorHAnsi" w:cstheme="minorHAnsi"/>
          <w:lang w:val="sr-Latn-RS"/>
        </w:rPr>
        <w:t>предузетни</w:t>
      </w:r>
      <w:r>
        <w:rPr>
          <w:rFonts w:asciiTheme="minorHAnsi" w:hAnsiTheme="minorHAnsi" w:cstheme="minorHAnsi"/>
          <w:lang w:val="sr-Cyrl-CS"/>
        </w:rPr>
        <w:t>ч</w:t>
      </w:r>
      <w:r>
        <w:rPr>
          <w:rFonts w:asciiTheme="minorHAnsi" w:hAnsiTheme="minorHAnsi" w:cstheme="minorHAnsi"/>
          <w:lang w:val="sr-Latn-RS"/>
        </w:rPr>
        <w:t>к</w:t>
      </w:r>
      <w:r>
        <w:rPr>
          <w:rFonts w:asciiTheme="minorHAnsi" w:hAnsiTheme="minorHAnsi" w:cstheme="minorHAnsi"/>
          <w:lang w:val="sr-Cyrl-CS"/>
        </w:rPr>
        <w:t xml:space="preserve">е инфраструктуре, </w:t>
      </w:r>
    </w:p>
    <w:p>
      <w:pPr>
        <w:pStyle w:val="46"/>
        <w:numPr>
          <w:ilvl w:val="0"/>
          <w:numId w:val="11"/>
        </w:numPr>
        <w:spacing w:before="0" w:line="240" w:lineRule="auto"/>
        <w:rPr>
          <w:rFonts w:asciiTheme="minorHAnsi" w:hAnsiTheme="minorHAnsi" w:cstheme="minorHAnsi"/>
          <w:lang w:val="sr-Latn-RS"/>
        </w:rPr>
      </w:pPr>
      <w:r>
        <w:rPr>
          <w:rFonts w:asciiTheme="minorHAnsi" w:hAnsiTheme="minorHAnsi" w:cstheme="minorHAnsi"/>
          <w:lang w:val="sr-Latn-RS"/>
        </w:rPr>
        <w:t xml:space="preserve">Подршка </w:t>
      </w:r>
      <w:r>
        <w:rPr>
          <w:rFonts w:asciiTheme="minorHAnsi" w:hAnsiTheme="minorHAnsi" w:cstheme="minorHAnsi"/>
          <w:lang w:val="sr-Cyrl-CS"/>
        </w:rPr>
        <w:t xml:space="preserve">развоју </w:t>
      </w:r>
      <w:r>
        <w:rPr>
          <w:rFonts w:asciiTheme="minorHAnsi" w:hAnsiTheme="minorHAnsi" w:cstheme="minorHAnsi"/>
          <w:lang w:val="sr-Latn-RS"/>
        </w:rPr>
        <w:t>пољопривред</w:t>
      </w:r>
      <w:r>
        <w:rPr>
          <w:rFonts w:asciiTheme="minorHAnsi" w:hAnsiTheme="minorHAnsi" w:cstheme="minorHAnsi"/>
          <w:lang w:val="sr-Cyrl-CS"/>
        </w:rPr>
        <w:t>е (с</w:t>
      </w:r>
      <w:r>
        <w:rPr>
          <w:rFonts w:asciiTheme="minorHAnsi" w:hAnsiTheme="minorHAnsi" w:cstheme="minorHAnsi"/>
          <w:lang w:val="sr-Latn-RS"/>
        </w:rPr>
        <w:t>убвенције за привођење земљишта култури</w:t>
      </w:r>
      <w:r>
        <w:rPr>
          <w:rFonts w:asciiTheme="minorHAnsi" w:hAnsiTheme="minorHAnsi" w:cstheme="minorHAnsi"/>
          <w:lang w:val="sr-Cyrl-CS"/>
        </w:rPr>
        <w:t xml:space="preserve"> на основу прикупљених </w:t>
      </w:r>
      <w:r>
        <w:rPr>
          <w:rFonts w:asciiTheme="minorHAnsi" w:hAnsiTheme="minorHAnsi" w:cstheme="minorHAnsi"/>
          <w:lang w:val="sr-Latn-RS"/>
        </w:rPr>
        <w:t>средстава од накнада за претварање пољопривредног земљишта у непољопривредн</w:t>
      </w:r>
      <w:r>
        <w:rPr>
          <w:rFonts w:asciiTheme="minorHAnsi" w:hAnsiTheme="minorHAnsi" w:cstheme="minorHAnsi"/>
          <w:lang w:val="sr-Cyrl-CS"/>
        </w:rPr>
        <w:t>о и п одстицајна средства за развој пољопривреде и реализацију пројеката у области пољопривреде),</w:t>
      </w:r>
    </w:p>
    <w:p>
      <w:pPr>
        <w:pStyle w:val="46"/>
        <w:numPr>
          <w:ilvl w:val="0"/>
          <w:numId w:val="11"/>
        </w:numPr>
        <w:spacing w:before="0" w:after="120" w:line="240" w:lineRule="auto"/>
        <w:contextualSpacing w:val="0"/>
        <w:rPr>
          <w:rFonts w:asciiTheme="minorHAnsi" w:hAnsiTheme="minorHAnsi" w:cstheme="minorHAnsi"/>
          <w:lang w:val="sr-Latn-RS"/>
        </w:rPr>
      </w:pPr>
      <w:r>
        <w:rPr>
          <w:rFonts w:asciiTheme="minorHAnsi" w:hAnsiTheme="minorHAnsi" w:cstheme="minorHAnsi"/>
          <w:lang w:val="sr-Latn-RS"/>
        </w:rPr>
        <w:t xml:space="preserve">Измјене и допуне </w:t>
      </w:r>
      <w:r>
        <w:rPr>
          <w:rFonts w:asciiTheme="minorHAnsi" w:hAnsiTheme="minorHAnsi" w:cstheme="minorHAnsi"/>
          <w:lang w:val="sr-Cyrl-CS"/>
        </w:rPr>
        <w:t xml:space="preserve">градске </w:t>
      </w:r>
      <w:r>
        <w:rPr>
          <w:rFonts w:asciiTheme="minorHAnsi" w:hAnsiTheme="minorHAnsi" w:cstheme="minorHAnsi"/>
          <w:lang w:val="sr-Latn-RS"/>
        </w:rPr>
        <w:t>Одлуке о комуналним таксама</w:t>
      </w:r>
      <w:r>
        <w:rPr>
          <w:rFonts w:asciiTheme="minorHAnsi" w:hAnsiTheme="minorHAnsi" w:cstheme="minorHAnsi"/>
          <w:lang w:val="sr-Cyrl-RS"/>
        </w:rPr>
        <w:t>,</w:t>
      </w:r>
    </w:p>
    <w:p>
      <w:pPr>
        <w:pStyle w:val="53"/>
        <w:numPr>
          <w:ilvl w:val="0"/>
          <w:numId w:val="11"/>
        </w:numPr>
        <w:spacing w:after="120"/>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Измјене и допуне Одлуке о одређивању радног времена правним лицима и предузетницима,</w:t>
      </w:r>
    </w:p>
    <w:p>
      <w:pPr>
        <w:pStyle w:val="53"/>
        <w:numPr>
          <w:ilvl w:val="0"/>
          <w:numId w:val="11"/>
        </w:numPr>
        <w:spacing w:after="120"/>
        <w:rPr>
          <w:rStyle w:val="35"/>
          <w:rFonts w:asciiTheme="minorHAnsi" w:hAnsiTheme="minorHAnsi" w:eastAsiaTheme="majorEastAsia" w:cstheme="minorHAnsi"/>
          <w:b w:val="0"/>
          <w:bCs w:val="0"/>
          <w:color w:val="auto"/>
          <w:sz w:val="22"/>
          <w:szCs w:val="22"/>
          <w:lang w:val="sr-Latn-RS"/>
        </w:rPr>
      </w:pPr>
      <w:bookmarkStart w:id="22" w:name="_Hlk507097309"/>
      <w:r>
        <w:rPr>
          <w:rStyle w:val="35"/>
          <w:rFonts w:asciiTheme="minorHAnsi" w:hAnsiTheme="minorHAnsi" w:eastAsiaTheme="majorEastAsia" w:cstheme="minorHAnsi"/>
          <w:b w:val="0"/>
          <w:color w:val="auto"/>
          <w:sz w:val="22"/>
          <w:szCs w:val="22"/>
          <w:lang w:val="sr-Latn-RS"/>
        </w:rPr>
        <w:t xml:space="preserve">Олакшице при плаћању накнаде за уређење градског </w:t>
      </w:r>
      <w:bookmarkStart w:id="23" w:name="_Hlk526609276"/>
      <w:r>
        <w:rPr>
          <w:rStyle w:val="35"/>
          <w:rFonts w:asciiTheme="minorHAnsi" w:hAnsiTheme="minorHAnsi" w:eastAsiaTheme="majorEastAsia" w:cstheme="minorHAnsi"/>
          <w:b w:val="0"/>
          <w:color w:val="auto"/>
          <w:sz w:val="22"/>
          <w:szCs w:val="22"/>
          <w:lang w:val="sr-Latn-RS"/>
        </w:rPr>
        <w:t>грађевинског земљишта и ренте</w:t>
      </w:r>
      <w:bookmarkEnd w:id="23"/>
      <w:r>
        <w:rPr>
          <w:rStyle w:val="35"/>
          <w:rFonts w:asciiTheme="minorHAnsi" w:hAnsiTheme="minorHAnsi" w:eastAsiaTheme="majorEastAsia" w:cstheme="minorHAnsi"/>
          <w:b w:val="0"/>
          <w:color w:val="auto"/>
          <w:sz w:val="22"/>
          <w:szCs w:val="22"/>
          <w:lang w:val="sr-Cyrl-RS"/>
        </w:rPr>
        <w:t>,</w:t>
      </w:r>
    </w:p>
    <w:p>
      <w:pPr>
        <w:pStyle w:val="46"/>
        <w:numPr>
          <w:ilvl w:val="0"/>
          <w:numId w:val="11"/>
        </w:numPr>
        <w:spacing w:before="0" w:after="120" w:line="240" w:lineRule="auto"/>
        <w:contextualSpacing w:val="0"/>
        <w:jc w:val="left"/>
        <w:rPr>
          <w:rFonts w:asciiTheme="minorHAnsi" w:hAnsiTheme="minorHAnsi" w:cstheme="minorHAnsi"/>
          <w:lang w:val="sr-Latn-RS"/>
        </w:rPr>
      </w:pPr>
      <w:r>
        <w:rPr>
          <w:rStyle w:val="35"/>
          <w:rFonts w:asciiTheme="minorHAnsi" w:hAnsiTheme="minorHAnsi" w:cstheme="minorHAnsi"/>
          <w:b w:val="0"/>
          <w:lang w:val="sr-Latn-RS"/>
        </w:rPr>
        <w:t>Олакшице при изградњи производних погона</w:t>
      </w:r>
      <w:r>
        <w:rPr>
          <w:rStyle w:val="35"/>
          <w:rFonts w:asciiTheme="minorHAnsi" w:hAnsiTheme="minorHAnsi" w:cstheme="minorHAnsi"/>
          <w:b w:val="0"/>
          <w:lang w:val="sr-Cyrl-RS"/>
        </w:rPr>
        <w:t>,</w:t>
      </w:r>
    </w:p>
    <w:p>
      <w:pPr>
        <w:pStyle w:val="46"/>
        <w:numPr>
          <w:ilvl w:val="0"/>
          <w:numId w:val="11"/>
        </w:numPr>
        <w:spacing w:after="120"/>
        <w:contextualSpacing w:val="0"/>
        <w:rPr>
          <w:rFonts w:asciiTheme="minorHAnsi" w:hAnsiTheme="minorHAnsi" w:cstheme="minorHAnsi"/>
          <w:b/>
          <w:lang w:val="sr-Cyrl-CS"/>
        </w:rPr>
      </w:pPr>
      <w:r>
        <w:rPr>
          <w:rFonts w:asciiTheme="minorHAnsi" w:hAnsiTheme="minorHAnsi" w:cstheme="minorHAnsi"/>
          <w:lang w:val="sr-Cyrl-CS"/>
        </w:rPr>
        <w:t>Олакшице код плаћања административних такси, и др.</w:t>
      </w:r>
    </w:p>
    <w:p>
      <w:pPr>
        <w:jc w:val="both"/>
        <w:rPr>
          <w:rFonts w:asciiTheme="minorHAnsi" w:hAnsiTheme="minorHAnsi" w:cstheme="minorHAnsi"/>
          <w:b/>
          <w:lang w:val="sr-Cyrl-CS"/>
        </w:rPr>
      </w:pPr>
      <w:r>
        <w:rPr>
          <w:rFonts w:asciiTheme="minorHAnsi" w:hAnsiTheme="minorHAnsi" w:cstheme="minorHAnsi"/>
          <w:lang w:val="sr-Cyrl-CS"/>
        </w:rPr>
        <w:t>Детаљније информације о овим мјерама и активностима налазе се у цјеловитој верзији ситуационе анализе у прилогу Стратегије.</w:t>
      </w:r>
      <w:r>
        <w:rPr>
          <w:rFonts w:asciiTheme="minorHAnsi" w:hAnsiTheme="minorHAnsi" w:cstheme="minorHAnsi"/>
          <w:b/>
          <w:lang w:val="sr-Cyrl-CS"/>
        </w:rPr>
        <w:t xml:space="preserve"> </w:t>
      </w:r>
    </w:p>
    <w:p/>
    <w:bookmarkEnd w:id="22"/>
    <w:tbl>
      <w:tblPr>
        <w:tblStyle w:val="37"/>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350" w:type="dxa"/>
            <w:tcBorders>
              <w:left w:val="nil"/>
              <w:right w:val="nil"/>
            </w:tcBorders>
            <w:shd w:val="clear" w:color="auto" w:fill="A8D08D" w:themeFill="accent6" w:themeFillTint="99"/>
          </w:tcPr>
          <w:p>
            <w:pPr>
              <w:spacing w:after="160" w:line="259" w:lineRule="auto"/>
              <w:jc w:val="both"/>
              <w:rPr>
                <w:i/>
                <w:lang w:val="sr-Cyrl-RS"/>
              </w:rPr>
            </w:pPr>
            <w:r>
              <w:rPr>
                <w:i/>
                <w:lang w:val="sr-Cyrl-RS"/>
              </w:rPr>
              <w:t xml:space="preserve">Град Бања Лука има разноврстан систем </w:t>
            </w:r>
            <w:r>
              <w:rPr>
                <w:rFonts w:asciiTheme="minorHAnsi" w:hAnsiTheme="minorHAnsi" w:cstheme="minorHAnsi"/>
                <w:i/>
                <w:lang w:val="sr-Cyrl-RS"/>
              </w:rPr>
              <w:t>активности</w:t>
            </w:r>
            <w:r>
              <w:rPr>
                <w:rFonts w:asciiTheme="minorHAnsi" w:hAnsiTheme="minorHAnsi" w:cstheme="minorHAnsi"/>
                <w:i/>
                <w:lang w:val="sr-Cyrl-CS"/>
              </w:rPr>
              <w:t xml:space="preserve"> и мјера за подстицање привредног развоја и побољшање услова привређивања,</w:t>
            </w:r>
            <w:r>
              <w:rPr>
                <w:i/>
                <w:lang w:val="sr-Cyrl-RS"/>
              </w:rPr>
              <w:t xml:space="preserve"> али се не постиже синергијски ефекат њихове реализације.Не постоји успостављен јединствен систем праћења ефеката датих подстицаја. Потребно је сагледати ефекте додјељених подстицаја кроз број новотворених радних мјеста, број очуваних радних мјеста након подстицаја, број запослених у привредним субјектима у пословним зонама, те исказан интерес инвеститора за нова улагања. </w:t>
            </w:r>
          </w:p>
          <w:p>
            <w:pPr>
              <w:spacing w:after="160" w:line="259" w:lineRule="auto"/>
              <w:jc w:val="both"/>
              <w:rPr>
                <w:i/>
                <w:lang w:val="sr-Cyrl-RS"/>
              </w:rPr>
            </w:pPr>
            <w:r>
              <w:rPr>
                <w:i/>
                <w:lang w:val="sr-Cyrl-RS"/>
              </w:rPr>
              <w:t>Потребно је диференцирати зоне по дјелатностима које се у њима обављају, на производне и комерцијалне. На овај начин ће се омогућити да производна и прерађивачка дјелатност добију већи подстицај и тако значајније допринесу укупном економском развоју. Осим тога, груписање предузећа чија дјелатност може имати негативан утицај на животну средину омогућава једноставнију контролу и управљање ризицима, као и економски исплативије комунално опремање.</w:t>
            </w:r>
          </w:p>
        </w:tc>
      </w:tr>
    </w:tbl>
    <w:p>
      <w:pPr>
        <w:spacing w:after="160" w:line="259" w:lineRule="auto"/>
        <w:jc w:val="both"/>
        <w:rPr>
          <w:lang w:val="sr-Cyrl-RS"/>
        </w:rPr>
      </w:pPr>
    </w:p>
    <w:p>
      <w:pPr>
        <w:pStyle w:val="5"/>
      </w:pPr>
      <w:bookmarkStart w:id="24" w:name="_Toc526170583"/>
      <w:r>
        <w:t>IV.1.3.3. Локације за инвестирање</w:t>
      </w:r>
      <w:bookmarkEnd w:id="24"/>
    </w:p>
    <w:p>
      <w:pPr>
        <w:spacing w:after="120"/>
        <w:jc w:val="both"/>
        <w:rPr>
          <w:lang w:val="sr-Cyrl-RS"/>
        </w:rPr>
      </w:pPr>
      <w:r>
        <w:rPr>
          <w:lang w:val="sr-Cyrl-RS"/>
        </w:rPr>
        <w:t xml:space="preserve">На подручју града Бања Лука постоји Пословна зона </w:t>
      </w:r>
      <w:r>
        <w:rPr>
          <w:i/>
          <w:lang w:val="sr-Cyrl-RS"/>
        </w:rPr>
        <w:t>Рамићи</w:t>
      </w:r>
      <w:r>
        <w:rPr>
          <w:lang w:val="sr-Cyrl-RS"/>
        </w:rPr>
        <w:t>, те друге доступне локације за инвеститоре који представљају добре прилике за инвестирање и развој пословања.</w:t>
      </w:r>
    </w:p>
    <w:p>
      <w:pPr>
        <w:pStyle w:val="13"/>
        <w:spacing w:before="120" w:after="120"/>
        <w:jc w:val="both"/>
        <w:rPr>
          <w:rFonts w:eastAsia="Times New Roman" w:asciiTheme="minorHAnsi" w:hAnsiTheme="minorHAnsi"/>
          <w:bCs/>
          <w:kern w:val="32"/>
          <w:sz w:val="22"/>
          <w:szCs w:val="22"/>
          <w:lang w:val="sr-Cyrl-BA"/>
        </w:rPr>
      </w:pPr>
      <w:r>
        <w:rPr>
          <w:rFonts w:eastAsia="Times New Roman" w:asciiTheme="minorHAnsi" w:hAnsiTheme="minorHAnsi"/>
          <w:b/>
          <w:bCs/>
          <w:kern w:val="32"/>
          <w:sz w:val="22"/>
          <w:szCs w:val="22"/>
          <w:lang w:val="sr-Cyrl-RS"/>
        </w:rPr>
        <w:t>Пословна зона Рамићи</w:t>
      </w:r>
    </w:p>
    <w:p>
      <w:pPr>
        <w:spacing w:after="120"/>
        <w:jc w:val="both"/>
        <w:rPr>
          <w:lang w:val="sr-Cyrl-RS"/>
        </w:rPr>
      </w:pPr>
      <w:r>
        <w:rPr>
          <w:lang w:val="sr-Cyrl-RS"/>
        </w:rPr>
        <w:t xml:space="preserve">Пројекат Пословна зона </w:t>
      </w:r>
      <w:r>
        <w:rPr>
          <w:lang w:val="sr-Cyrl-CS"/>
        </w:rPr>
        <w:t>„</w:t>
      </w:r>
      <w:r>
        <w:rPr>
          <w:lang w:val="sr-Cyrl-RS"/>
        </w:rPr>
        <w:t>Рамићи-Бања Лука</w:t>
      </w:r>
      <w:r>
        <w:rPr>
          <w:lang w:val="sr-Cyrl-CS"/>
        </w:rPr>
        <w:t>“</w:t>
      </w:r>
      <w:r>
        <w:rPr>
          <w:lang w:val="sr-Cyrl-RS"/>
        </w:rPr>
        <w:t xml:space="preserve"> је модел за развој предузетничких активности града Бање Луке, а у смислу промовисања има за циљ представљати примјер способности у привлачењу и прихватању директног домаћег и страног улагања. Циљ је да се на наведеном простору развије предузетничка инфраструктура, која би својим капацитетима омогућила отварање нових радних мјеста. </w:t>
      </w:r>
    </w:p>
    <w:p>
      <w:pPr>
        <w:jc w:val="both"/>
        <w:rPr>
          <w:lang w:val="sr-Cyrl-RS"/>
        </w:rPr>
      </w:pPr>
      <w:r>
        <w:rPr>
          <w:lang w:val="sr-Cyrl-RS"/>
        </w:rPr>
        <w:t xml:space="preserve">Овај пројекат је само једна од мјера унутар ширег регионалног напора да се представи </w:t>
      </w:r>
      <w:r>
        <w:rPr>
          <w:lang w:val="sr-Cyrl-CS"/>
        </w:rPr>
        <w:t>б</w:t>
      </w:r>
      <w:r>
        <w:rPr>
          <w:lang w:val="sr-Cyrl-RS"/>
        </w:rPr>
        <w:t>ањалучка регија као витална локација, у којој се може оснивати и развијати пословна активност, а пројекат Пословна зона</w:t>
      </w:r>
      <w:r>
        <w:rPr>
          <w:lang w:val="sr-Cyrl-CS"/>
        </w:rPr>
        <w:t xml:space="preserve"> „</w:t>
      </w:r>
      <w:r>
        <w:rPr>
          <w:lang w:val="sr-Cyrl-RS"/>
        </w:rPr>
        <w:t>Рамићи-Бања Лука</w:t>
      </w:r>
      <w:r>
        <w:rPr>
          <w:lang w:val="sr-Cyrl-CS"/>
        </w:rPr>
        <w:t>“</w:t>
      </w:r>
      <w:r>
        <w:rPr>
          <w:lang w:val="sr-Cyrl-RS"/>
        </w:rPr>
        <w:t xml:space="preserve"> треба да постане главна полуга и покретач тих активности. </w:t>
      </w:r>
    </w:p>
    <w:p>
      <w:pPr>
        <w:spacing w:after="120"/>
        <w:jc w:val="both"/>
        <w:rPr>
          <w:lang w:val="sr-Cyrl-RS"/>
        </w:rPr>
      </w:pPr>
      <w:r>
        <w:rPr>
          <w:lang w:val="sr-Cyrl-RS"/>
        </w:rPr>
        <w:t>Пројектом Пословна зона</w:t>
      </w:r>
      <w:r>
        <w:rPr>
          <w:lang w:val="sr-Cyrl-CS"/>
        </w:rPr>
        <w:t xml:space="preserve"> „</w:t>
      </w:r>
      <w:r>
        <w:rPr>
          <w:lang w:val="sr-Cyrl-RS"/>
        </w:rPr>
        <w:t>Рамићи-Бања Лука</w:t>
      </w:r>
      <w:r>
        <w:rPr>
          <w:lang w:val="sr-Cyrl-CS"/>
        </w:rPr>
        <w:t xml:space="preserve">“ </w:t>
      </w:r>
      <w:r>
        <w:rPr>
          <w:lang w:val="sr-Cyrl-RS"/>
        </w:rPr>
        <w:t xml:space="preserve">треба да се створи повољан амбијент за пружање одговарајућих погодности за </w:t>
      </w:r>
      <w:r>
        <w:rPr>
          <w:lang w:val="sr-Cyrl-CS"/>
        </w:rPr>
        <w:t xml:space="preserve">производне и пословне </w:t>
      </w:r>
      <w:r>
        <w:rPr>
          <w:lang w:val="sr-Cyrl-RS"/>
        </w:rPr>
        <w:t xml:space="preserve">активности за нове и већ присутне фирме, које су усмјерене ка развоју привреде и извозу. Стварање нових привредних субјеката, који у свом окружењу имају сву неопходну пословну логистику од финансијских и кадровских капацитета главна је предност и сврха пословних зона. Услуге и простори Пословне зоне подстицаће развој привреде заснован на знању, пораст животног стандарда, повећање конкурентности малог и средњег предузетништва (МСП), а уједно ће побољшати квалитет образовања и привлачност шире регије као нове инвестиционе дестинације.  </w:t>
      </w:r>
    </w:p>
    <w:p>
      <w:pPr>
        <w:jc w:val="both"/>
        <w:rPr>
          <w:lang w:val="sr-Cyrl-CS"/>
        </w:rPr>
      </w:pPr>
      <w:r>
        <w:rPr>
          <w:lang w:val="sr-Cyrl-CS"/>
        </w:rPr>
        <w:t>Финансијска одрживост овог пројекта изискује тражење рјешења за утврђивање капиталних прихода, како би се обезбиједило стабилно дугорочно финансирање. Очекује се да пројекат Пословна зона „Рамићи-Бања Лука“ допринесе локалном и националном привредном развоју кроз пружање квалитетних услуга.</w:t>
      </w:r>
    </w:p>
    <w:p>
      <w:pPr>
        <w:pStyle w:val="13"/>
        <w:spacing w:before="120" w:after="120"/>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У Пословној зони Рамићи укупно је 15 инвеститора, од којих 13 има парцеле у власништву, а 2 су узела парцеле у закуп. Листа инвеститора, са бројем парцеле, дата је у детаљној ситуационој анализи, у прилогу Стратегије.</w:t>
      </w:r>
    </w:p>
    <w:p>
      <w:pPr>
        <w:pStyle w:val="13"/>
        <w:spacing w:before="120" w:after="120"/>
        <w:jc w:val="both"/>
        <w:rPr>
          <w:rFonts w:eastAsia="Times New Roman" w:asciiTheme="minorHAnsi" w:hAnsiTheme="minorHAnsi"/>
          <w:b/>
          <w:bCs/>
          <w:kern w:val="32"/>
          <w:sz w:val="22"/>
          <w:szCs w:val="22"/>
          <w:lang w:val="sr-Cyrl-BA"/>
        </w:rPr>
      </w:pPr>
      <w:r>
        <w:rPr>
          <w:rFonts w:eastAsia="Times New Roman" w:asciiTheme="minorHAnsi" w:hAnsiTheme="minorHAnsi"/>
          <w:b/>
          <w:bCs/>
          <w:kern w:val="32"/>
          <w:sz w:val="22"/>
          <w:szCs w:val="22"/>
          <w:lang w:val="sr-Cyrl-BA"/>
        </w:rPr>
        <w:t>Доступне локације</w:t>
      </w:r>
    </w:p>
    <w:tbl>
      <w:tblPr>
        <w:tblStyle w:val="37"/>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8"/>
        <w:gridCol w:w="1219"/>
        <w:gridCol w:w="1260"/>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4988" w:type="dxa"/>
            <w:shd w:val="clear" w:color="auto" w:fill="C5E0B3" w:themeFill="accent6" w:themeFillTint="66"/>
            <w:vAlign w:val="center"/>
          </w:tcPr>
          <w:p>
            <w:pPr>
              <w:pStyle w:val="13"/>
              <w:jc w:val="center"/>
              <w:rPr>
                <w:rFonts w:eastAsia="Times New Roman" w:asciiTheme="minorHAnsi" w:hAnsiTheme="minorHAnsi"/>
                <w:bCs/>
                <w:kern w:val="32"/>
                <w:sz w:val="22"/>
                <w:szCs w:val="22"/>
                <w:lang w:val="sr-Cyrl-BA"/>
              </w:rPr>
            </w:pPr>
            <w:r>
              <w:rPr>
                <w:rFonts w:eastAsia="Times New Roman"/>
                <w:b/>
                <w:bCs/>
                <w:kern w:val="32"/>
                <w:sz w:val="22"/>
                <w:szCs w:val="22"/>
                <w:lang w:val="sr-Cyrl-RS"/>
              </w:rPr>
              <w:t xml:space="preserve">Доступне локације за инвестирање у Пословној зони </w:t>
            </w:r>
            <w:r>
              <w:rPr>
                <w:rFonts w:eastAsia="Times New Roman"/>
                <w:b/>
                <w:bCs/>
                <w:i/>
                <w:kern w:val="32"/>
                <w:sz w:val="22"/>
                <w:szCs w:val="22"/>
                <w:lang w:val="sr-Cyrl-RS"/>
              </w:rPr>
              <w:t>Рамићи</w:t>
            </w:r>
          </w:p>
        </w:tc>
        <w:tc>
          <w:tcPr>
            <w:tcW w:w="1219" w:type="dxa"/>
            <w:shd w:val="clear" w:color="auto" w:fill="C5E0B3" w:themeFill="accent6" w:themeFillTint="66"/>
            <w:vAlign w:val="center"/>
          </w:tcPr>
          <w:p>
            <w:pPr>
              <w:pStyle w:val="13"/>
              <w:jc w:val="center"/>
              <w:rPr>
                <w:rFonts w:eastAsia="Times New Roman" w:asciiTheme="minorHAnsi" w:hAnsiTheme="minorHAnsi"/>
                <w:b/>
                <w:bCs/>
                <w:kern w:val="32"/>
                <w:sz w:val="22"/>
                <w:szCs w:val="22"/>
                <w:lang w:val="sr-Cyrl-BA"/>
              </w:rPr>
            </w:pPr>
            <w:r>
              <w:rPr>
                <w:rFonts w:eastAsia="Times New Roman" w:cstheme="minorHAnsi"/>
                <w:b/>
                <w:color w:val="000000"/>
                <w:sz w:val="22"/>
                <w:szCs w:val="22"/>
                <w:lang w:val="sr-Cyrl-RS"/>
              </w:rPr>
              <w:t>Укупна површина</w:t>
            </w:r>
          </w:p>
        </w:tc>
        <w:tc>
          <w:tcPr>
            <w:tcW w:w="1260" w:type="dxa"/>
            <w:shd w:val="clear" w:color="auto" w:fill="C5E0B3" w:themeFill="accent6" w:themeFillTint="66"/>
            <w:vAlign w:val="center"/>
          </w:tcPr>
          <w:p>
            <w:pPr>
              <w:pStyle w:val="13"/>
              <w:jc w:val="center"/>
              <w:rPr>
                <w:rFonts w:eastAsia="Times New Roman" w:asciiTheme="minorHAnsi" w:hAnsiTheme="minorHAnsi"/>
                <w:b/>
                <w:bCs/>
                <w:kern w:val="32"/>
                <w:sz w:val="22"/>
                <w:szCs w:val="22"/>
                <w:lang w:val="sr-Cyrl-BA"/>
              </w:rPr>
            </w:pPr>
            <w:r>
              <w:rPr>
                <w:rFonts w:eastAsia="Times New Roman" w:cstheme="minorHAnsi"/>
                <w:b/>
                <w:color w:val="000000"/>
                <w:sz w:val="22"/>
                <w:szCs w:val="22"/>
                <w:lang w:val="sr-Cyrl-RS"/>
              </w:rPr>
              <w:t>Доступно за улагање</w:t>
            </w:r>
          </w:p>
        </w:tc>
        <w:tc>
          <w:tcPr>
            <w:tcW w:w="1883" w:type="dxa"/>
            <w:shd w:val="clear" w:color="auto" w:fill="C5E0B3" w:themeFill="accent6" w:themeFillTint="66"/>
            <w:vAlign w:val="center"/>
          </w:tcPr>
          <w:p>
            <w:pPr>
              <w:pStyle w:val="13"/>
              <w:jc w:val="center"/>
              <w:rPr>
                <w:rFonts w:eastAsia="Times New Roman" w:asciiTheme="minorHAnsi" w:hAnsiTheme="minorHAnsi"/>
                <w:b/>
                <w:bCs/>
                <w:kern w:val="32"/>
                <w:sz w:val="22"/>
                <w:szCs w:val="22"/>
                <w:lang w:val="sr-Cyrl-BA"/>
              </w:rPr>
            </w:pPr>
            <w:r>
              <w:rPr>
                <w:rFonts w:eastAsia="Times New Roman" w:cstheme="minorHAnsi"/>
                <w:b/>
                <w:color w:val="000000"/>
                <w:sz w:val="22"/>
                <w:szCs w:val="22"/>
                <w:lang w:val="sr-Cyrl-RS"/>
              </w:rPr>
              <w:t>Инфраструктура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0" w:type="dxa"/>
            <w:gridSpan w:val="4"/>
            <w:shd w:val="clear" w:color="auto" w:fill="A8D08D" w:themeFill="accent6" w:themeFillTint="99"/>
            <w:vAlign w:val="center"/>
          </w:tcPr>
          <w:p>
            <w:pPr>
              <w:pStyle w:val="13"/>
              <w:jc w:val="both"/>
              <w:rPr>
                <w:rFonts w:eastAsia="Times New Roman" w:asciiTheme="minorHAnsi" w:hAnsiTheme="minorHAnsi"/>
                <w:b/>
                <w:bCs/>
                <w:kern w:val="32"/>
                <w:sz w:val="22"/>
                <w:szCs w:val="22"/>
                <w:lang w:val="sr-Cyrl-RS"/>
              </w:rPr>
            </w:pPr>
            <w:r>
              <w:rPr>
                <w:rFonts w:eastAsia="Times New Roman" w:asciiTheme="minorHAnsi" w:hAnsiTheme="minorHAnsi"/>
                <w:b/>
                <w:bCs/>
                <w:kern w:val="32"/>
                <w:sz w:val="22"/>
                <w:szCs w:val="22"/>
                <w:lang w:val="en-US"/>
              </w:rPr>
              <w:t xml:space="preserve">Greenfield </w:t>
            </w:r>
            <w:r>
              <w:rPr>
                <w:rFonts w:eastAsia="Times New Roman" w:asciiTheme="minorHAnsi" w:hAnsiTheme="minorHAnsi"/>
                <w:b/>
                <w:bCs/>
                <w:kern w:val="32"/>
                <w:sz w:val="22"/>
                <w:szCs w:val="22"/>
                <w:lang w:val="sr-Cyrl-RS"/>
              </w:rPr>
              <w:t>локације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FFFFFF" w:themeFill="background1"/>
          </w:tcPr>
          <w:p>
            <w:pPr>
              <w:pStyle w:val="13"/>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Парцела 1</w:t>
            </w:r>
          </w:p>
        </w:tc>
        <w:tc>
          <w:tcPr>
            <w:tcW w:w="1219" w:type="dxa"/>
            <w:vAlign w:val="center"/>
          </w:tcPr>
          <w:p>
            <w:pPr>
              <w:pStyle w:val="13"/>
              <w:jc w:val="right"/>
              <w:rPr>
                <w:rFonts w:eastAsia="Times New Roman" w:asciiTheme="minorHAnsi" w:hAnsiTheme="minorHAnsi"/>
                <w:bCs/>
                <w:kern w:val="32"/>
                <w:szCs w:val="22"/>
                <w:vertAlign w:val="superscript"/>
                <w:lang w:val="sr-Cyrl-BA"/>
              </w:rPr>
            </w:pPr>
            <w:r>
              <w:rPr>
                <w:rFonts w:eastAsia="Times New Roman" w:asciiTheme="minorHAnsi" w:hAnsiTheme="minorHAnsi"/>
                <w:bCs/>
                <w:kern w:val="32"/>
                <w:sz w:val="22"/>
                <w:szCs w:val="22"/>
                <w:lang w:val="sr-Cyrl-BA"/>
              </w:rPr>
              <w:t>13.550 м</w:t>
            </w:r>
            <w:r>
              <w:rPr>
                <w:rFonts w:eastAsia="Times New Roman" w:asciiTheme="minorHAnsi" w:hAnsiTheme="minorHAnsi"/>
                <w:bCs/>
                <w:kern w:val="32"/>
                <w:sz w:val="22"/>
                <w:szCs w:val="22"/>
                <w:vertAlign w:val="superscript"/>
                <w:lang w:val="sr-Cyrl-BA"/>
              </w:rPr>
              <w:t>2</w:t>
            </w:r>
          </w:p>
        </w:tc>
        <w:tc>
          <w:tcPr>
            <w:tcW w:w="1260"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6.500 м</w:t>
            </w:r>
            <w:r>
              <w:rPr>
                <w:rFonts w:eastAsia="Times New Roman" w:asciiTheme="minorHAnsi" w:hAnsiTheme="minorHAnsi"/>
                <w:bCs/>
                <w:kern w:val="32"/>
                <w:sz w:val="22"/>
                <w:szCs w:val="22"/>
                <w:vertAlign w:val="superscript"/>
                <w:lang w:val="sr-Cyrl-BA"/>
              </w:rPr>
              <w:t>2</w:t>
            </w:r>
            <w:r>
              <w:rPr>
                <w:rFonts w:eastAsia="Times New Roman" w:asciiTheme="minorHAnsi" w:hAnsiTheme="minorHAnsi"/>
                <w:bCs/>
                <w:kern w:val="32"/>
                <w:sz w:val="22"/>
                <w:szCs w:val="22"/>
                <w:lang w:val="sr-Cyrl-BA"/>
              </w:rPr>
              <w:t xml:space="preserve"> </w:t>
            </w:r>
          </w:p>
        </w:tc>
        <w:tc>
          <w:tcPr>
            <w:tcW w:w="1883"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FFFFFF" w:themeFill="background1"/>
          </w:tcPr>
          <w:p>
            <w:pPr>
              <w:pStyle w:val="13"/>
              <w:jc w:val="both"/>
              <w:rPr>
                <w:rFonts w:eastAsia="Times New Roman" w:asciiTheme="minorHAnsi" w:hAnsiTheme="minorHAnsi"/>
                <w:bCs/>
                <w:kern w:val="32"/>
                <w:sz w:val="22"/>
                <w:szCs w:val="22"/>
                <w:lang w:val="sr-Latn-RS"/>
              </w:rPr>
            </w:pPr>
            <w:r>
              <w:rPr>
                <w:rFonts w:eastAsia="Times New Roman" w:asciiTheme="minorHAnsi" w:hAnsiTheme="minorHAnsi"/>
                <w:bCs/>
                <w:kern w:val="32"/>
                <w:sz w:val="22"/>
                <w:szCs w:val="22"/>
                <w:lang w:val="sr-Cyrl-BA"/>
              </w:rPr>
              <w:t>Парцела 2</w:t>
            </w:r>
          </w:p>
        </w:tc>
        <w:tc>
          <w:tcPr>
            <w:tcW w:w="1219"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4.366 м</w:t>
            </w:r>
            <w:r>
              <w:rPr>
                <w:rFonts w:eastAsia="Times New Roman" w:asciiTheme="minorHAnsi" w:hAnsiTheme="minorHAnsi"/>
                <w:bCs/>
                <w:kern w:val="32"/>
                <w:sz w:val="22"/>
                <w:szCs w:val="22"/>
                <w:vertAlign w:val="superscript"/>
                <w:lang w:val="sr-Cyrl-BA"/>
              </w:rPr>
              <w:t>2</w:t>
            </w:r>
          </w:p>
        </w:tc>
        <w:tc>
          <w:tcPr>
            <w:tcW w:w="1260"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4.366 м</w:t>
            </w:r>
            <w:r>
              <w:rPr>
                <w:rFonts w:eastAsia="Times New Roman" w:asciiTheme="minorHAnsi" w:hAnsiTheme="minorHAnsi"/>
                <w:bCs/>
                <w:kern w:val="32"/>
                <w:sz w:val="22"/>
                <w:szCs w:val="22"/>
                <w:vertAlign w:val="superscript"/>
                <w:lang w:val="sr-Cyrl-BA"/>
              </w:rPr>
              <w:t>2</w:t>
            </w:r>
          </w:p>
        </w:tc>
        <w:tc>
          <w:tcPr>
            <w:tcW w:w="1883"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FFFFFF" w:themeFill="background1"/>
          </w:tcPr>
          <w:p>
            <w:pPr>
              <w:pStyle w:val="13"/>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Парцела 3</w:t>
            </w:r>
          </w:p>
        </w:tc>
        <w:tc>
          <w:tcPr>
            <w:tcW w:w="1219"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11.011 м</w:t>
            </w:r>
            <w:r>
              <w:rPr>
                <w:rFonts w:eastAsia="Times New Roman" w:asciiTheme="minorHAnsi" w:hAnsiTheme="minorHAnsi"/>
                <w:bCs/>
                <w:kern w:val="32"/>
                <w:sz w:val="22"/>
                <w:szCs w:val="22"/>
                <w:vertAlign w:val="superscript"/>
                <w:lang w:val="sr-Cyrl-BA"/>
              </w:rPr>
              <w:t>2</w:t>
            </w:r>
          </w:p>
        </w:tc>
        <w:tc>
          <w:tcPr>
            <w:tcW w:w="1260"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11.011 м</w:t>
            </w:r>
            <w:r>
              <w:rPr>
                <w:rFonts w:eastAsia="Times New Roman" w:asciiTheme="minorHAnsi" w:hAnsiTheme="minorHAnsi"/>
                <w:bCs/>
                <w:kern w:val="32"/>
                <w:sz w:val="22"/>
                <w:szCs w:val="22"/>
                <w:vertAlign w:val="superscript"/>
                <w:lang w:val="sr-Cyrl-BA"/>
              </w:rPr>
              <w:t>2</w:t>
            </w:r>
          </w:p>
        </w:tc>
        <w:tc>
          <w:tcPr>
            <w:tcW w:w="1883"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FFFFFF" w:themeFill="background1"/>
          </w:tcPr>
          <w:p>
            <w:pPr>
              <w:pStyle w:val="13"/>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Парцела 4</w:t>
            </w:r>
          </w:p>
        </w:tc>
        <w:tc>
          <w:tcPr>
            <w:tcW w:w="1219"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10.109 м</w:t>
            </w:r>
            <w:r>
              <w:rPr>
                <w:rFonts w:eastAsia="Times New Roman" w:asciiTheme="minorHAnsi" w:hAnsiTheme="minorHAnsi"/>
                <w:bCs/>
                <w:kern w:val="32"/>
                <w:sz w:val="22"/>
                <w:szCs w:val="22"/>
                <w:vertAlign w:val="superscript"/>
                <w:lang w:val="sr-Cyrl-BA"/>
              </w:rPr>
              <w:t>2</w:t>
            </w:r>
            <w:r>
              <w:rPr>
                <w:rFonts w:eastAsia="Times New Roman" w:asciiTheme="minorHAnsi" w:hAnsiTheme="minorHAnsi"/>
                <w:bCs/>
                <w:kern w:val="32"/>
                <w:sz w:val="22"/>
                <w:szCs w:val="22"/>
                <w:lang w:val="sr-Cyrl-BA"/>
              </w:rPr>
              <w:t xml:space="preserve">  </w:t>
            </w:r>
          </w:p>
        </w:tc>
        <w:tc>
          <w:tcPr>
            <w:tcW w:w="1260"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10.109 м</w:t>
            </w:r>
            <w:r>
              <w:rPr>
                <w:rFonts w:eastAsia="Times New Roman" w:asciiTheme="minorHAnsi" w:hAnsiTheme="minorHAnsi"/>
                <w:bCs/>
                <w:kern w:val="32"/>
                <w:sz w:val="22"/>
                <w:szCs w:val="22"/>
                <w:vertAlign w:val="superscript"/>
                <w:lang w:val="sr-Cyrl-BA"/>
              </w:rPr>
              <w:t>2</w:t>
            </w:r>
            <w:r>
              <w:rPr>
                <w:rFonts w:eastAsia="Times New Roman" w:asciiTheme="minorHAnsi" w:hAnsiTheme="minorHAnsi"/>
                <w:bCs/>
                <w:kern w:val="32"/>
                <w:sz w:val="22"/>
                <w:szCs w:val="22"/>
                <w:lang w:val="sr-Cyrl-BA"/>
              </w:rPr>
              <w:t xml:space="preserve">  </w:t>
            </w:r>
          </w:p>
        </w:tc>
        <w:tc>
          <w:tcPr>
            <w:tcW w:w="1883" w:type="dxa"/>
            <w:vAlign w:val="center"/>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0" w:type="dxa"/>
            <w:gridSpan w:val="4"/>
            <w:shd w:val="clear" w:color="auto" w:fill="F4B083" w:themeFill="accent2" w:themeFillTint="99"/>
          </w:tcPr>
          <w:p>
            <w:pPr>
              <w:pStyle w:val="13"/>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en-US"/>
              </w:rPr>
              <w:t xml:space="preserve">Brownfield </w:t>
            </w:r>
            <w:r>
              <w:rPr>
                <w:rFonts w:eastAsia="Times New Roman" w:asciiTheme="minorHAnsi" w:hAnsiTheme="minorHAnsi"/>
                <w:bCs/>
                <w:kern w:val="32"/>
                <w:sz w:val="22"/>
                <w:szCs w:val="22"/>
                <w:lang w:val="sr-Cyrl-RS"/>
              </w:rPr>
              <w:t>локације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auto"/>
          </w:tcPr>
          <w:p>
            <w:pPr>
              <w:pStyle w:val="13"/>
              <w:jc w:val="both"/>
              <w:rPr>
                <w:rFonts w:eastAsia="Times New Roman" w:asciiTheme="minorHAnsi" w:hAnsiTheme="minorHAnsi"/>
                <w:bCs/>
                <w:kern w:val="32"/>
                <w:sz w:val="22"/>
                <w:szCs w:val="22"/>
                <w:lang w:val="sr-Cyrl-BA"/>
              </w:rPr>
            </w:pPr>
          </w:p>
        </w:tc>
        <w:tc>
          <w:tcPr>
            <w:tcW w:w="1219" w:type="dxa"/>
            <w:vAlign w:val="center"/>
          </w:tcPr>
          <w:p>
            <w:pPr>
              <w:pStyle w:val="13"/>
              <w:jc w:val="center"/>
              <w:rPr>
                <w:rFonts w:eastAsia="Times New Roman" w:asciiTheme="minorHAnsi" w:hAnsiTheme="minorHAnsi"/>
                <w:b/>
                <w:bCs/>
                <w:kern w:val="32"/>
                <w:sz w:val="22"/>
                <w:szCs w:val="22"/>
                <w:lang w:val="sr-Cyrl-BA"/>
              </w:rPr>
            </w:pPr>
            <w:r>
              <w:rPr>
                <w:rFonts w:eastAsia="Times New Roman" w:asciiTheme="minorHAnsi" w:hAnsiTheme="minorHAnsi"/>
                <w:b/>
                <w:bCs/>
                <w:kern w:val="32"/>
                <w:sz w:val="22"/>
                <w:szCs w:val="22"/>
                <w:lang w:val="sr-Cyrl-BA"/>
              </w:rPr>
              <w:t>Површина објекта</w:t>
            </w:r>
          </w:p>
        </w:tc>
        <w:tc>
          <w:tcPr>
            <w:tcW w:w="1260" w:type="dxa"/>
            <w:vAlign w:val="center"/>
          </w:tcPr>
          <w:p>
            <w:pPr>
              <w:pStyle w:val="13"/>
              <w:jc w:val="center"/>
              <w:rPr>
                <w:rFonts w:eastAsia="Times New Roman" w:asciiTheme="minorHAnsi" w:hAnsiTheme="minorHAnsi"/>
                <w:b/>
                <w:bCs/>
                <w:kern w:val="32"/>
                <w:sz w:val="22"/>
                <w:szCs w:val="22"/>
                <w:lang w:val="sr-Cyrl-BA"/>
              </w:rPr>
            </w:pPr>
            <w:r>
              <w:rPr>
                <w:rFonts w:eastAsia="Times New Roman" w:asciiTheme="minorHAnsi" w:hAnsiTheme="minorHAnsi"/>
                <w:b/>
                <w:bCs/>
                <w:kern w:val="32"/>
                <w:sz w:val="22"/>
                <w:szCs w:val="22"/>
                <w:lang w:val="sr-Cyrl-BA"/>
              </w:rPr>
              <w:t>Површина парцеле</w:t>
            </w:r>
          </w:p>
        </w:tc>
        <w:tc>
          <w:tcPr>
            <w:tcW w:w="1883" w:type="dxa"/>
            <w:vAlign w:val="center"/>
          </w:tcPr>
          <w:p>
            <w:pPr>
              <w:pStyle w:val="13"/>
              <w:jc w:val="center"/>
              <w:rPr>
                <w:rFonts w:eastAsia="Times New Roman" w:asciiTheme="minorHAnsi" w:hAnsiTheme="minorHAnsi"/>
                <w:b/>
                <w:bCs/>
                <w:kern w:val="32"/>
                <w:sz w:val="22"/>
                <w:szCs w:val="22"/>
                <w:lang w:val="sr-Cyrl-BA"/>
              </w:rPr>
            </w:pPr>
            <w:r>
              <w:rPr>
                <w:rFonts w:eastAsia="Times New Roman" w:asciiTheme="minorHAnsi" w:hAnsiTheme="minorHAnsi"/>
                <w:b/>
                <w:bCs/>
                <w:kern w:val="32"/>
                <w:sz w:val="22"/>
                <w:szCs w:val="22"/>
                <w:lang w:val="sr-Cyrl-BA"/>
              </w:rPr>
              <w:t>Инфраструктура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auto"/>
          </w:tcPr>
          <w:p>
            <w:pPr>
              <w:pStyle w:val="13"/>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Велика хала „ХВТ“</w:t>
            </w:r>
          </w:p>
        </w:tc>
        <w:tc>
          <w:tcPr>
            <w:tcW w:w="1219" w:type="dxa"/>
          </w:tcPr>
          <w:p>
            <w:pPr>
              <w:pStyle w:val="13"/>
              <w:jc w:val="right"/>
              <w:rPr>
                <w:rFonts w:eastAsia="Times New Roman" w:asciiTheme="minorHAnsi" w:hAnsiTheme="minorHAnsi"/>
                <w:bCs/>
                <w:kern w:val="32"/>
                <w:sz w:val="22"/>
                <w:szCs w:val="22"/>
                <w:vertAlign w:val="superscript"/>
                <w:lang w:val="sr-Cyrl-BA"/>
              </w:rPr>
            </w:pPr>
            <w:r>
              <w:rPr>
                <w:rFonts w:eastAsia="Times New Roman" w:asciiTheme="minorHAnsi" w:hAnsiTheme="minorHAnsi"/>
                <w:bCs/>
                <w:kern w:val="32"/>
                <w:sz w:val="22"/>
                <w:szCs w:val="22"/>
                <w:lang w:val="sr-Cyrl-BA"/>
              </w:rPr>
              <w:t>30.314 м</w:t>
            </w:r>
            <w:r>
              <w:rPr>
                <w:rFonts w:eastAsia="Times New Roman" w:asciiTheme="minorHAnsi" w:hAnsiTheme="minorHAnsi"/>
                <w:bCs/>
                <w:kern w:val="32"/>
                <w:sz w:val="22"/>
                <w:szCs w:val="22"/>
                <w:vertAlign w:val="superscript"/>
                <w:lang w:val="sr-Cyrl-BA"/>
              </w:rPr>
              <w:t>2</w:t>
            </w:r>
          </w:p>
        </w:tc>
        <w:tc>
          <w:tcPr>
            <w:tcW w:w="1260"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50.810 м</w:t>
            </w:r>
            <w:r>
              <w:rPr>
                <w:rFonts w:eastAsia="Times New Roman" w:asciiTheme="minorHAnsi" w:hAnsiTheme="minorHAnsi"/>
                <w:bCs/>
                <w:kern w:val="32"/>
                <w:sz w:val="22"/>
                <w:szCs w:val="22"/>
                <w:vertAlign w:val="superscript"/>
                <w:lang w:val="sr-Cyrl-BA"/>
              </w:rPr>
              <w:t>2</w:t>
            </w:r>
          </w:p>
        </w:tc>
        <w:tc>
          <w:tcPr>
            <w:tcW w:w="1883"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auto"/>
          </w:tcPr>
          <w:p>
            <w:pPr>
              <w:pStyle w:val="13"/>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Управна зграда</w:t>
            </w:r>
          </w:p>
        </w:tc>
        <w:tc>
          <w:tcPr>
            <w:tcW w:w="1219"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2.153 м</w:t>
            </w:r>
            <w:r>
              <w:rPr>
                <w:rFonts w:eastAsia="Times New Roman" w:asciiTheme="minorHAnsi" w:hAnsiTheme="minorHAnsi"/>
                <w:bCs/>
                <w:kern w:val="32"/>
                <w:sz w:val="22"/>
                <w:szCs w:val="22"/>
                <w:vertAlign w:val="superscript"/>
                <w:lang w:val="sr-Cyrl-BA"/>
              </w:rPr>
              <w:t>2</w:t>
            </w:r>
          </w:p>
        </w:tc>
        <w:tc>
          <w:tcPr>
            <w:tcW w:w="1260"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5.847 м</w:t>
            </w:r>
            <w:r>
              <w:rPr>
                <w:rFonts w:eastAsia="Times New Roman" w:asciiTheme="minorHAnsi" w:hAnsiTheme="minorHAnsi"/>
                <w:bCs/>
                <w:kern w:val="32"/>
                <w:sz w:val="22"/>
                <w:szCs w:val="22"/>
                <w:vertAlign w:val="superscript"/>
                <w:lang w:val="sr-Cyrl-BA"/>
              </w:rPr>
              <w:t>2</w:t>
            </w:r>
          </w:p>
        </w:tc>
        <w:tc>
          <w:tcPr>
            <w:tcW w:w="1883"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auto"/>
          </w:tcPr>
          <w:p>
            <w:pPr>
              <w:pStyle w:val="13"/>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Ресторан са комерцијалом</w:t>
            </w:r>
          </w:p>
        </w:tc>
        <w:tc>
          <w:tcPr>
            <w:tcW w:w="1219"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822+984=</w:t>
            </w:r>
          </w:p>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1806 м</w:t>
            </w:r>
            <w:r>
              <w:rPr>
                <w:rFonts w:eastAsia="Times New Roman" w:asciiTheme="minorHAnsi" w:hAnsiTheme="minorHAnsi"/>
                <w:bCs/>
                <w:kern w:val="32"/>
                <w:sz w:val="22"/>
                <w:szCs w:val="22"/>
                <w:vertAlign w:val="superscript"/>
                <w:lang w:val="sr-Cyrl-BA"/>
              </w:rPr>
              <w:t>2</w:t>
            </w:r>
          </w:p>
        </w:tc>
        <w:tc>
          <w:tcPr>
            <w:tcW w:w="1260"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4.745 м</w:t>
            </w:r>
            <w:r>
              <w:rPr>
                <w:rFonts w:eastAsia="Times New Roman" w:asciiTheme="minorHAnsi" w:hAnsiTheme="minorHAnsi"/>
                <w:bCs/>
                <w:kern w:val="32"/>
                <w:sz w:val="22"/>
                <w:szCs w:val="22"/>
                <w:vertAlign w:val="superscript"/>
                <w:lang w:val="sr-Cyrl-BA"/>
              </w:rPr>
              <w:t>2</w:t>
            </w:r>
          </w:p>
        </w:tc>
        <w:tc>
          <w:tcPr>
            <w:tcW w:w="1883"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88" w:type="dxa"/>
            <w:shd w:val="clear" w:color="auto" w:fill="auto"/>
          </w:tcPr>
          <w:p>
            <w:pPr>
              <w:pStyle w:val="13"/>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 xml:space="preserve">Котловница </w:t>
            </w:r>
          </w:p>
        </w:tc>
        <w:tc>
          <w:tcPr>
            <w:tcW w:w="1219"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983 м</w:t>
            </w:r>
            <w:r>
              <w:rPr>
                <w:rFonts w:eastAsia="Times New Roman" w:asciiTheme="minorHAnsi" w:hAnsiTheme="minorHAnsi"/>
                <w:bCs/>
                <w:kern w:val="32"/>
                <w:sz w:val="22"/>
                <w:szCs w:val="22"/>
                <w:vertAlign w:val="superscript"/>
                <w:lang w:val="sr-Cyrl-BA"/>
              </w:rPr>
              <w:t>2</w:t>
            </w:r>
          </w:p>
        </w:tc>
        <w:tc>
          <w:tcPr>
            <w:tcW w:w="1260"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8.843 м</w:t>
            </w:r>
            <w:r>
              <w:rPr>
                <w:rFonts w:eastAsia="Times New Roman" w:asciiTheme="minorHAnsi" w:hAnsiTheme="minorHAnsi"/>
                <w:bCs/>
                <w:kern w:val="32"/>
                <w:sz w:val="22"/>
                <w:szCs w:val="22"/>
                <w:vertAlign w:val="superscript"/>
                <w:lang w:val="sr-Cyrl-BA"/>
              </w:rPr>
              <w:t>2</w:t>
            </w:r>
          </w:p>
        </w:tc>
        <w:tc>
          <w:tcPr>
            <w:tcW w:w="1883" w:type="dxa"/>
          </w:tcPr>
          <w:p>
            <w:pPr>
              <w:pStyle w:val="13"/>
              <w:jc w:val="right"/>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Опремање у току</w:t>
            </w:r>
          </w:p>
        </w:tc>
      </w:tr>
    </w:tbl>
    <w:p>
      <w:pPr>
        <w:pStyle w:val="13"/>
        <w:spacing w:before="120" w:after="120"/>
        <w:jc w:val="both"/>
        <w:rPr>
          <w:i/>
          <w:lang w:val="sr-Cyrl-RS"/>
        </w:rPr>
      </w:pPr>
      <w:r>
        <w:rPr>
          <w:i/>
          <w:lang w:val="sr-Cyrl-RS"/>
        </w:rPr>
        <w:t>Извор: Одјељење за локални економски развој и стратешко планирање, јануар 2018. године</w:t>
      </w:r>
    </w:p>
    <w:p>
      <w:pPr>
        <w:pStyle w:val="13"/>
        <w:spacing w:before="120" w:after="120"/>
        <w:jc w:val="both"/>
        <w:rPr>
          <w:rFonts w:eastAsia="Times New Roman" w:asciiTheme="minorHAnsi" w:hAnsiTheme="minorHAnsi"/>
          <w:bCs/>
          <w:kern w:val="32"/>
          <w:sz w:val="22"/>
          <w:szCs w:val="22"/>
          <w:lang w:val="sr-Cyrl-BA"/>
        </w:rPr>
      </w:pPr>
      <w:r>
        <w:rPr>
          <w:rFonts w:eastAsia="Times New Roman" w:asciiTheme="minorHAnsi" w:hAnsiTheme="minorHAnsi"/>
          <w:bCs/>
          <w:kern w:val="32"/>
          <w:sz w:val="22"/>
          <w:szCs w:val="22"/>
          <w:lang w:val="sr-Cyrl-BA"/>
        </w:rPr>
        <w:t>Посебну погодност представља подршка за инвеститоре који улазе у Пословну зону „Рамићи – Бања Лука“, али и други веома атрактивни подстицаји Градске управе, које могу остварити инвеститори у Бања Луци. Преглед подстицаја за инвеститоре налази се на интернет страници Града</w:t>
      </w:r>
      <w:r>
        <w:rPr>
          <w:rStyle w:val="31"/>
          <w:rFonts w:eastAsia="Times New Roman" w:asciiTheme="minorHAnsi" w:hAnsiTheme="minorHAnsi"/>
          <w:bCs/>
          <w:kern w:val="32"/>
          <w:sz w:val="22"/>
          <w:szCs w:val="22"/>
          <w:lang w:val="sr-Cyrl-BA"/>
        </w:rPr>
        <w:footnoteReference w:id="3"/>
      </w:r>
      <w:r>
        <w:rPr>
          <w:rFonts w:eastAsia="Times New Roman" w:asciiTheme="minorHAnsi" w:hAnsiTheme="minorHAnsi"/>
          <w:bCs/>
          <w:kern w:val="32"/>
          <w:sz w:val="22"/>
          <w:szCs w:val="22"/>
          <w:lang w:val="sr-Cyrl-BA"/>
        </w:rPr>
        <w:t xml:space="preserve"> и доступан је свим заинтересованима. </w:t>
      </w:r>
    </w:p>
    <w:p>
      <w:pPr>
        <w:pStyle w:val="13"/>
        <w:spacing w:before="120" w:after="120"/>
        <w:jc w:val="both"/>
        <w:rPr>
          <w:rFonts w:asciiTheme="minorHAnsi" w:hAnsiTheme="minorHAnsi"/>
          <w:bCs/>
          <w:kern w:val="32"/>
          <w:sz w:val="22"/>
          <w:szCs w:val="22"/>
          <w:lang w:val="sr-Cyrl-BA"/>
        </w:rPr>
      </w:pPr>
      <w:r>
        <w:rPr>
          <w:rFonts w:asciiTheme="minorHAnsi" w:hAnsiTheme="minorHAnsi"/>
          <w:bCs/>
          <w:kern w:val="32"/>
          <w:sz w:val="22"/>
          <w:szCs w:val="22"/>
          <w:lang w:val="sr-Cyrl-BA"/>
        </w:rPr>
        <w:t xml:space="preserve">У сврху стимулисања привредника да пословање организују на подручју града, Град је донио </w:t>
      </w:r>
      <w:r>
        <w:rPr>
          <w:rFonts w:asciiTheme="minorHAnsi" w:hAnsiTheme="minorHAnsi"/>
          <w:b/>
          <w:bCs/>
          <w:i/>
          <w:kern w:val="32"/>
          <w:sz w:val="22"/>
          <w:szCs w:val="22"/>
          <w:lang w:val="sr-Cyrl-BA"/>
        </w:rPr>
        <w:t>Правилник о условима, начину отуђења непокретности у својини Града Бања Лука, у циљу реализације инвестиционог пројекта од посебног значаја за локални економски развој (Службени гласник Града Бања Лука бр. 14/17)</w:t>
      </w:r>
      <w:r>
        <w:rPr>
          <w:rFonts w:asciiTheme="minorHAnsi" w:hAnsiTheme="minorHAnsi"/>
          <w:bCs/>
          <w:kern w:val="32"/>
          <w:sz w:val="22"/>
          <w:szCs w:val="22"/>
          <w:lang w:val="sr-Cyrl-BA"/>
        </w:rPr>
        <w:t>.</w:t>
      </w:r>
    </w:p>
    <w:p>
      <w:pPr>
        <w:pStyle w:val="13"/>
        <w:spacing w:before="120" w:after="120"/>
        <w:jc w:val="both"/>
        <w:rPr>
          <w:sz w:val="22"/>
          <w:szCs w:val="22"/>
          <w:lang w:val="sr-Latn-RS"/>
        </w:rPr>
      </w:pPr>
      <w:r>
        <w:rPr>
          <w:sz w:val="22"/>
          <w:szCs w:val="22"/>
          <w:lang w:val="sr-Cyrl-RS"/>
        </w:rPr>
        <w:t xml:space="preserve">У току 2017. године, расписан је </w:t>
      </w:r>
      <w:r>
        <w:rPr>
          <w:i/>
          <w:sz w:val="22"/>
          <w:szCs w:val="22"/>
          <w:lang w:val="sr-Cyrl-RS"/>
        </w:rPr>
        <w:t>Јавни позив</w:t>
      </w:r>
      <w:r>
        <w:rPr>
          <w:sz w:val="22"/>
          <w:szCs w:val="22"/>
          <w:lang w:val="sr-Cyrl-RS"/>
        </w:rPr>
        <w:t xml:space="preserve"> свим физичким и правним лицима која имају у власништву земљиште и/или објекте, да доставе</w:t>
      </w:r>
      <w:r>
        <w:rPr>
          <w:sz w:val="22"/>
          <w:szCs w:val="22"/>
          <w:lang w:val="sr-Latn-RS"/>
        </w:rPr>
        <w:t>:</w:t>
      </w:r>
    </w:p>
    <w:p>
      <w:pPr>
        <w:pStyle w:val="13"/>
        <w:numPr>
          <w:ilvl w:val="0"/>
          <w:numId w:val="12"/>
        </w:numPr>
        <w:spacing w:before="120" w:after="120"/>
        <w:rPr>
          <w:sz w:val="22"/>
          <w:szCs w:val="22"/>
          <w:lang w:val="sr-Latn-RS"/>
        </w:rPr>
      </w:pPr>
      <w:r>
        <w:rPr>
          <w:sz w:val="22"/>
          <w:szCs w:val="22"/>
          <w:lang w:val="sr-Cyrl-RS"/>
        </w:rPr>
        <w:t>Информацију о слободном земљишту (локацији) која је проведбеним планским документом предвиђена за изградњу пословних, производних или индустријских објеката(Greenfield)</w:t>
      </w:r>
      <w:r>
        <w:rPr>
          <w:sz w:val="22"/>
          <w:szCs w:val="22"/>
          <w:lang w:val="sr-Latn-RS"/>
        </w:rPr>
        <w:t>;</w:t>
      </w:r>
    </w:p>
    <w:p>
      <w:pPr>
        <w:pStyle w:val="13"/>
        <w:numPr>
          <w:ilvl w:val="0"/>
          <w:numId w:val="12"/>
        </w:numPr>
        <w:spacing w:before="120" w:after="120"/>
        <w:rPr>
          <w:sz w:val="22"/>
          <w:szCs w:val="22"/>
          <w:lang w:val="sr-Latn-RS"/>
        </w:rPr>
      </w:pPr>
      <w:r>
        <w:rPr>
          <w:sz w:val="22"/>
          <w:szCs w:val="22"/>
          <w:lang w:val="sr-Cyrl-RS"/>
        </w:rPr>
        <w:t>Информацију о слободним (нису у функцији), легално изграђеним, пословним, производним или индустријским објектима (Brownfield).</w:t>
      </w:r>
    </w:p>
    <w:tbl>
      <w:tblPr>
        <w:tblStyle w:val="37"/>
        <w:tblW w:w="935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Ex>
        <w:trPr>
          <w:jc w:val="center"/>
        </w:trPr>
        <w:tc>
          <w:tcPr>
            <w:tcW w:w="9350" w:type="dxa"/>
            <w:shd w:val="clear" w:color="auto" w:fill="C5E0B3" w:themeFill="accent6" w:themeFillTint="66"/>
          </w:tcPr>
          <w:p>
            <w:pPr>
              <w:pStyle w:val="13"/>
              <w:spacing w:before="120" w:after="120"/>
              <w:jc w:val="both"/>
              <w:rPr>
                <w:i/>
                <w:sz w:val="22"/>
                <w:szCs w:val="22"/>
                <w:lang w:val="sr-Cyrl-RS"/>
              </w:rPr>
            </w:pPr>
            <w:r>
              <w:rPr>
                <w:i/>
                <w:sz w:val="22"/>
                <w:szCs w:val="22"/>
                <w:lang w:val="sr-Cyrl-RS"/>
              </w:rPr>
              <w:t>Стратешко опредјељење развоја града Бање Луке је креирање добре пословне климе, те унапређење квалитета услуга и информација које су неопходне за континуирани развој и раст привреде. Домаћи и страни инвеститори су заинтересовани за куповину, односно, изнајмљивање изграђеног и неизграђеног  грађевинског земљишта, као и легално изграђених објеката пословне, производне и индустријске намјене.</w:t>
            </w:r>
          </w:p>
          <w:p>
            <w:pPr>
              <w:pStyle w:val="13"/>
              <w:spacing w:before="120" w:after="120"/>
              <w:jc w:val="both"/>
              <w:rPr>
                <w:i/>
                <w:sz w:val="22"/>
                <w:szCs w:val="22"/>
                <w:lang w:val="sr-Cyrl-RS"/>
              </w:rPr>
            </w:pPr>
            <w:r>
              <w:rPr>
                <w:i/>
                <w:sz w:val="22"/>
                <w:szCs w:val="22"/>
                <w:lang w:val="sr-Cyrl-RS"/>
              </w:rPr>
              <w:t>BFC SEE (BusinessFriendly Certificate  South East Europe) је међународно признати сертификат о повољном пословном окружењу, који град Бања Лука посједује од 2015. године. Програм ресертификације подразумијева процес унапређења односа са постојећим и потенцијалним инвеститорима, на још виши ниво, те у смислу партнерства и обостраног интереса, градоначелник је позивао на сарадњу, тако што би приватно земљиште и објекте, уз сагласност власника, уврстили у понуду, тј. базу локација за инвестирање у граду Бањој Луци и на тај начин повезали власнике  некретнина са потенцијалним инвеститорима.</w:t>
            </w:r>
          </w:p>
          <w:p>
            <w:pPr>
              <w:pStyle w:val="13"/>
              <w:spacing w:before="120" w:after="120"/>
              <w:jc w:val="both"/>
              <w:rPr>
                <w:sz w:val="22"/>
                <w:szCs w:val="22"/>
                <w:lang w:val="sr-Cyrl-RS"/>
              </w:rPr>
            </w:pPr>
            <w:r>
              <w:rPr>
                <w:i/>
                <w:sz w:val="22"/>
                <w:szCs w:val="22"/>
                <w:lang w:val="sr-Cyrl-RS"/>
              </w:rPr>
              <w:t>Њихов  интерес је видљив у шанси да, кроз могућност нових пословних контаката, имају бољи пласман и већи степен искориштености објеката и земљишта, а Града Бање Луке да, кроз виши степен информисаности инвеститора, формирањем база Greenfield и Brownfield локација, створи претпоставку за реализацију већег броја инвестиција, те посредно, већи степен запошљавања локалног становништва и подизање животног стандарда. Нажалост, до краја 2017. године, у Одсјек за сарадњу са инвеститорима, пристигло је 10-ак углавном непотпуних понуда, тако да је очекивани резултат изостао.</w:t>
            </w:r>
          </w:p>
        </w:tc>
      </w:tr>
    </w:tbl>
    <w:p>
      <w:pPr>
        <w:pStyle w:val="13"/>
        <w:spacing w:before="120" w:after="120"/>
        <w:jc w:val="both"/>
        <w:rPr>
          <w:rFonts w:eastAsia="Times New Roman" w:asciiTheme="minorHAnsi" w:hAnsiTheme="minorHAnsi"/>
          <w:b/>
          <w:bCs/>
          <w:i/>
          <w:kern w:val="32"/>
          <w:sz w:val="22"/>
          <w:szCs w:val="22"/>
          <w:lang w:val="sr-Cyrl-BA"/>
        </w:rPr>
      </w:pPr>
    </w:p>
    <w:p>
      <w:pPr>
        <w:pStyle w:val="13"/>
        <w:spacing w:before="120" w:after="120"/>
        <w:jc w:val="both"/>
        <w:rPr>
          <w:rFonts w:eastAsia="Times New Roman" w:cstheme="minorHAnsi"/>
          <w:b/>
          <w:bCs/>
          <w:i/>
          <w:color w:val="000000"/>
          <w:sz w:val="22"/>
          <w:szCs w:val="22"/>
          <w:lang w:val="sr-Cyrl-RS"/>
        </w:rPr>
      </w:pPr>
      <w:r>
        <w:rPr>
          <w:rFonts w:eastAsia="Times New Roman" w:asciiTheme="minorHAnsi" w:hAnsiTheme="minorHAnsi"/>
          <w:b/>
          <w:bCs/>
          <w:i/>
          <w:kern w:val="32"/>
          <w:sz w:val="22"/>
          <w:szCs w:val="22"/>
          <w:lang w:val="sr-Cyrl-BA"/>
        </w:rPr>
        <w:t xml:space="preserve">Доступне </w:t>
      </w:r>
      <w:r>
        <w:rPr>
          <w:rFonts w:eastAsia="Times New Roman" w:cstheme="minorHAnsi"/>
          <w:b/>
          <w:bCs/>
          <w:i/>
          <w:color w:val="000000"/>
          <w:sz w:val="22"/>
          <w:szCs w:val="22"/>
          <w:lang w:val="sr-Latn-RS"/>
        </w:rPr>
        <w:t>g</w:t>
      </w:r>
      <w:r>
        <w:rPr>
          <w:rFonts w:eastAsia="Times New Roman" w:cstheme="minorHAnsi"/>
          <w:b/>
          <w:bCs/>
          <w:i/>
          <w:color w:val="000000"/>
          <w:sz w:val="22"/>
          <w:szCs w:val="22"/>
        </w:rPr>
        <w:t>reenfield</w:t>
      </w:r>
      <w:r>
        <w:rPr>
          <w:rFonts w:eastAsia="Times New Roman" w:cstheme="minorHAnsi"/>
          <w:b/>
          <w:bCs/>
          <w:i/>
          <w:color w:val="000000"/>
          <w:sz w:val="22"/>
          <w:szCs w:val="22"/>
          <w:lang w:val="sr-Cyrl-RS"/>
        </w:rPr>
        <w:t xml:space="preserve"> и</w:t>
      </w:r>
      <w:r>
        <w:rPr>
          <w:rFonts w:eastAsia="Times New Roman" w:cstheme="minorHAnsi"/>
          <w:b/>
          <w:bCs/>
          <w:i/>
          <w:color w:val="000000"/>
          <w:sz w:val="22"/>
          <w:szCs w:val="22"/>
          <w:lang w:val="sr-Cyrl-BA"/>
        </w:rPr>
        <w:t xml:space="preserve"> </w:t>
      </w:r>
      <w:r>
        <w:rPr>
          <w:rFonts w:eastAsia="Times New Roman" w:cstheme="minorHAnsi"/>
          <w:b/>
          <w:bCs/>
          <w:i/>
          <w:color w:val="000000"/>
          <w:sz w:val="22"/>
          <w:szCs w:val="22"/>
        </w:rPr>
        <w:t>brownfield</w:t>
      </w:r>
      <w:r>
        <w:rPr>
          <w:rFonts w:eastAsia="Times New Roman" w:cstheme="minorHAnsi"/>
          <w:b/>
          <w:bCs/>
          <w:i/>
          <w:color w:val="000000"/>
          <w:sz w:val="22"/>
          <w:szCs w:val="22"/>
          <w:lang w:val="sr-Cyrl-BA"/>
        </w:rPr>
        <w:t xml:space="preserve"> </w:t>
      </w:r>
      <w:r>
        <w:rPr>
          <w:rFonts w:eastAsia="Times New Roman" w:cstheme="minorHAnsi"/>
          <w:b/>
          <w:bCs/>
          <w:i/>
          <w:color w:val="000000"/>
          <w:sz w:val="22"/>
          <w:szCs w:val="22"/>
          <w:lang w:val="sr-Cyrl-RS"/>
        </w:rPr>
        <w:t>локације</w:t>
      </w:r>
    </w:p>
    <w:p>
      <w:pPr>
        <w:spacing w:after="120"/>
        <w:jc w:val="both"/>
        <w:rPr>
          <w:rFonts w:asciiTheme="minorHAnsi" w:hAnsiTheme="minorHAnsi" w:cstheme="minorHAnsi"/>
          <w:lang w:val="sr-Cyrl-BA"/>
        </w:rPr>
      </w:pPr>
      <w:r>
        <w:rPr>
          <w:rFonts w:asciiTheme="minorHAnsi" w:hAnsiTheme="minorHAnsi" w:cstheme="minorHAnsi"/>
        </w:rPr>
        <w:t xml:space="preserve">Одјељење за просторно уређење </w:t>
      </w:r>
      <w:r>
        <w:rPr>
          <w:rFonts w:asciiTheme="minorHAnsi" w:hAnsiTheme="minorHAnsi" w:cstheme="minorHAnsi"/>
          <w:lang w:val="sr-Cyrl-RS"/>
        </w:rPr>
        <w:t xml:space="preserve">је </w:t>
      </w:r>
      <w:r>
        <w:rPr>
          <w:rFonts w:asciiTheme="minorHAnsi" w:hAnsiTheme="minorHAnsi" w:cstheme="minorHAnsi"/>
        </w:rPr>
        <w:t xml:space="preserve">у претходном периоду израдило елаборат </w:t>
      </w:r>
      <w:r>
        <w:rPr>
          <w:rFonts w:asciiTheme="minorHAnsi" w:hAnsiTheme="minorHAnsi" w:cstheme="minorHAnsi"/>
          <w:i/>
        </w:rPr>
        <w:t>„</w:t>
      </w:r>
      <w:r>
        <w:rPr>
          <w:rFonts w:asciiTheme="minorHAnsi" w:hAnsiTheme="minorHAnsi" w:cstheme="minorHAnsi"/>
          <w:i/>
          <w:lang w:val="sr-Cyrl-CS"/>
        </w:rPr>
        <w:t>Анализа просторне могућности за пословне зоне на урбаном подручју Града Бања Лука</w:t>
      </w:r>
      <w:r>
        <w:rPr>
          <w:rFonts w:asciiTheme="minorHAnsi" w:hAnsiTheme="minorHAnsi" w:cstheme="minorHAnsi"/>
          <w:lang w:val="sr-Cyrl-BA"/>
        </w:rPr>
        <w:t>“, т</w:t>
      </w:r>
      <w:r>
        <w:rPr>
          <w:rFonts w:asciiTheme="minorHAnsi" w:hAnsiTheme="minorHAnsi" w:cstheme="minorHAnsi"/>
          <w:lang w:val="sr-Latn-RS"/>
        </w:rPr>
        <w:t>e</w:t>
      </w:r>
      <w:r>
        <w:rPr>
          <w:rFonts w:asciiTheme="minorHAnsi" w:hAnsiTheme="minorHAnsi" w:cstheme="minorHAnsi"/>
          <w:lang w:val="sr-Cyrl-BA"/>
        </w:rPr>
        <w:t xml:space="preserve"> је исти био основа за почетак активности на изради анализе о предузимању даљих активности на развоју Пословне зоне </w:t>
      </w:r>
      <w:r>
        <w:rPr>
          <w:rFonts w:asciiTheme="minorHAnsi" w:hAnsiTheme="minorHAnsi" w:cstheme="minorHAnsi"/>
          <w:i/>
          <w:lang w:val="sr-Cyrl-BA"/>
        </w:rPr>
        <w:t>Рамићи Бања Лука</w:t>
      </w:r>
      <w:r>
        <w:rPr>
          <w:rFonts w:asciiTheme="minorHAnsi" w:hAnsiTheme="minorHAnsi" w:cstheme="minorHAnsi"/>
          <w:lang w:val="sr-Cyrl-BA"/>
        </w:rPr>
        <w:t xml:space="preserve"> и пројекције развоја других пословних зона.</w:t>
      </w:r>
    </w:p>
    <w:p>
      <w:pPr>
        <w:spacing w:after="120"/>
        <w:jc w:val="both"/>
        <w:rPr>
          <w:rFonts w:asciiTheme="minorHAnsi" w:hAnsiTheme="minorHAnsi" w:cstheme="minorHAnsi"/>
        </w:rPr>
      </w:pPr>
      <w:r>
        <w:rPr>
          <w:rFonts w:asciiTheme="minorHAnsi" w:hAnsiTheme="minorHAnsi" w:cstheme="minorHAnsi"/>
          <w:lang w:val="sr-Cyrl-BA"/>
        </w:rPr>
        <w:t>На основу наведеног елабората (11 обрађених локација)</w:t>
      </w:r>
      <w:r>
        <w:rPr>
          <w:rFonts w:asciiTheme="minorHAnsi" w:hAnsiTheme="minorHAnsi" w:cstheme="minorHAnsi"/>
          <w:lang w:val="sr-Latn-RS"/>
        </w:rPr>
        <w:t>,</w:t>
      </w:r>
      <w:r>
        <w:rPr>
          <w:rFonts w:asciiTheme="minorHAnsi" w:hAnsiTheme="minorHAnsi" w:cstheme="minorHAnsi"/>
          <w:lang w:val="sr-Cyrl-BA"/>
        </w:rPr>
        <w:t xml:space="preserve"> направљен је избор локација које имају потенцијал за наставак истраживања,  те је извршен теренски обилазак одабраних локација, као и Пословне зоне „Рамићи-Бања Лука“. </w:t>
      </w:r>
      <w:r>
        <w:rPr>
          <w:rFonts w:asciiTheme="minorHAnsi" w:hAnsiTheme="minorHAnsi" w:cstheme="minorHAnsi"/>
        </w:rPr>
        <w:t xml:space="preserve">У коначници, кроз </w:t>
      </w:r>
      <w:r>
        <w:rPr>
          <w:rFonts w:asciiTheme="minorHAnsi" w:hAnsiTheme="minorHAnsi" w:cstheme="minorHAnsi"/>
          <w:lang w:val="sr-Cyrl-RS"/>
        </w:rPr>
        <w:t xml:space="preserve">даљу </w:t>
      </w:r>
      <w:r>
        <w:rPr>
          <w:rFonts w:asciiTheme="minorHAnsi" w:hAnsiTheme="minorHAnsi" w:cstheme="minorHAnsi"/>
        </w:rPr>
        <w:t xml:space="preserve">анализу </w:t>
      </w:r>
      <w:r>
        <w:rPr>
          <w:rFonts w:asciiTheme="minorHAnsi" w:hAnsiTheme="minorHAnsi" w:cstheme="minorHAnsi"/>
          <w:lang w:val="sr-Cyrl-RS"/>
        </w:rPr>
        <w:t xml:space="preserve">је </w:t>
      </w:r>
      <w:r>
        <w:rPr>
          <w:rFonts w:asciiTheme="minorHAnsi" w:hAnsiTheme="minorHAnsi" w:cstheme="minorHAnsi"/>
        </w:rPr>
        <w:t>обухваћено шест локација, и то:</w:t>
      </w:r>
    </w:p>
    <w:p>
      <w:pPr>
        <w:numPr>
          <w:ilvl w:val="0"/>
          <w:numId w:val="13"/>
        </w:numPr>
        <w:jc w:val="both"/>
        <w:rPr>
          <w:rFonts w:asciiTheme="minorHAnsi" w:hAnsiTheme="minorHAnsi" w:cstheme="minorHAnsi"/>
        </w:rPr>
      </w:pPr>
      <w:r>
        <w:rPr>
          <w:rFonts w:asciiTheme="minorHAnsi" w:hAnsiTheme="minorHAnsi" w:cstheme="minorHAnsi"/>
        </w:rPr>
        <w:t>Локација 1 - проширење Пословне зоне „Рамићи-Бања Лука“,</w:t>
      </w:r>
    </w:p>
    <w:p>
      <w:pPr>
        <w:numPr>
          <w:ilvl w:val="0"/>
          <w:numId w:val="13"/>
        </w:numPr>
        <w:jc w:val="both"/>
        <w:rPr>
          <w:rFonts w:asciiTheme="minorHAnsi" w:hAnsiTheme="minorHAnsi" w:cstheme="minorHAnsi"/>
        </w:rPr>
      </w:pPr>
      <w:r>
        <w:rPr>
          <w:rFonts w:asciiTheme="minorHAnsi" w:hAnsiTheme="minorHAnsi" w:cstheme="minorHAnsi"/>
        </w:rPr>
        <w:t>Локација 2 - „Вујиновићи-Запад“,</w:t>
      </w:r>
    </w:p>
    <w:p>
      <w:pPr>
        <w:numPr>
          <w:ilvl w:val="0"/>
          <w:numId w:val="13"/>
        </w:numPr>
        <w:jc w:val="both"/>
        <w:rPr>
          <w:rFonts w:asciiTheme="minorHAnsi" w:hAnsiTheme="minorHAnsi" w:cstheme="minorHAnsi"/>
        </w:rPr>
      </w:pPr>
      <w:r>
        <w:rPr>
          <w:rFonts w:asciiTheme="minorHAnsi" w:hAnsiTheme="minorHAnsi" w:cstheme="minorHAnsi"/>
        </w:rPr>
        <w:t>Локација 3 - „Антена“,</w:t>
      </w:r>
    </w:p>
    <w:p>
      <w:pPr>
        <w:numPr>
          <w:ilvl w:val="0"/>
          <w:numId w:val="13"/>
        </w:numPr>
        <w:jc w:val="both"/>
        <w:rPr>
          <w:rFonts w:asciiTheme="minorHAnsi" w:hAnsiTheme="minorHAnsi" w:cstheme="minorHAnsi"/>
        </w:rPr>
      </w:pPr>
      <w:r>
        <w:rPr>
          <w:rFonts w:asciiTheme="minorHAnsi" w:hAnsiTheme="minorHAnsi" w:cstheme="minorHAnsi"/>
        </w:rPr>
        <w:t>Локација 4 - „Лазарево 4“,</w:t>
      </w:r>
    </w:p>
    <w:p>
      <w:pPr>
        <w:numPr>
          <w:ilvl w:val="0"/>
          <w:numId w:val="13"/>
        </w:numPr>
        <w:jc w:val="both"/>
        <w:rPr>
          <w:rFonts w:asciiTheme="minorHAnsi" w:hAnsiTheme="minorHAnsi" w:cstheme="minorHAnsi"/>
        </w:rPr>
      </w:pPr>
      <w:r>
        <w:rPr>
          <w:rFonts w:asciiTheme="minorHAnsi" w:hAnsiTheme="minorHAnsi" w:cstheme="minorHAnsi"/>
        </w:rPr>
        <w:t>Локација 5 - „Ада 4“</w:t>
      </w:r>
      <w:r>
        <w:rPr>
          <w:rFonts w:asciiTheme="minorHAnsi" w:hAnsiTheme="minorHAnsi" w:cstheme="minorHAnsi"/>
          <w:lang w:val="sr-Cyrl-BA"/>
        </w:rPr>
        <w:t xml:space="preserve"> и</w:t>
      </w:r>
    </w:p>
    <w:p>
      <w:pPr>
        <w:numPr>
          <w:ilvl w:val="0"/>
          <w:numId w:val="13"/>
        </w:numPr>
        <w:spacing w:after="120"/>
        <w:jc w:val="both"/>
        <w:rPr>
          <w:rFonts w:asciiTheme="minorHAnsi" w:hAnsiTheme="minorHAnsi" w:cstheme="minorHAnsi"/>
        </w:rPr>
      </w:pPr>
      <w:r>
        <w:rPr>
          <w:rFonts w:asciiTheme="minorHAnsi" w:hAnsiTheme="minorHAnsi" w:cstheme="minorHAnsi"/>
        </w:rPr>
        <w:t>Локација 6 - „Јелшинград“.</w:t>
      </w:r>
    </w:p>
    <w:p>
      <w:pPr>
        <w:spacing w:after="120"/>
        <w:jc w:val="both"/>
        <w:rPr>
          <w:rFonts w:asciiTheme="minorHAnsi" w:hAnsiTheme="minorHAnsi" w:cstheme="minorHAnsi"/>
          <w:lang w:val="sr-Cyrl-BA"/>
        </w:rPr>
      </w:pPr>
      <w:r>
        <w:rPr>
          <w:rFonts w:asciiTheme="minorHAnsi" w:hAnsiTheme="minorHAnsi" w:cstheme="minorHAnsi"/>
          <w:lang w:val="sr-Cyrl-BA"/>
        </w:rPr>
        <w:t>Све наведене локације су анализиране кроз сагледавање постојећег стања на терену, имов</w:t>
      </w:r>
      <w:r>
        <w:rPr>
          <w:rFonts w:asciiTheme="minorHAnsi" w:hAnsiTheme="minorHAnsi" w:cstheme="minorHAnsi"/>
          <w:lang w:val="sr-Cyrl-RS"/>
        </w:rPr>
        <w:t>и</w:t>
      </w:r>
      <w:r>
        <w:rPr>
          <w:rFonts w:asciiTheme="minorHAnsi" w:hAnsiTheme="minorHAnsi" w:cstheme="minorHAnsi"/>
          <w:lang w:val="sr-Cyrl-BA"/>
        </w:rPr>
        <w:t xml:space="preserve">нску структуру земљишта, кроз важећа просторно-планска рјешења, као и кроз “cost – benefit” анализу, те је утврђен приједлог реализације пословних зона. </w:t>
      </w:r>
    </w:p>
    <w:p>
      <w:pPr>
        <w:jc w:val="both"/>
        <w:rPr>
          <w:rFonts w:asciiTheme="minorHAnsi" w:hAnsiTheme="minorHAnsi" w:cstheme="minorHAnsi"/>
          <w:lang w:val="sr-Cyrl-BA"/>
        </w:rPr>
      </w:pPr>
      <w:r>
        <w:rPr>
          <w:rFonts w:asciiTheme="minorHAnsi" w:hAnsiTheme="minorHAnsi" w:cstheme="minorHAnsi"/>
          <w:b/>
          <w:lang w:val="sr-Cyrl-BA"/>
        </w:rPr>
        <w:t xml:space="preserve">Приједлог реализације пословних зона. </w:t>
      </w:r>
      <w:r>
        <w:rPr>
          <w:rFonts w:asciiTheme="minorHAnsi" w:hAnsiTheme="minorHAnsi" w:cstheme="minorHAnsi"/>
          <w:lang w:val="sr-Cyrl-BA"/>
        </w:rPr>
        <w:t>Разматрајући приказане валоризације предложених локација спроведене по основу просторно-планских аспреката и „cost-benefit“ анализе, предлаже се да редосљед реализације пословних зона буде сљедећи:</w:t>
      </w:r>
    </w:p>
    <w:p>
      <w:pPr>
        <w:jc w:val="both"/>
        <w:rPr>
          <w:rFonts w:asciiTheme="minorHAnsi" w:hAnsiTheme="minorHAnsi" w:cstheme="minorHAnsi"/>
          <w:lang w:val="sr-Cyrl-BA"/>
        </w:rPr>
      </w:pPr>
    </w:p>
    <w:tbl>
      <w:tblPr>
        <w:tblStyle w:val="3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14"/>
        <w:gridCol w:w="1699"/>
        <w:gridCol w:w="170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bottom w:val="single" w:color="auto" w:sz="4" w:space="0"/>
            </w:tcBorders>
            <w:shd w:val="clear" w:color="auto" w:fill="538135" w:themeFill="accent6" w:themeFillShade="BF"/>
          </w:tcPr>
          <w:p>
            <w:pPr>
              <w:rPr>
                <w:rFonts w:asciiTheme="minorHAnsi" w:hAnsiTheme="minorHAnsi" w:cstheme="minorHAnsi"/>
                <w:sz w:val="20"/>
                <w:lang w:val="sr-Cyrl-CS"/>
              </w:rPr>
            </w:pPr>
          </w:p>
        </w:tc>
        <w:tc>
          <w:tcPr>
            <w:tcW w:w="3514" w:type="dxa"/>
            <w:tcBorders>
              <w:bottom w:val="single" w:color="auto" w:sz="4" w:space="0"/>
            </w:tcBorders>
            <w:shd w:val="clear" w:color="auto" w:fill="538135" w:themeFill="accent6" w:themeFillShade="BF"/>
            <w:vAlign w:val="center"/>
          </w:tcPr>
          <w:p>
            <w:pPr>
              <w:jc w:val="center"/>
              <w:rPr>
                <w:rFonts w:asciiTheme="minorHAnsi" w:hAnsiTheme="minorHAnsi" w:cstheme="minorHAnsi"/>
                <w:b/>
                <w:sz w:val="20"/>
                <w:lang w:val="sr-Cyrl-CS"/>
              </w:rPr>
            </w:pPr>
            <w:r>
              <w:rPr>
                <w:rFonts w:asciiTheme="minorHAnsi" w:hAnsiTheme="minorHAnsi" w:cstheme="minorHAnsi"/>
                <w:b/>
                <w:color w:val="FFFFFF" w:themeColor="background1"/>
                <w:sz w:val="20"/>
                <w:lang w:val="sr-Cyrl-CS"/>
                <w14:textFill>
                  <w14:solidFill>
                    <w14:schemeClr w14:val="bg1"/>
                  </w14:solidFill>
                </w14:textFill>
              </w:rPr>
              <w:t>Локација</w:t>
            </w:r>
          </w:p>
        </w:tc>
        <w:tc>
          <w:tcPr>
            <w:tcW w:w="1699" w:type="dxa"/>
            <w:shd w:val="clear" w:color="auto" w:fill="538135" w:themeFill="accent6" w:themeFillShade="BF"/>
            <w:vAlign w:val="center"/>
          </w:tcPr>
          <w:p>
            <w:pPr>
              <w:jc w:val="center"/>
              <w:rPr>
                <w:rFonts w:asciiTheme="minorHAnsi" w:hAnsiTheme="minorHAnsi" w:cstheme="minorHAnsi"/>
                <w:b/>
                <w:sz w:val="20"/>
                <w:lang w:val="sr-Cyrl-RS"/>
              </w:rPr>
            </w:pPr>
            <w:r>
              <w:rPr>
                <w:rFonts w:asciiTheme="minorHAnsi" w:hAnsiTheme="minorHAnsi" w:cstheme="minorHAnsi"/>
                <w:b/>
                <w:color w:val="FFFFFF" w:themeColor="background1"/>
                <w:sz w:val="20"/>
                <w:lang w:val="sr-Cyrl-CS"/>
                <w14:textFill>
                  <w14:solidFill>
                    <w14:schemeClr w14:val="bg1"/>
                  </w14:solidFill>
                </w14:textFill>
              </w:rPr>
              <w:t xml:space="preserve">Оцјена према </w:t>
            </w:r>
            <w:r>
              <w:rPr>
                <w:rFonts w:asciiTheme="minorHAnsi" w:hAnsiTheme="minorHAnsi" w:cstheme="minorHAnsi"/>
                <w:b/>
                <w:color w:val="FFFFFF" w:themeColor="background1"/>
                <w:sz w:val="20"/>
                <w:lang w:val="sr-Cyrl-BA"/>
                <w14:textFill>
                  <w14:solidFill>
                    <w14:schemeClr w14:val="bg1"/>
                  </w14:solidFill>
                </w14:textFill>
              </w:rPr>
              <w:t>просторно-планским</w:t>
            </w:r>
            <w:r>
              <w:rPr>
                <w:rFonts w:asciiTheme="minorHAnsi" w:hAnsiTheme="minorHAnsi" w:cstheme="minorHAnsi"/>
                <w:color w:val="FFFFFF" w:themeColor="background1"/>
                <w:sz w:val="20"/>
                <w:lang w:val="sr-Cyrl-BA"/>
                <w14:textFill>
                  <w14:solidFill>
                    <w14:schemeClr w14:val="bg1"/>
                  </w14:solidFill>
                </w14:textFill>
              </w:rPr>
              <w:t xml:space="preserve"> </w:t>
            </w:r>
            <w:r>
              <w:rPr>
                <w:rFonts w:asciiTheme="minorHAnsi" w:hAnsiTheme="minorHAnsi" w:cstheme="minorHAnsi"/>
                <w:color w:val="FFFFFF" w:themeColor="background1"/>
                <w:sz w:val="20"/>
                <w:lang w:val="sr-Cyrl-RS"/>
                <w14:textFill>
                  <w14:solidFill>
                    <w14:schemeClr w14:val="bg1"/>
                  </w14:solidFill>
                </w14:textFill>
              </w:rPr>
              <w:t>аспектима</w:t>
            </w:r>
          </w:p>
        </w:tc>
        <w:tc>
          <w:tcPr>
            <w:tcW w:w="1700" w:type="dxa"/>
            <w:shd w:val="clear" w:color="auto" w:fill="538135" w:themeFill="accent6" w:themeFillShade="BF"/>
            <w:vAlign w:val="center"/>
          </w:tcPr>
          <w:p>
            <w:pPr>
              <w:jc w:val="center"/>
              <w:rPr>
                <w:rFonts w:asciiTheme="minorHAnsi" w:hAnsiTheme="minorHAnsi" w:cstheme="minorHAnsi"/>
                <w:b/>
                <w:color w:val="FFFFFF" w:themeColor="background1"/>
                <w:sz w:val="20"/>
                <w:lang w:val="sr-Cyrl-BA"/>
                <w14:textFill>
                  <w14:solidFill>
                    <w14:schemeClr w14:val="bg1"/>
                  </w14:solidFill>
                </w14:textFill>
              </w:rPr>
            </w:pPr>
            <w:r>
              <w:rPr>
                <w:rFonts w:asciiTheme="minorHAnsi" w:hAnsiTheme="minorHAnsi" w:cstheme="minorHAnsi"/>
                <w:b/>
                <w:color w:val="FFFFFF" w:themeColor="background1"/>
                <w:sz w:val="20"/>
                <w:lang w:val="sr-Cyrl-BA"/>
                <w14:textFill>
                  <w14:solidFill>
                    <w14:schemeClr w14:val="bg1"/>
                  </w14:solidFill>
                </w14:textFill>
              </w:rPr>
              <w:t>Оцјена према</w:t>
            </w:r>
          </w:p>
          <w:p>
            <w:pPr>
              <w:jc w:val="center"/>
              <w:rPr>
                <w:rFonts w:asciiTheme="minorHAnsi" w:hAnsiTheme="minorHAnsi" w:cstheme="minorHAnsi"/>
                <w:b/>
                <w:sz w:val="20"/>
                <w:lang w:val="sr-Cyrl-CS"/>
              </w:rPr>
            </w:pPr>
            <w:r>
              <w:rPr>
                <w:rFonts w:asciiTheme="minorHAnsi" w:hAnsiTheme="minorHAnsi" w:cstheme="minorHAnsi"/>
                <w:b/>
                <w:color w:val="FFFFFF" w:themeColor="background1"/>
                <w:sz w:val="20"/>
                <w:lang w:val="sr-Cyrl-BA"/>
                <w14:textFill>
                  <w14:solidFill>
                    <w14:schemeClr w14:val="bg1"/>
                  </w14:solidFill>
                </w14:textFill>
              </w:rPr>
              <w:t>„cost-benefit“ анализи</w:t>
            </w:r>
          </w:p>
        </w:tc>
        <w:tc>
          <w:tcPr>
            <w:tcW w:w="1700" w:type="dxa"/>
            <w:shd w:val="clear" w:color="auto" w:fill="538135" w:themeFill="accent6" w:themeFillShade="BF"/>
            <w:vAlign w:val="center"/>
          </w:tcPr>
          <w:p>
            <w:pPr>
              <w:jc w:val="center"/>
              <w:rPr>
                <w:rFonts w:asciiTheme="minorHAnsi" w:hAnsiTheme="minorHAnsi" w:cstheme="minorHAnsi"/>
                <w:b/>
                <w:sz w:val="20"/>
                <w:lang w:val="sr-Cyrl-CS"/>
              </w:rPr>
            </w:pPr>
            <w:r>
              <w:rPr>
                <w:rFonts w:asciiTheme="minorHAnsi" w:hAnsiTheme="minorHAnsi" w:cstheme="minorHAnsi"/>
                <w:b/>
                <w:color w:val="FFFFFF" w:themeColor="background1"/>
                <w:sz w:val="20"/>
                <w:lang w:val="sr-Cyrl-CS"/>
                <w14:textFill>
                  <w14:solidFill>
                    <w14:schemeClr w14:val="bg1"/>
                  </w14:solidFill>
                </w14:textFill>
              </w:rPr>
              <w:t>СУМА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8D08D" w:themeFill="accent6" w:themeFillTint="99"/>
            <w:vAlign w:val="center"/>
          </w:tcPr>
          <w:p>
            <w:pPr>
              <w:jc w:val="center"/>
              <w:rPr>
                <w:rFonts w:asciiTheme="minorHAnsi" w:hAnsiTheme="minorHAnsi" w:cstheme="minorHAnsi"/>
                <w:b/>
                <w:lang w:val="sr-Cyrl-CS"/>
              </w:rPr>
            </w:pPr>
            <w:r>
              <w:rPr>
                <w:rFonts w:asciiTheme="minorHAnsi" w:hAnsiTheme="minorHAnsi" w:cstheme="minorHAnsi"/>
                <w:b/>
                <w:lang w:val="sr-Cyrl-CS"/>
              </w:rPr>
              <w:t>1</w:t>
            </w:r>
          </w:p>
        </w:tc>
        <w:tc>
          <w:tcPr>
            <w:tcW w:w="3514" w:type="dxa"/>
            <w:shd w:val="clear" w:color="auto" w:fill="A8D08D" w:themeFill="accent6" w:themeFillTint="99"/>
            <w:vAlign w:val="center"/>
          </w:tcPr>
          <w:p>
            <w:pPr>
              <w:rPr>
                <w:rFonts w:asciiTheme="minorHAnsi" w:hAnsiTheme="minorHAnsi" w:cstheme="minorHAnsi"/>
                <w:lang w:val="sr-Cyrl-CS"/>
              </w:rPr>
            </w:pPr>
            <w:r>
              <w:rPr>
                <w:rFonts w:asciiTheme="minorHAnsi" w:hAnsiTheme="minorHAnsi" w:cstheme="minorHAnsi"/>
                <w:lang w:val="sr-Cyrl-CS"/>
              </w:rPr>
              <w:t>Локација 6. - „Јелшинград“</w:t>
            </w:r>
          </w:p>
        </w:tc>
        <w:tc>
          <w:tcPr>
            <w:tcW w:w="1699"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5</w:t>
            </w:r>
          </w:p>
        </w:tc>
        <w:tc>
          <w:tcPr>
            <w:tcW w:w="1700"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5</w:t>
            </w:r>
          </w:p>
        </w:tc>
        <w:tc>
          <w:tcPr>
            <w:tcW w:w="1700" w:type="dxa"/>
            <w:shd w:val="clear" w:color="auto" w:fill="auto"/>
            <w:vAlign w:val="center"/>
          </w:tcPr>
          <w:p>
            <w:pPr>
              <w:jc w:val="center"/>
              <w:rPr>
                <w:rFonts w:asciiTheme="minorHAnsi" w:hAnsiTheme="minorHAnsi" w:cstheme="minorHAnsi"/>
                <w:b/>
                <w:lang w:val="sr-Cyrl-CS"/>
              </w:rPr>
            </w:pPr>
            <w:r>
              <w:rPr>
                <w:rFonts w:asciiTheme="minorHAnsi" w:hAnsiTheme="minorHAnsi" w:cstheme="minorHAnsi"/>
                <w:b/>
                <w:lang w:val="sr-Cyrl-C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8D08D" w:themeFill="accent6" w:themeFillTint="99"/>
            <w:vAlign w:val="center"/>
          </w:tcPr>
          <w:p>
            <w:pPr>
              <w:jc w:val="center"/>
              <w:rPr>
                <w:rFonts w:asciiTheme="minorHAnsi" w:hAnsiTheme="minorHAnsi" w:cstheme="minorHAnsi"/>
                <w:b/>
                <w:lang w:val="sr-Cyrl-CS"/>
              </w:rPr>
            </w:pPr>
            <w:r>
              <w:rPr>
                <w:rFonts w:asciiTheme="minorHAnsi" w:hAnsiTheme="minorHAnsi" w:cstheme="minorHAnsi"/>
                <w:b/>
                <w:lang w:val="sr-Cyrl-CS"/>
              </w:rPr>
              <w:t>2</w:t>
            </w:r>
          </w:p>
        </w:tc>
        <w:tc>
          <w:tcPr>
            <w:tcW w:w="3514" w:type="dxa"/>
            <w:shd w:val="clear" w:color="auto" w:fill="A8D08D" w:themeFill="accent6" w:themeFillTint="99"/>
            <w:vAlign w:val="center"/>
          </w:tcPr>
          <w:p>
            <w:pPr>
              <w:rPr>
                <w:rFonts w:asciiTheme="minorHAnsi" w:hAnsiTheme="minorHAnsi" w:cstheme="minorHAnsi"/>
                <w:lang w:val="sr-Cyrl-CS"/>
              </w:rPr>
            </w:pPr>
            <w:r>
              <w:rPr>
                <w:rFonts w:asciiTheme="minorHAnsi" w:hAnsiTheme="minorHAnsi" w:cstheme="minorHAnsi"/>
                <w:lang w:val="sr-Cyrl-CS"/>
              </w:rPr>
              <w:t>Локација 1. - проширење Пословне зоне „Рамићи - Бања Лука“</w:t>
            </w:r>
          </w:p>
        </w:tc>
        <w:tc>
          <w:tcPr>
            <w:tcW w:w="1699"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4</w:t>
            </w:r>
          </w:p>
        </w:tc>
        <w:tc>
          <w:tcPr>
            <w:tcW w:w="1700"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3</w:t>
            </w:r>
          </w:p>
        </w:tc>
        <w:tc>
          <w:tcPr>
            <w:tcW w:w="1700" w:type="dxa"/>
            <w:shd w:val="clear" w:color="auto" w:fill="auto"/>
            <w:vAlign w:val="center"/>
          </w:tcPr>
          <w:p>
            <w:pPr>
              <w:jc w:val="center"/>
              <w:rPr>
                <w:rFonts w:asciiTheme="minorHAnsi" w:hAnsiTheme="minorHAnsi" w:cstheme="minorHAnsi"/>
                <w:b/>
                <w:lang w:val="sr-Cyrl-CS"/>
              </w:rPr>
            </w:pPr>
            <w:r>
              <w:rPr>
                <w:rFonts w:asciiTheme="minorHAnsi" w:hAnsiTheme="minorHAnsi" w:cstheme="minorHAnsi"/>
                <w:b/>
                <w:lang w:val="sr-Cyrl-C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8D08D" w:themeFill="accent6" w:themeFillTint="99"/>
            <w:vAlign w:val="center"/>
          </w:tcPr>
          <w:p>
            <w:pPr>
              <w:jc w:val="center"/>
              <w:rPr>
                <w:rFonts w:asciiTheme="minorHAnsi" w:hAnsiTheme="minorHAnsi" w:cstheme="minorHAnsi"/>
                <w:b/>
                <w:lang w:val="sr-Cyrl-CS"/>
              </w:rPr>
            </w:pPr>
            <w:r>
              <w:rPr>
                <w:rFonts w:asciiTheme="minorHAnsi" w:hAnsiTheme="minorHAnsi" w:cstheme="minorHAnsi"/>
                <w:b/>
                <w:lang w:val="sr-Cyrl-CS"/>
              </w:rPr>
              <w:t>3</w:t>
            </w:r>
          </w:p>
        </w:tc>
        <w:tc>
          <w:tcPr>
            <w:tcW w:w="3514" w:type="dxa"/>
            <w:shd w:val="clear" w:color="auto" w:fill="A8D08D" w:themeFill="accent6" w:themeFillTint="99"/>
            <w:vAlign w:val="center"/>
          </w:tcPr>
          <w:p>
            <w:pPr>
              <w:rPr>
                <w:rFonts w:asciiTheme="minorHAnsi" w:hAnsiTheme="minorHAnsi" w:cstheme="minorHAnsi"/>
                <w:lang w:val="sr-Cyrl-CS"/>
              </w:rPr>
            </w:pPr>
            <w:r>
              <w:rPr>
                <w:rFonts w:asciiTheme="minorHAnsi" w:hAnsiTheme="minorHAnsi" w:cstheme="minorHAnsi"/>
                <w:lang w:val="sr-Cyrl-CS"/>
              </w:rPr>
              <w:t>Локација 2. - „Вујиновићи – Запад“</w:t>
            </w:r>
          </w:p>
        </w:tc>
        <w:tc>
          <w:tcPr>
            <w:tcW w:w="1699"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3</w:t>
            </w:r>
          </w:p>
        </w:tc>
        <w:tc>
          <w:tcPr>
            <w:tcW w:w="1700"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4</w:t>
            </w:r>
          </w:p>
        </w:tc>
        <w:tc>
          <w:tcPr>
            <w:tcW w:w="1700" w:type="dxa"/>
            <w:shd w:val="clear" w:color="auto" w:fill="auto"/>
            <w:vAlign w:val="center"/>
          </w:tcPr>
          <w:p>
            <w:pPr>
              <w:jc w:val="center"/>
              <w:rPr>
                <w:rFonts w:asciiTheme="minorHAnsi" w:hAnsiTheme="minorHAnsi" w:cstheme="minorHAnsi"/>
                <w:b/>
                <w:lang w:val="sr-Cyrl-CS"/>
              </w:rPr>
            </w:pPr>
            <w:r>
              <w:rPr>
                <w:rFonts w:asciiTheme="minorHAnsi" w:hAnsiTheme="minorHAnsi" w:cstheme="minorHAnsi"/>
                <w:b/>
                <w:lang w:val="sr-Cyrl-C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8D08D" w:themeFill="accent6" w:themeFillTint="99"/>
            <w:vAlign w:val="center"/>
          </w:tcPr>
          <w:p>
            <w:pPr>
              <w:jc w:val="center"/>
              <w:rPr>
                <w:rFonts w:asciiTheme="minorHAnsi" w:hAnsiTheme="minorHAnsi" w:cstheme="minorHAnsi"/>
                <w:b/>
                <w:lang w:val="sr-Cyrl-CS"/>
              </w:rPr>
            </w:pPr>
            <w:r>
              <w:rPr>
                <w:rFonts w:asciiTheme="minorHAnsi" w:hAnsiTheme="minorHAnsi" w:cstheme="minorHAnsi"/>
                <w:b/>
                <w:lang w:val="sr-Cyrl-CS"/>
              </w:rPr>
              <w:t>4</w:t>
            </w:r>
          </w:p>
        </w:tc>
        <w:tc>
          <w:tcPr>
            <w:tcW w:w="3514" w:type="dxa"/>
            <w:shd w:val="clear" w:color="auto" w:fill="A8D08D" w:themeFill="accent6" w:themeFillTint="99"/>
            <w:vAlign w:val="center"/>
          </w:tcPr>
          <w:p>
            <w:pPr>
              <w:rPr>
                <w:rFonts w:asciiTheme="minorHAnsi" w:hAnsiTheme="minorHAnsi" w:cstheme="minorHAnsi"/>
                <w:lang w:val="sr-Cyrl-CS"/>
              </w:rPr>
            </w:pPr>
            <w:r>
              <w:rPr>
                <w:rFonts w:asciiTheme="minorHAnsi" w:hAnsiTheme="minorHAnsi" w:cstheme="minorHAnsi"/>
                <w:lang w:val="sr-Cyrl-CS"/>
              </w:rPr>
              <w:t>Локација 4. - „Лазарево 4“</w:t>
            </w:r>
          </w:p>
        </w:tc>
        <w:tc>
          <w:tcPr>
            <w:tcW w:w="1699"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3</w:t>
            </w:r>
          </w:p>
        </w:tc>
        <w:tc>
          <w:tcPr>
            <w:tcW w:w="1700"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1</w:t>
            </w:r>
          </w:p>
        </w:tc>
        <w:tc>
          <w:tcPr>
            <w:tcW w:w="1700" w:type="dxa"/>
            <w:shd w:val="clear" w:color="auto" w:fill="auto"/>
            <w:vAlign w:val="center"/>
          </w:tcPr>
          <w:p>
            <w:pPr>
              <w:jc w:val="center"/>
              <w:rPr>
                <w:rFonts w:asciiTheme="minorHAnsi" w:hAnsiTheme="minorHAnsi" w:cstheme="minorHAnsi"/>
                <w:b/>
                <w:lang w:val="sr-Cyrl-CS"/>
              </w:rPr>
            </w:pPr>
            <w:r>
              <w:rPr>
                <w:rFonts w:asciiTheme="minorHAnsi" w:hAnsiTheme="minorHAnsi" w:cstheme="minorHAnsi"/>
                <w:b/>
                <w:lang w:val="sr-Cyrl-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8D08D" w:themeFill="accent6" w:themeFillTint="99"/>
            <w:vAlign w:val="center"/>
          </w:tcPr>
          <w:p>
            <w:pPr>
              <w:jc w:val="center"/>
              <w:rPr>
                <w:rFonts w:asciiTheme="minorHAnsi" w:hAnsiTheme="minorHAnsi" w:cstheme="minorHAnsi"/>
                <w:b/>
                <w:lang w:val="sr-Cyrl-CS"/>
              </w:rPr>
            </w:pPr>
            <w:r>
              <w:rPr>
                <w:rFonts w:asciiTheme="minorHAnsi" w:hAnsiTheme="minorHAnsi" w:cstheme="minorHAnsi"/>
                <w:b/>
                <w:lang w:val="sr-Cyrl-CS"/>
              </w:rPr>
              <w:t>5</w:t>
            </w:r>
          </w:p>
        </w:tc>
        <w:tc>
          <w:tcPr>
            <w:tcW w:w="3514" w:type="dxa"/>
            <w:shd w:val="clear" w:color="auto" w:fill="A8D08D" w:themeFill="accent6" w:themeFillTint="99"/>
            <w:vAlign w:val="center"/>
          </w:tcPr>
          <w:p>
            <w:pPr>
              <w:rPr>
                <w:rFonts w:asciiTheme="minorHAnsi" w:hAnsiTheme="minorHAnsi" w:cstheme="minorHAnsi"/>
                <w:lang w:val="sr-Cyrl-CS"/>
              </w:rPr>
            </w:pPr>
            <w:r>
              <w:rPr>
                <w:rFonts w:asciiTheme="minorHAnsi" w:hAnsiTheme="minorHAnsi" w:cstheme="minorHAnsi"/>
                <w:lang w:val="sr-Cyrl-CS"/>
              </w:rPr>
              <w:t>Локација 5. - „Ада 4“</w:t>
            </w:r>
          </w:p>
        </w:tc>
        <w:tc>
          <w:tcPr>
            <w:tcW w:w="1699"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2</w:t>
            </w:r>
          </w:p>
        </w:tc>
        <w:tc>
          <w:tcPr>
            <w:tcW w:w="1700"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2</w:t>
            </w:r>
          </w:p>
        </w:tc>
        <w:tc>
          <w:tcPr>
            <w:tcW w:w="1700" w:type="dxa"/>
            <w:shd w:val="clear" w:color="auto" w:fill="auto"/>
            <w:vAlign w:val="center"/>
          </w:tcPr>
          <w:p>
            <w:pPr>
              <w:jc w:val="center"/>
              <w:rPr>
                <w:rFonts w:asciiTheme="minorHAnsi" w:hAnsiTheme="minorHAnsi" w:cstheme="minorHAnsi"/>
                <w:b/>
                <w:lang w:val="sr-Cyrl-CS"/>
              </w:rPr>
            </w:pPr>
            <w:r>
              <w:rPr>
                <w:rFonts w:asciiTheme="minorHAnsi" w:hAnsiTheme="minorHAnsi" w:cstheme="minorHAnsi"/>
                <w:b/>
                <w:lang w:val="sr-Cyrl-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8D08D" w:themeFill="accent6" w:themeFillTint="99"/>
            <w:vAlign w:val="center"/>
          </w:tcPr>
          <w:p>
            <w:pPr>
              <w:jc w:val="center"/>
              <w:rPr>
                <w:rFonts w:asciiTheme="minorHAnsi" w:hAnsiTheme="minorHAnsi" w:cstheme="minorHAnsi"/>
                <w:b/>
                <w:lang w:val="sr-Cyrl-CS"/>
              </w:rPr>
            </w:pPr>
            <w:r>
              <w:rPr>
                <w:rFonts w:asciiTheme="minorHAnsi" w:hAnsiTheme="minorHAnsi" w:cstheme="minorHAnsi"/>
                <w:b/>
                <w:lang w:val="sr-Cyrl-CS"/>
              </w:rPr>
              <w:t>6</w:t>
            </w:r>
          </w:p>
        </w:tc>
        <w:tc>
          <w:tcPr>
            <w:tcW w:w="3514" w:type="dxa"/>
            <w:shd w:val="clear" w:color="auto" w:fill="A8D08D" w:themeFill="accent6" w:themeFillTint="99"/>
            <w:vAlign w:val="center"/>
          </w:tcPr>
          <w:p>
            <w:pPr>
              <w:rPr>
                <w:rFonts w:asciiTheme="minorHAnsi" w:hAnsiTheme="minorHAnsi" w:cstheme="minorHAnsi"/>
                <w:lang w:val="sr-Cyrl-CS"/>
              </w:rPr>
            </w:pPr>
            <w:r>
              <w:rPr>
                <w:rFonts w:asciiTheme="minorHAnsi" w:hAnsiTheme="minorHAnsi" w:cstheme="minorHAnsi"/>
                <w:lang w:val="sr-Cyrl-CS"/>
              </w:rPr>
              <w:t>Локација 3. - „Антена“</w:t>
            </w:r>
          </w:p>
        </w:tc>
        <w:tc>
          <w:tcPr>
            <w:tcW w:w="1699"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2</w:t>
            </w:r>
          </w:p>
        </w:tc>
        <w:tc>
          <w:tcPr>
            <w:tcW w:w="1700" w:type="dxa"/>
            <w:shd w:val="clear" w:color="auto" w:fill="auto"/>
            <w:vAlign w:val="center"/>
          </w:tcPr>
          <w:p>
            <w:pPr>
              <w:jc w:val="center"/>
              <w:rPr>
                <w:rFonts w:asciiTheme="minorHAnsi" w:hAnsiTheme="minorHAnsi" w:cstheme="minorHAnsi"/>
                <w:lang w:val="sr-Cyrl-CS"/>
              </w:rPr>
            </w:pPr>
            <w:r>
              <w:rPr>
                <w:rFonts w:asciiTheme="minorHAnsi" w:hAnsiTheme="minorHAnsi" w:cstheme="minorHAnsi"/>
                <w:lang w:val="sr-Cyrl-CS"/>
              </w:rPr>
              <w:t>1</w:t>
            </w:r>
          </w:p>
        </w:tc>
        <w:tc>
          <w:tcPr>
            <w:tcW w:w="1700" w:type="dxa"/>
            <w:shd w:val="clear" w:color="auto" w:fill="auto"/>
            <w:vAlign w:val="center"/>
          </w:tcPr>
          <w:p>
            <w:pPr>
              <w:jc w:val="center"/>
              <w:rPr>
                <w:rFonts w:asciiTheme="minorHAnsi" w:hAnsiTheme="minorHAnsi" w:cstheme="minorHAnsi"/>
                <w:b/>
                <w:lang w:val="sr-Cyrl-CS"/>
              </w:rPr>
            </w:pPr>
            <w:r>
              <w:rPr>
                <w:rFonts w:asciiTheme="minorHAnsi" w:hAnsiTheme="minorHAnsi" w:cstheme="minorHAnsi"/>
                <w:b/>
                <w:lang w:val="sr-Cyrl-CS"/>
              </w:rPr>
              <w:t>3</w:t>
            </w:r>
          </w:p>
        </w:tc>
      </w:tr>
    </w:tbl>
    <w:p>
      <w:pPr>
        <w:spacing w:after="120"/>
        <w:jc w:val="both"/>
        <w:rPr>
          <w:rFonts w:asciiTheme="minorHAnsi" w:hAnsiTheme="minorHAnsi" w:cstheme="minorHAnsi"/>
          <w:lang w:val="sr-Cyrl-BA"/>
        </w:rPr>
      </w:pPr>
    </w:p>
    <w:p>
      <w:pPr>
        <w:spacing w:after="120"/>
        <w:jc w:val="both"/>
        <w:rPr>
          <w:rFonts w:asciiTheme="minorHAnsi" w:hAnsiTheme="minorHAnsi" w:cstheme="minorHAnsi"/>
          <w:lang w:val="sr-Cyrl-BA"/>
        </w:rPr>
      </w:pPr>
      <w:r>
        <w:rPr>
          <w:rFonts w:asciiTheme="minorHAnsi" w:hAnsiTheme="minorHAnsi" w:cstheme="minorHAnsi"/>
          <w:lang w:val="sr-Cyrl-BA"/>
        </w:rPr>
        <w:t>Детаљније информације о овим локацијама, садржане су у цјеловитој ситуационој анализи.</w:t>
      </w:r>
    </w:p>
    <w:tbl>
      <w:tblPr>
        <w:tblStyle w:val="37"/>
        <w:tblW w:w="93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Ex>
        <w:tc>
          <w:tcPr>
            <w:tcW w:w="9350" w:type="dxa"/>
            <w:shd w:val="clear" w:color="auto" w:fill="C5E0B3" w:themeFill="accent6" w:themeFillTint="66"/>
          </w:tcPr>
          <w:p>
            <w:pPr>
              <w:shd w:val="clear" w:color="auto" w:fill="C5E0B3" w:themeFill="accent6" w:themeFillTint="66"/>
              <w:jc w:val="both"/>
              <w:rPr>
                <w:i/>
                <w:lang w:val="sr-Cyrl-RS"/>
              </w:rPr>
            </w:pPr>
            <w:r>
              <w:rPr>
                <w:i/>
                <w:lang w:val="sr-Cyrl-RS"/>
              </w:rPr>
              <w:t>Општи је закључак да град Бања Лука, сразмерно чињеници да је највећи град, сертификован као повољно пословно окружење, не посједује адекватне локације за инвестирање, нити адекватну базу података о доступним локацијама, која би обухватила и друге локације (осим оних у власништву града), са комплетним подацима о правно-имовинском статусу</w:t>
            </w:r>
            <w:r>
              <w:rPr>
                <w:i/>
                <w:lang w:val="sr-Latn-RS"/>
              </w:rPr>
              <w:t>,</w:t>
            </w:r>
            <w:r>
              <w:rPr>
                <w:i/>
                <w:lang w:val="sr-Cyrl-RS"/>
              </w:rPr>
              <w:t xml:space="preserve"> комуналној и другој инфраструктури, као и очекиваним условима за пословање. Уређење база података и систематско управљање подацима је један од најважнији задатака Града у наредном периоду.</w:t>
            </w:r>
          </w:p>
        </w:tc>
      </w:tr>
    </w:tbl>
    <w:p>
      <w:pPr>
        <w:pStyle w:val="13"/>
        <w:spacing w:before="120" w:after="120"/>
        <w:jc w:val="both"/>
        <w:rPr>
          <w:rFonts w:eastAsia="Times New Roman" w:asciiTheme="minorHAnsi" w:hAnsiTheme="minorHAnsi"/>
          <w:bCs/>
          <w:kern w:val="32"/>
          <w:sz w:val="22"/>
          <w:szCs w:val="22"/>
        </w:rPr>
      </w:pPr>
    </w:p>
    <w:p>
      <w:pPr>
        <w:pStyle w:val="5"/>
      </w:pPr>
      <w:bookmarkStart w:id="25" w:name="_Toc526170584"/>
      <w:r>
        <w:t>IV.1.3.4. Спољнотрговинска размјена</w:t>
      </w:r>
      <w:bookmarkEnd w:id="25"/>
    </w:p>
    <w:p>
      <w:pPr>
        <w:rPr>
          <w:lang w:val="hr-HR"/>
        </w:rPr>
      </w:pPr>
    </w:p>
    <w:p>
      <w:pPr>
        <w:pStyle w:val="133"/>
        <w:spacing w:before="0" w:after="0" w:line="240" w:lineRule="auto"/>
        <w:ind w:firstLine="0"/>
        <w:rPr>
          <w:rFonts w:asciiTheme="minorHAnsi" w:hAnsiTheme="minorHAnsi" w:cstheme="minorHAnsi"/>
          <w:szCs w:val="22"/>
          <w:lang w:val="sr-Cyrl-CS"/>
        </w:rPr>
      </w:pPr>
      <w:r>
        <w:rPr>
          <w:rFonts w:asciiTheme="minorHAnsi" w:hAnsiTheme="minorHAnsi" w:cstheme="minorHAnsi"/>
          <w:szCs w:val="22"/>
          <w:lang w:val="sr-Cyrl-CS"/>
        </w:rPr>
        <w:t xml:space="preserve">У односу на исказане показатеље спољнотрговинске размјене на нивоу Републике Српске, у периоду од 2012. до 2016. године, показатељи за град Бањалуку су неповољнији, нарочито уколико се посматра синтетички показатељ - стопа покривености увоза извозом, која је двоструко нижа, у односу на Републику Српску. Иако је спољнотрговински салдо у посматраном петогодишњем периоду негативан и на нивоу Републике Српске, град Бања Лука представља више од 75% негативног спољнотрговинског салда Републике Српске.  </w:t>
      </w:r>
    </w:p>
    <w:p>
      <w:pPr>
        <w:pStyle w:val="133"/>
        <w:spacing w:before="0" w:after="0" w:line="240" w:lineRule="auto"/>
        <w:ind w:firstLine="0"/>
        <w:rPr>
          <w:rFonts w:asciiTheme="minorHAnsi" w:hAnsiTheme="minorHAnsi" w:cstheme="minorHAnsi"/>
          <w:szCs w:val="22"/>
          <w:lang w:val="sr-Cyrl-CS"/>
        </w:rPr>
      </w:pPr>
      <w:r>
        <w:rPr>
          <w:rFonts w:asciiTheme="minorHAnsi" w:hAnsiTheme="minorHAnsi" w:cstheme="minorHAnsi"/>
          <w:szCs w:val="22"/>
          <w:lang w:val="sr-Cyrl-CS"/>
        </w:rPr>
        <w:t>У сљедећем прегледу представљени су основни параметри спољнотрговинске размјене на подручју града Бањалуке у периоду од 2012. до 2016. године:</w:t>
      </w:r>
    </w:p>
    <w:p>
      <w:pPr>
        <w:pStyle w:val="133"/>
        <w:spacing w:before="0" w:after="0" w:line="240" w:lineRule="auto"/>
        <w:ind w:firstLine="0"/>
        <w:rPr>
          <w:rFonts w:asciiTheme="minorHAnsi" w:hAnsiTheme="minorHAnsi" w:cstheme="minorHAnsi"/>
          <w:szCs w:val="22"/>
          <w:lang w:val="sr-Cyrl-CS"/>
        </w:rPr>
      </w:pPr>
    </w:p>
    <w:tbl>
      <w:tblPr>
        <w:tblStyle w:val="37"/>
        <w:tblW w:w="9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56"/>
        <w:gridCol w:w="1800"/>
        <w:gridCol w:w="1800"/>
        <w:gridCol w:w="171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shd w:val="clear" w:color="auto" w:fill="A8D08D" w:themeFill="accent6" w:themeFillTint="99"/>
          </w:tcPr>
          <w:p>
            <w:pPr>
              <w:pStyle w:val="133"/>
              <w:spacing w:before="0" w:after="0" w:line="240" w:lineRule="auto"/>
              <w:ind w:firstLine="0"/>
              <w:jc w:val="center"/>
              <w:rPr>
                <w:rFonts w:asciiTheme="minorHAnsi" w:hAnsiTheme="minorHAnsi" w:cstheme="minorHAnsi"/>
                <w:b/>
                <w:szCs w:val="22"/>
                <w:lang w:val="sr-Cyrl-CS"/>
              </w:rPr>
            </w:pPr>
            <w:r>
              <w:rPr>
                <w:rFonts w:asciiTheme="minorHAnsi" w:hAnsiTheme="minorHAnsi" w:cstheme="minorHAnsi"/>
                <w:b/>
                <w:szCs w:val="22"/>
                <w:lang w:val="sr-Cyrl-CS"/>
              </w:rPr>
              <w:t>Година</w:t>
            </w:r>
          </w:p>
        </w:tc>
        <w:tc>
          <w:tcPr>
            <w:tcW w:w="1656" w:type="dxa"/>
            <w:shd w:val="clear" w:color="auto" w:fill="A8D08D" w:themeFill="accent6" w:themeFillTint="99"/>
            <w:vAlign w:val="center"/>
          </w:tcPr>
          <w:p>
            <w:pPr>
              <w:jc w:val="both"/>
              <w:rPr>
                <w:rFonts w:asciiTheme="minorHAnsi" w:hAnsiTheme="minorHAnsi" w:cstheme="minorHAnsi"/>
                <w:b/>
                <w:lang w:val="sr-Cyrl-CS"/>
              </w:rPr>
            </w:pPr>
            <w:r>
              <w:rPr>
                <w:rFonts w:asciiTheme="minorHAnsi" w:hAnsiTheme="minorHAnsi" w:cstheme="minorHAnsi"/>
                <w:b/>
                <w:lang w:val="sr-Cyrl-CS"/>
              </w:rPr>
              <w:t>Извоз у 000 КМ</w:t>
            </w:r>
          </w:p>
        </w:tc>
        <w:tc>
          <w:tcPr>
            <w:tcW w:w="1800" w:type="dxa"/>
            <w:shd w:val="clear" w:color="auto" w:fill="A8D08D" w:themeFill="accent6" w:themeFillTint="99"/>
            <w:vAlign w:val="center"/>
          </w:tcPr>
          <w:p>
            <w:pPr>
              <w:jc w:val="both"/>
              <w:rPr>
                <w:rFonts w:asciiTheme="minorHAnsi" w:hAnsiTheme="minorHAnsi" w:cstheme="minorHAnsi"/>
                <w:b/>
                <w:lang w:val="sr-Cyrl-CS"/>
              </w:rPr>
            </w:pPr>
            <w:r>
              <w:rPr>
                <w:rFonts w:asciiTheme="minorHAnsi" w:hAnsiTheme="minorHAnsi" w:cstheme="minorHAnsi"/>
                <w:b/>
                <w:lang w:val="sr-Cyrl-CS"/>
              </w:rPr>
              <w:t>Увоз у 000 КМ</w:t>
            </w:r>
          </w:p>
        </w:tc>
        <w:tc>
          <w:tcPr>
            <w:tcW w:w="1800" w:type="dxa"/>
            <w:shd w:val="clear" w:color="auto" w:fill="A8D08D" w:themeFill="accent6" w:themeFillTint="99"/>
            <w:vAlign w:val="center"/>
          </w:tcPr>
          <w:p>
            <w:pPr>
              <w:rPr>
                <w:rFonts w:asciiTheme="minorHAnsi" w:hAnsiTheme="minorHAnsi" w:cstheme="minorHAnsi"/>
                <w:b/>
                <w:lang w:val="sr-Cyrl-CS"/>
              </w:rPr>
            </w:pPr>
            <w:r>
              <w:rPr>
                <w:rFonts w:asciiTheme="minorHAnsi" w:hAnsiTheme="minorHAnsi" w:cstheme="minorHAnsi"/>
                <w:b/>
                <w:lang w:val="sr-Cyrl-CS"/>
              </w:rPr>
              <w:t>Обим у 000 КМ</w:t>
            </w:r>
          </w:p>
        </w:tc>
        <w:tc>
          <w:tcPr>
            <w:tcW w:w="1710" w:type="dxa"/>
            <w:shd w:val="clear" w:color="auto" w:fill="A8D08D" w:themeFill="accent6" w:themeFillTint="99"/>
            <w:vAlign w:val="center"/>
          </w:tcPr>
          <w:p>
            <w:pPr>
              <w:jc w:val="both"/>
              <w:rPr>
                <w:rFonts w:asciiTheme="minorHAnsi" w:hAnsiTheme="minorHAnsi" w:cstheme="minorHAnsi"/>
                <w:b/>
                <w:lang w:val="sr-Cyrl-CS"/>
              </w:rPr>
            </w:pPr>
            <w:r>
              <w:rPr>
                <w:rFonts w:asciiTheme="minorHAnsi" w:hAnsiTheme="minorHAnsi" w:cstheme="minorHAnsi"/>
                <w:b/>
                <w:lang w:val="sr-Cyrl-CS"/>
              </w:rPr>
              <w:t>Салдо у 000 КМ</w:t>
            </w:r>
          </w:p>
        </w:tc>
        <w:tc>
          <w:tcPr>
            <w:tcW w:w="1530" w:type="dxa"/>
            <w:shd w:val="clear" w:color="auto" w:fill="A8D08D" w:themeFill="accent6" w:themeFillTint="99"/>
            <w:vAlign w:val="center"/>
          </w:tcPr>
          <w:p>
            <w:pPr>
              <w:jc w:val="center"/>
              <w:rPr>
                <w:rFonts w:asciiTheme="minorHAnsi" w:hAnsiTheme="minorHAnsi" w:cstheme="minorHAnsi"/>
                <w:b/>
                <w:lang w:val="sr-Cyrl-CS"/>
              </w:rPr>
            </w:pPr>
            <w:r>
              <w:rPr>
                <w:rFonts w:asciiTheme="minorHAnsi" w:hAnsiTheme="minorHAnsi" w:cstheme="minorHAnsi"/>
                <w:b/>
                <w:lang w:val="sr-Cyrl-CS"/>
              </w:rPr>
              <w:t>Покривеност увоза извозом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2012</w:t>
            </w:r>
          </w:p>
        </w:tc>
        <w:tc>
          <w:tcPr>
            <w:tcW w:w="1656"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bs-Latn-BA"/>
              </w:rPr>
              <w:t>571.882</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Latn-RS"/>
              </w:rPr>
              <w:t>2.163.151</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2.735.034</w:t>
            </w:r>
          </w:p>
        </w:tc>
        <w:tc>
          <w:tcPr>
            <w:tcW w:w="171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Latn-RS"/>
              </w:rPr>
              <w:t>-1.591.269</w:t>
            </w:r>
          </w:p>
        </w:tc>
        <w:tc>
          <w:tcPr>
            <w:tcW w:w="153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bs-Latn-BA"/>
              </w:rPr>
              <w:t>26,4</w:t>
            </w:r>
            <w:r>
              <w:rPr>
                <w:rFonts w:asciiTheme="minorHAnsi" w:hAnsiTheme="minorHAnsi" w:cstheme="minorHAnsi"/>
                <w:bCs/>
                <w:szCs w:val="22"/>
                <w:lang w:val="bs-Cyrl-B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2013</w:t>
            </w:r>
          </w:p>
        </w:tc>
        <w:tc>
          <w:tcPr>
            <w:tcW w:w="1656"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Cyrl-CS"/>
              </w:rPr>
              <w:t>588.555</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Cyrl-CS"/>
              </w:rPr>
              <w:t>2.141.483</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2.730.038</w:t>
            </w:r>
          </w:p>
        </w:tc>
        <w:tc>
          <w:tcPr>
            <w:tcW w:w="171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Latn-RS"/>
              </w:rPr>
              <w:t>-</w:t>
            </w:r>
            <w:r>
              <w:rPr>
                <w:rFonts w:asciiTheme="minorHAnsi" w:hAnsiTheme="minorHAnsi" w:cstheme="minorHAnsi"/>
                <w:bCs/>
                <w:szCs w:val="22"/>
                <w:lang w:val="sr-Cyrl-CS"/>
              </w:rPr>
              <w:t>1.552.928</w:t>
            </w:r>
          </w:p>
        </w:tc>
        <w:tc>
          <w:tcPr>
            <w:tcW w:w="153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bs-Latn-BA"/>
              </w:rPr>
              <w:t>2</w:t>
            </w:r>
            <w:r>
              <w:rPr>
                <w:rFonts w:asciiTheme="minorHAnsi" w:hAnsiTheme="minorHAnsi" w:cstheme="minorHAnsi"/>
                <w:bCs/>
                <w:szCs w:val="22"/>
                <w:lang w:val="sr-Cyrl-CS"/>
              </w:rPr>
              <w:t>7</w:t>
            </w:r>
            <w:r>
              <w:rPr>
                <w:rFonts w:asciiTheme="minorHAnsi" w:hAnsiTheme="minorHAnsi" w:cstheme="minorHAnsi"/>
                <w:bCs/>
                <w:szCs w:val="22"/>
                <w:lang w:val="bs-Latn-BA"/>
              </w:rPr>
              <w:t>,</w:t>
            </w:r>
            <w:r>
              <w:rPr>
                <w:rFonts w:asciiTheme="minorHAnsi" w:hAnsiTheme="minorHAnsi" w:cstheme="minorHAnsi"/>
                <w:bCs/>
                <w:szCs w:val="22"/>
                <w:lang w:val="sr-Cyrl-CS"/>
              </w:rPr>
              <w:t>5</w:t>
            </w:r>
            <w:r>
              <w:rPr>
                <w:rFonts w:asciiTheme="minorHAnsi" w:hAnsiTheme="minorHAnsi" w:cstheme="minorHAnsi"/>
                <w:bCs/>
                <w:szCs w:val="22"/>
                <w:lang w:val="bs-Latn-B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2014</w:t>
            </w:r>
          </w:p>
        </w:tc>
        <w:tc>
          <w:tcPr>
            <w:tcW w:w="1656"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575.051</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2.078.876</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2.653.926</w:t>
            </w:r>
          </w:p>
        </w:tc>
        <w:tc>
          <w:tcPr>
            <w:tcW w:w="171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-1.503.825</w:t>
            </w:r>
          </w:p>
        </w:tc>
        <w:tc>
          <w:tcPr>
            <w:tcW w:w="153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Latn-CS"/>
              </w:rPr>
              <w:t>2015</w:t>
            </w:r>
          </w:p>
        </w:tc>
        <w:tc>
          <w:tcPr>
            <w:tcW w:w="1656"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485.414</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1.739.876</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2.225.291</w:t>
            </w:r>
          </w:p>
        </w:tc>
        <w:tc>
          <w:tcPr>
            <w:tcW w:w="171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-1.254.462</w:t>
            </w:r>
          </w:p>
        </w:tc>
        <w:tc>
          <w:tcPr>
            <w:tcW w:w="153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2016</w:t>
            </w:r>
          </w:p>
        </w:tc>
        <w:tc>
          <w:tcPr>
            <w:tcW w:w="1656"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546.363</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1.758.304</w:t>
            </w:r>
          </w:p>
        </w:tc>
        <w:tc>
          <w:tcPr>
            <w:tcW w:w="180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2.304.667</w:t>
            </w:r>
          </w:p>
        </w:tc>
        <w:tc>
          <w:tcPr>
            <w:tcW w:w="171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-1.211.941</w:t>
            </w:r>
          </w:p>
        </w:tc>
        <w:tc>
          <w:tcPr>
            <w:tcW w:w="1530"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31,1%</w:t>
            </w:r>
          </w:p>
        </w:tc>
      </w:tr>
    </w:tbl>
    <w:p>
      <w:pPr>
        <w:pStyle w:val="133"/>
        <w:spacing w:before="0" w:after="0" w:line="240" w:lineRule="auto"/>
        <w:ind w:firstLine="0"/>
        <w:rPr>
          <w:rFonts w:asciiTheme="minorHAnsi" w:hAnsiTheme="minorHAnsi" w:cstheme="minorHAnsi"/>
          <w:bCs/>
          <w:i/>
          <w:color w:val="000000"/>
          <w:sz w:val="18"/>
          <w:szCs w:val="18"/>
          <w:lang w:val="sr-Cyrl-BA"/>
        </w:rPr>
      </w:pPr>
      <w:r>
        <w:rPr>
          <w:rFonts w:asciiTheme="minorHAnsi" w:hAnsiTheme="minorHAnsi" w:cstheme="minorHAnsi"/>
          <w:i/>
          <w:color w:val="000000"/>
          <w:sz w:val="18"/>
          <w:szCs w:val="18"/>
          <w:lang w:val="sr-Cyrl-BA"/>
        </w:rPr>
        <w:t>Извор: Републички завод за статистику</w:t>
      </w:r>
      <w:r>
        <w:rPr>
          <w:rFonts w:asciiTheme="minorHAnsi" w:hAnsiTheme="minorHAnsi" w:cstheme="minorHAnsi"/>
          <w:bCs/>
          <w:i/>
          <w:color w:val="000000"/>
          <w:sz w:val="18"/>
          <w:szCs w:val="18"/>
          <w:lang w:val="sr-Cyrl-BA"/>
        </w:rPr>
        <w:t> РС</w:t>
      </w:r>
    </w:p>
    <w:p>
      <w:pPr>
        <w:pStyle w:val="133"/>
        <w:spacing w:before="0" w:after="0" w:line="240" w:lineRule="auto"/>
        <w:ind w:firstLine="0"/>
        <w:rPr>
          <w:rFonts w:asciiTheme="minorHAnsi" w:hAnsiTheme="minorHAnsi" w:cstheme="minorHAnsi"/>
          <w:szCs w:val="22"/>
          <w:lang w:val="sr-Cyrl-BA"/>
        </w:rPr>
      </w:pPr>
    </w:p>
    <w:p>
      <w:pPr>
        <w:jc w:val="both"/>
        <w:rPr>
          <w:rFonts w:asciiTheme="minorHAnsi" w:hAnsiTheme="minorHAnsi" w:cstheme="minorHAnsi"/>
          <w:lang w:val="sr-Cyrl-CS"/>
        </w:rPr>
      </w:pPr>
      <w:r>
        <w:rPr>
          <w:rFonts w:asciiTheme="minorHAnsi" w:hAnsiTheme="minorHAnsi" w:cstheme="minorHAnsi"/>
          <w:lang w:val="sr-Cyrl-CS"/>
        </w:rPr>
        <w:t>Из</w:t>
      </w:r>
      <w:r>
        <w:rPr>
          <w:rFonts w:asciiTheme="minorHAnsi" w:hAnsiTheme="minorHAnsi" w:cstheme="minorHAnsi"/>
          <w:b/>
          <w:lang w:val="sr-Cyrl-CS"/>
        </w:rPr>
        <w:t xml:space="preserve"> </w:t>
      </w:r>
      <w:r>
        <w:rPr>
          <w:rFonts w:asciiTheme="minorHAnsi" w:hAnsiTheme="minorHAnsi" w:cstheme="minorHAnsi"/>
          <w:lang w:val="sr-Cyrl-CS"/>
        </w:rPr>
        <w:t>упоредног прегледа остварених вриједности укупног обима робне размјене у Републици Српској и граду Бањалуци у посматраном петогодишњем периоду, евидентно је да вриједност укупне робне размјене с иностранством града Бањалуке учествује у вриједности укупног обима робне размјене у Републици Српској, од 39,19% у 2012. години до 31,70% у 2016. години, уз постепен, али сталан тренд смањења учешће по годинама посматраног периода.</w:t>
      </w:r>
    </w:p>
    <w:p>
      <w:pPr>
        <w:jc w:val="both"/>
        <w:rPr>
          <w:rFonts w:asciiTheme="minorHAnsi" w:hAnsiTheme="minorHAnsi" w:cstheme="minorHAnsi"/>
          <w:lang w:val="sr-Cyrl-CS"/>
        </w:rPr>
      </w:pPr>
    </w:p>
    <w:p>
      <w:pPr>
        <w:rPr>
          <w:rFonts w:asciiTheme="minorHAnsi" w:hAnsiTheme="minorHAnsi" w:cstheme="minorHAnsi"/>
          <w:b/>
          <w:lang w:val="sr-Cyrl-CS"/>
        </w:rPr>
      </w:pPr>
      <w:r>
        <w:rPr>
          <w:rFonts w:asciiTheme="minorHAnsi" w:hAnsiTheme="minorHAnsi" w:cstheme="minorHAnsi"/>
          <w:b/>
          <w:lang w:val="sr-Cyrl-CS"/>
        </w:rPr>
        <w:t>Обим робне размјене по годинама у КМ</w:t>
      </w:r>
    </w:p>
    <w:tbl>
      <w:tblPr>
        <w:tblStyle w:val="37"/>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7"/>
        <w:gridCol w:w="2337"/>
        <w:gridCol w:w="2338"/>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7"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Година</w:t>
            </w:r>
          </w:p>
        </w:tc>
        <w:tc>
          <w:tcPr>
            <w:tcW w:w="2337"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Република Српска</w:t>
            </w:r>
          </w:p>
        </w:tc>
        <w:tc>
          <w:tcPr>
            <w:tcW w:w="2338"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Бањалука</w:t>
            </w:r>
          </w:p>
        </w:tc>
        <w:tc>
          <w:tcPr>
            <w:tcW w:w="2338"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Учешће БЛ у РС 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2012</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6.978.154.000</w:t>
            </w:r>
          </w:p>
        </w:tc>
        <w:tc>
          <w:tcPr>
            <w:tcW w:w="2338"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2.735.034</w:t>
            </w:r>
            <w:r>
              <w:rPr>
                <w:rFonts w:asciiTheme="minorHAnsi" w:hAnsiTheme="minorHAnsi" w:cstheme="minorHAnsi"/>
                <w:szCs w:val="22"/>
                <w:lang w:val="sr-Cyrl-CS"/>
              </w:rPr>
              <w:t>.000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Latn-RS"/>
              </w:rPr>
              <w:t>39,19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2013</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7.270.274.000</w:t>
            </w:r>
          </w:p>
        </w:tc>
        <w:tc>
          <w:tcPr>
            <w:tcW w:w="2338"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2.730.038.000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2014</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7.778.813.000</w:t>
            </w:r>
          </w:p>
        </w:tc>
        <w:tc>
          <w:tcPr>
            <w:tcW w:w="2338"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2.653.926.000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34,12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2015</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6.983.103.000</w:t>
            </w:r>
          </w:p>
        </w:tc>
        <w:tc>
          <w:tcPr>
            <w:tcW w:w="2338"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2.225.291.000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31,87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7" w:type="dxa"/>
          </w:tcPr>
          <w:p>
            <w:pPr>
              <w:jc w:val="center"/>
              <w:rPr>
                <w:rFonts w:asciiTheme="minorHAnsi" w:hAnsiTheme="minorHAnsi" w:cstheme="minorHAnsi"/>
                <w:b/>
                <w:lang w:val="sr-Latn-RS"/>
              </w:rPr>
            </w:pPr>
            <w:r>
              <w:rPr>
                <w:rFonts w:asciiTheme="minorHAnsi" w:hAnsiTheme="minorHAnsi" w:cstheme="minorHAnsi"/>
                <w:b/>
                <w:lang w:val="sr-Latn-RS"/>
              </w:rPr>
              <w:t>2016</w:t>
            </w:r>
          </w:p>
        </w:tc>
        <w:tc>
          <w:tcPr>
            <w:tcW w:w="2337" w:type="dxa"/>
          </w:tcPr>
          <w:p>
            <w:pPr>
              <w:jc w:val="right"/>
              <w:rPr>
                <w:rFonts w:asciiTheme="minorHAnsi" w:hAnsiTheme="minorHAnsi" w:cstheme="minorHAnsi"/>
                <w:lang w:val="sr-Latn-RS"/>
              </w:rPr>
            </w:pPr>
            <w:r>
              <w:rPr>
                <w:rFonts w:asciiTheme="minorHAnsi" w:hAnsiTheme="minorHAnsi" w:cstheme="minorHAnsi"/>
                <w:lang w:val="sr-Latn-RS"/>
              </w:rPr>
              <w:t>7.270.</w:t>
            </w:r>
            <w:r>
              <w:rPr>
                <w:rFonts w:asciiTheme="minorHAnsi" w:hAnsiTheme="minorHAnsi" w:cstheme="minorHAnsi"/>
                <w:lang w:val="sr-Cyrl-CS"/>
              </w:rPr>
              <w:t>942</w:t>
            </w:r>
            <w:r>
              <w:rPr>
                <w:rFonts w:asciiTheme="minorHAnsi" w:hAnsiTheme="minorHAnsi" w:cstheme="minorHAnsi"/>
                <w:lang w:val="sr-Latn-RS"/>
              </w:rPr>
              <w:t>.000</w:t>
            </w:r>
          </w:p>
        </w:tc>
        <w:tc>
          <w:tcPr>
            <w:tcW w:w="2338" w:type="dxa"/>
          </w:tcPr>
          <w:p>
            <w:pPr>
              <w:pStyle w:val="133"/>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2.304.667.000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31,70</w:t>
            </w:r>
          </w:p>
        </w:tc>
      </w:tr>
    </w:tbl>
    <w:p>
      <w:pPr>
        <w:pStyle w:val="133"/>
        <w:spacing w:before="0" w:after="0" w:line="240" w:lineRule="auto"/>
        <w:ind w:firstLine="0"/>
        <w:rPr>
          <w:rFonts w:asciiTheme="minorHAnsi" w:hAnsiTheme="minorHAnsi" w:cstheme="minorHAnsi"/>
          <w:bCs/>
          <w:i/>
          <w:color w:val="000000"/>
          <w:sz w:val="18"/>
          <w:szCs w:val="18"/>
          <w:lang w:val="sr-Cyrl-BA"/>
        </w:rPr>
      </w:pPr>
      <w:r>
        <w:rPr>
          <w:rFonts w:asciiTheme="minorHAnsi" w:hAnsiTheme="minorHAnsi" w:cstheme="minorHAnsi"/>
          <w:i/>
          <w:color w:val="000000"/>
          <w:sz w:val="18"/>
          <w:szCs w:val="18"/>
          <w:lang w:val="sr-Cyrl-BA"/>
        </w:rPr>
        <w:t>Извор: Републички завод за статистику</w:t>
      </w:r>
      <w:r>
        <w:rPr>
          <w:rFonts w:asciiTheme="minorHAnsi" w:hAnsiTheme="minorHAnsi" w:cstheme="minorHAnsi"/>
          <w:bCs/>
          <w:i/>
          <w:color w:val="000000"/>
          <w:sz w:val="18"/>
          <w:szCs w:val="18"/>
          <w:lang w:val="sr-Cyrl-BA"/>
        </w:rPr>
        <w:t> РС</w:t>
      </w:r>
    </w:p>
    <w:p>
      <w:pPr>
        <w:pStyle w:val="8"/>
        <w:jc w:val="both"/>
        <w:rPr>
          <w:rFonts w:asciiTheme="minorHAnsi" w:hAnsiTheme="minorHAnsi" w:cstheme="minorHAnsi"/>
          <w:sz w:val="22"/>
          <w:szCs w:val="22"/>
          <w:lang w:val="sr-Cyrl-CS"/>
        </w:rPr>
      </w:pPr>
    </w:p>
    <w:p>
      <w:pPr>
        <w:pStyle w:val="8"/>
        <w:jc w:val="both"/>
        <w:rPr>
          <w:rFonts w:asciiTheme="minorHAnsi" w:hAnsiTheme="minorHAnsi" w:cstheme="minorHAnsi"/>
          <w:b/>
          <w:sz w:val="22"/>
          <w:szCs w:val="22"/>
          <w:lang w:val="sr-Cyrl-CS"/>
        </w:rPr>
      </w:pPr>
      <w:r>
        <w:rPr>
          <w:rFonts w:asciiTheme="minorHAnsi" w:hAnsiTheme="minorHAnsi" w:cstheme="minorHAnsi"/>
          <w:sz w:val="22"/>
          <w:szCs w:val="22"/>
          <w:lang w:val="sr-Cyrl-CS"/>
        </w:rPr>
        <w:t>Остварена вриједност извоза Републике Српске у периоду од 2012. до 2016. године исказала је просјечну годишњу стопу раста од 3,73%, док вриједност извоза привреде града Бањалуке биљежи у посматраном периоду просјечну годишњу стопу смањења од 1,13%. Вриједност увоза Републике Српске у периоду од 2012. до 2016. године биљежи просјечну годишњу стопу смањења од 0,55%, док вриједност увоза бањалучке привреде биљежи у посматраном периоду просјечну годишњу стопу смањења од 5,05%.</w:t>
      </w:r>
    </w:p>
    <w:p>
      <w:pPr>
        <w:jc w:val="both"/>
        <w:rPr>
          <w:rFonts w:asciiTheme="minorHAnsi" w:hAnsiTheme="minorHAnsi" w:cstheme="minorHAnsi"/>
          <w:lang w:val="sr-Cyrl-CS"/>
        </w:rPr>
      </w:pPr>
    </w:p>
    <w:p>
      <w:pPr>
        <w:pStyle w:val="8"/>
        <w:jc w:val="both"/>
        <w:rPr>
          <w:rFonts w:asciiTheme="minorHAnsi" w:hAnsiTheme="minorHAnsi" w:cstheme="minorHAnsi"/>
          <w:sz w:val="22"/>
          <w:szCs w:val="22"/>
          <w:lang w:val="sr-Cyrl-CS"/>
        </w:rPr>
      </w:pPr>
      <w:r>
        <w:rPr>
          <w:rFonts w:asciiTheme="minorHAnsi" w:hAnsiTheme="minorHAnsi" w:cstheme="minorHAnsi"/>
          <w:sz w:val="22"/>
          <w:szCs w:val="22"/>
          <w:lang w:val="sr-Cyrl-CS"/>
        </w:rPr>
        <w:t>Спољнотрговински салдо и Републике Српске и града Бањалуке у периоду од 2012. до 2016. године био је негативан, с тим да је знатно учешће спољнотрговинског дефицита града Бањалуке у спољнотрговинском дефициту Републике Српске, од најмањег учешћа од 69,22% у 2014. години, до највећег учешћа у спољнотрговинском дефициту Републике од 78,68% у 2016. години.</w:t>
      </w:r>
    </w:p>
    <w:p>
      <w:pPr>
        <w:pStyle w:val="8"/>
        <w:jc w:val="both"/>
        <w:rPr>
          <w:rFonts w:asciiTheme="minorHAnsi" w:hAnsiTheme="minorHAnsi" w:cstheme="minorHAnsi"/>
          <w:sz w:val="22"/>
          <w:szCs w:val="22"/>
          <w:lang w:val="sr-Cyrl-CS"/>
        </w:rPr>
      </w:pPr>
      <w:r>
        <w:rPr>
          <w:rFonts w:asciiTheme="minorHAnsi" w:hAnsiTheme="minorHAnsi" w:cstheme="minorHAnsi"/>
          <w:b/>
          <w:sz w:val="22"/>
          <w:szCs w:val="22"/>
          <w:lang w:val="sr-Cyrl-CS"/>
        </w:rPr>
        <w:t>Спољнотрговински салдо по годинама у КМ</w:t>
      </w:r>
    </w:p>
    <w:tbl>
      <w:tblPr>
        <w:tblStyle w:val="37"/>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7"/>
        <w:gridCol w:w="2337"/>
        <w:gridCol w:w="2338"/>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7"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Година</w:t>
            </w:r>
          </w:p>
        </w:tc>
        <w:tc>
          <w:tcPr>
            <w:tcW w:w="2337"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Република Српска</w:t>
            </w:r>
          </w:p>
        </w:tc>
        <w:tc>
          <w:tcPr>
            <w:tcW w:w="2338"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Бањалука</w:t>
            </w:r>
          </w:p>
        </w:tc>
        <w:tc>
          <w:tcPr>
            <w:tcW w:w="2338"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Учешће БЛ у РС 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2012</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-2.028.778.000</w:t>
            </w:r>
          </w:p>
        </w:tc>
        <w:tc>
          <w:tcPr>
            <w:tcW w:w="2338" w:type="dxa"/>
            <w:vAlign w:val="center"/>
          </w:tcPr>
          <w:p>
            <w:pPr>
              <w:jc w:val="right"/>
              <w:rPr>
                <w:rFonts w:asciiTheme="minorHAnsi" w:hAnsiTheme="minorHAnsi" w:cstheme="minorHAnsi"/>
                <w:color w:val="000000"/>
              </w:rPr>
            </w:pPr>
            <w:r>
              <w:rPr>
                <w:rFonts w:asciiTheme="minorHAnsi" w:hAnsiTheme="minorHAnsi" w:cstheme="minorHAnsi"/>
                <w:bCs/>
                <w:color w:val="000000"/>
                <w:lang w:val="sr-Latn-RS"/>
              </w:rPr>
              <w:t>-1.591.269.000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Latn-RS"/>
              </w:rPr>
              <w:t>78,43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2013</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-1.894.597.000</w:t>
            </w:r>
          </w:p>
        </w:tc>
        <w:tc>
          <w:tcPr>
            <w:tcW w:w="2338" w:type="dxa"/>
            <w:vAlign w:val="center"/>
          </w:tcPr>
          <w:p>
            <w:pPr>
              <w:jc w:val="right"/>
              <w:rPr>
                <w:rFonts w:asciiTheme="minorHAnsi" w:hAnsiTheme="minorHAnsi" w:cstheme="minorHAnsi"/>
                <w:color w:val="000000"/>
              </w:rPr>
            </w:pPr>
            <w:r>
              <w:rPr>
                <w:rFonts w:asciiTheme="minorHAnsi" w:hAnsiTheme="minorHAnsi" w:cstheme="minorHAnsi"/>
                <w:bCs/>
                <w:color w:val="000000"/>
                <w:lang w:val="sr-Latn-RS"/>
              </w:rPr>
              <w:t>-1.552.928.000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81,97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2014</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-2.172.684.000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-1.503.825.000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69,22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7" w:type="dxa"/>
          </w:tcPr>
          <w:p>
            <w:pPr>
              <w:jc w:val="center"/>
              <w:rPr>
                <w:rFonts w:asciiTheme="minorHAnsi" w:hAnsiTheme="minorHAnsi" w:cstheme="minorHAnsi"/>
                <w:b/>
                <w:lang w:val="sr-Cyrl-CS"/>
              </w:rPr>
            </w:pPr>
            <w:r>
              <w:rPr>
                <w:rFonts w:asciiTheme="minorHAnsi" w:hAnsiTheme="minorHAnsi" w:cstheme="minorHAnsi"/>
                <w:b/>
                <w:lang w:val="sr-Cyrl-CS"/>
              </w:rPr>
              <w:t>2015</w:t>
            </w:r>
          </w:p>
        </w:tc>
        <w:tc>
          <w:tcPr>
            <w:tcW w:w="2337" w:type="dxa"/>
          </w:tcPr>
          <w:p>
            <w:pPr>
              <w:jc w:val="right"/>
              <w:rPr>
                <w:rFonts w:asciiTheme="minorHAnsi" w:hAnsiTheme="minorHAnsi" w:cstheme="minorHAnsi"/>
                <w:lang w:val="sr-Cyrl-CS"/>
              </w:rPr>
            </w:pPr>
            <w:r>
              <w:rPr>
                <w:rFonts w:asciiTheme="minorHAnsi" w:hAnsiTheme="minorHAnsi" w:cstheme="minorHAnsi"/>
                <w:lang w:val="sr-Cyrl-CS"/>
              </w:rPr>
              <w:t>-1.755.255.000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-1.254.462.000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71,47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7" w:type="dxa"/>
          </w:tcPr>
          <w:p>
            <w:pPr>
              <w:jc w:val="center"/>
              <w:rPr>
                <w:rFonts w:asciiTheme="minorHAnsi" w:hAnsiTheme="minorHAnsi" w:cstheme="minorHAnsi"/>
                <w:b/>
                <w:lang w:val="sr-Latn-RS"/>
              </w:rPr>
            </w:pPr>
            <w:r>
              <w:rPr>
                <w:rFonts w:asciiTheme="minorHAnsi" w:hAnsiTheme="minorHAnsi" w:cstheme="minorHAnsi"/>
                <w:b/>
                <w:lang w:val="sr-Latn-RS"/>
              </w:rPr>
              <w:t>2016</w:t>
            </w:r>
          </w:p>
        </w:tc>
        <w:tc>
          <w:tcPr>
            <w:tcW w:w="2337" w:type="dxa"/>
          </w:tcPr>
          <w:p>
            <w:pPr>
              <w:jc w:val="right"/>
              <w:rPr>
                <w:rFonts w:asciiTheme="minorHAnsi" w:hAnsiTheme="minorHAnsi" w:cstheme="minorHAnsi"/>
                <w:lang w:val="sr-Latn-RS"/>
              </w:rPr>
            </w:pPr>
            <w:r>
              <w:rPr>
                <w:rFonts w:asciiTheme="minorHAnsi" w:hAnsiTheme="minorHAnsi" w:cstheme="minorHAnsi"/>
                <w:lang w:val="sr-Latn-RS"/>
              </w:rPr>
              <w:t>-1.540.</w:t>
            </w:r>
            <w:r>
              <w:rPr>
                <w:rFonts w:asciiTheme="minorHAnsi" w:hAnsiTheme="minorHAnsi" w:cstheme="minorHAnsi"/>
                <w:lang w:val="sr-Cyrl-CS"/>
              </w:rPr>
              <w:t>278</w:t>
            </w:r>
            <w:r>
              <w:rPr>
                <w:rFonts w:asciiTheme="minorHAnsi" w:hAnsiTheme="minorHAnsi" w:cstheme="minorHAnsi"/>
                <w:lang w:val="sr-Latn-RS"/>
              </w:rPr>
              <w:t>.000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-1.211.941.000</w:t>
            </w:r>
          </w:p>
        </w:tc>
        <w:tc>
          <w:tcPr>
            <w:tcW w:w="2338" w:type="dxa"/>
            <w:vAlign w:val="center"/>
          </w:tcPr>
          <w:p>
            <w:pPr>
              <w:jc w:val="right"/>
              <w:rPr>
                <w:rFonts w:asciiTheme="minorHAnsi" w:hAnsiTheme="minorHAnsi" w:cstheme="minorHAnsi"/>
                <w:color w:val="000000"/>
              </w:rPr>
            </w:pPr>
            <w:r>
              <w:rPr>
                <w:rFonts w:asciiTheme="minorHAnsi" w:hAnsiTheme="minorHAnsi" w:cstheme="minorHAnsi"/>
                <w:color w:val="000000"/>
                <w:lang w:val="sr-Cyrl-CS"/>
              </w:rPr>
              <w:t>78,68</w:t>
            </w:r>
          </w:p>
        </w:tc>
      </w:tr>
    </w:tbl>
    <w:p>
      <w:pPr>
        <w:pStyle w:val="8"/>
        <w:jc w:val="both"/>
        <w:rPr>
          <w:rFonts w:asciiTheme="minorHAnsi" w:hAnsiTheme="minorHAnsi" w:cstheme="minorHAnsi"/>
          <w:sz w:val="22"/>
          <w:szCs w:val="22"/>
          <w:lang w:val="sr-Cyrl-CS"/>
        </w:rPr>
      </w:pPr>
      <w:r>
        <w:rPr>
          <w:rFonts w:asciiTheme="minorHAnsi" w:hAnsiTheme="minorHAnsi" w:cstheme="minorHAnsi"/>
          <w:i/>
          <w:color w:val="000000"/>
          <w:sz w:val="18"/>
          <w:szCs w:val="18"/>
          <w:lang w:val="sr-Cyrl-BA"/>
        </w:rPr>
        <w:t>Извор: Републички завод за статистику</w:t>
      </w:r>
      <w:r>
        <w:rPr>
          <w:rFonts w:asciiTheme="minorHAnsi" w:hAnsiTheme="minorHAnsi" w:cstheme="minorHAnsi"/>
          <w:bCs/>
          <w:i/>
          <w:color w:val="000000"/>
          <w:sz w:val="18"/>
          <w:szCs w:val="18"/>
          <w:lang w:val="sr-Cyrl-BA"/>
        </w:rPr>
        <w:t> РС</w:t>
      </w:r>
    </w:p>
    <w:p>
      <w:pPr>
        <w:pStyle w:val="8"/>
        <w:jc w:val="both"/>
        <w:rPr>
          <w:rFonts w:asciiTheme="minorHAnsi" w:hAnsiTheme="minorHAnsi" w:cstheme="minorHAnsi"/>
          <w:sz w:val="22"/>
          <w:szCs w:val="22"/>
          <w:lang w:val="sr-Cyrl-CS"/>
        </w:rPr>
      </w:pPr>
      <w:r>
        <w:rPr>
          <w:rFonts w:asciiTheme="minorHAnsi" w:hAnsiTheme="minorHAnsi" w:cstheme="minorHAnsi"/>
          <w:sz w:val="22"/>
          <w:szCs w:val="22"/>
          <w:lang w:val="sr-Cyrl-CS"/>
        </w:rPr>
        <w:t xml:space="preserve">Док се стопа покривености увоза извозом у периоду од 2012. до 2016. године за подручје града Бањалуке кретала од најниже у 2012. додини, од 26,4%, с благом тенденцијом повећања стопе покриврености, која је 2016. године износила 31,1%, стопе покривености увоза извозом на нивоу Републике Српске двоструко су веће од исказаних стопа за град Бањалуку, и крећу се, од најниже у 2012. години (55,0%), до највише у 2016. години (65,0%), што је представљено у сљедећој табели: </w:t>
      </w:r>
    </w:p>
    <w:p>
      <w:pPr>
        <w:pStyle w:val="8"/>
        <w:jc w:val="both"/>
        <w:rPr>
          <w:rFonts w:asciiTheme="minorHAnsi" w:hAnsiTheme="minorHAnsi" w:cstheme="minorHAnsi"/>
          <w:b/>
          <w:sz w:val="22"/>
          <w:szCs w:val="22"/>
          <w:lang w:val="sr-Cyrl-CS"/>
        </w:rPr>
      </w:pPr>
      <w:r>
        <w:rPr>
          <w:rFonts w:asciiTheme="minorHAnsi" w:hAnsiTheme="minorHAnsi" w:cstheme="minorHAnsi"/>
          <w:b/>
          <w:sz w:val="22"/>
          <w:szCs w:val="22"/>
          <w:lang w:val="sr-Cyrl-CS"/>
        </w:rPr>
        <w:t>Покривеност увоза извозом по годинама у %</w:t>
      </w:r>
    </w:p>
    <w:tbl>
      <w:tblPr>
        <w:tblStyle w:val="37"/>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3117"/>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6"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Година</w:t>
            </w:r>
          </w:p>
        </w:tc>
        <w:tc>
          <w:tcPr>
            <w:tcW w:w="3117"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Република Српска</w:t>
            </w:r>
          </w:p>
        </w:tc>
        <w:tc>
          <w:tcPr>
            <w:tcW w:w="3117" w:type="dxa"/>
            <w:shd w:val="clear" w:color="auto" w:fill="A8D08D" w:themeFill="accent6" w:themeFillTint="99"/>
          </w:tcPr>
          <w:p>
            <w:pPr>
              <w:jc w:val="center"/>
              <w:rPr>
                <w:rFonts w:asciiTheme="minorHAnsi" w:hAnsiTheme="minorHAnsi" w:cstheme="minorHAnsi"/>
                <w:b/>
                <w:lang w:val="sr-Cyrl-CS"/>
              </w:rPr>
            </w:pPr>
            <w:r>
              <w:rPr>
                <w:rFonts w:asciiTheme="minorHAnsi" w:hAnsiTheme="minorHAnsi" w:cstheme="minorHAnsi"/>
                <w:b/>
                <w:lang w:val="sr-Cyrl-CS"/>
              </w:rPr>
              <w:t>Бањалука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6" w:type="dxa"/>
          </w:tcPr>
          <w:p>
            <w:pPr>
              <w:jc w:val="center"/>
              <w:rPr>
                <w:rFonts w:asciiTheme="minorHAnsi" w:hAnsiTheme="minorHAnsi" w:cstheme="minorHAnsi"/>
                <w:lang w:val="sr-Cyrl-CS"/>
              </w:rPr>
            </w:pPr>
            <w:r>
              <w:rPr>
                <w:rFonts w:asciiTheme="minorHAnsi" w:hAnsiTheme="minorHAnsi" w:cstheme="minorHAnsi"/>
                <w:lang w:val="sr-Cyrl-CS"/>
              </w:rPr>
              <w:t>2012</w:t>
            </w:r>
          </w:p>
        </w:tc>
        <w:tc>
          <w:tcPr>
            <w:tcW w:w="3117" w:type="dxa"/>
          </w:tcPr>
          <w:p>
            <w:pPr>
              <w:jc w:val="center"/>
              <w:rPr>
                <w:rFonts w:asciiTheme="minorHAnsi" w:hAnsiTheme="minorHAnsi" w:cstheme="minorHAnsi"/>
                <w:lang w:val="sr-Cyrl-CS"/>
              </w:rPr>
            </w:pPr>
            <w:r>
              <w:rPr>
                <w:rFonts w:asciiTheme="minorHAnsi" w:hAnsiTheme="minorHAnsi" w:cstheme="minorHAnsi"/>
                <w:lang w:val="sr-Cyrl-CS"/>
              </w:rPr>
              <w:t>55,0</w:t>
            </w:r>
          </w:p>
        </w:tc>
        <w:tc>
          <w:tcPr>
            <w:tcW w:w="3117"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bCs/>
                <w:szCs w:val="22"/>
                <w:lang w:val="bs-Latn-BA"/>
              </w:rPr>
              <w:t>26,4</w:t>
            </w:r>
            <w:r>
              <w:rPr>
                <w:rFonts w:asciiTheme="minorHAnsi" w:hAnsiTheme="minorHAnsi" w:cstheme="minorHAnsi"/>
                <w:bCs/>
                <w:szCs w:val="22"/>
                <w:lang w:val="bs-Cyrl-B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6" w:type="dxa"/>
          </w:tcPr>
          <w:p>
            <w:pPr>
              <w:jc w:val="center"/>
              <w:rPr>
                <w:rFonts w:asciiTheme="minorHAnsi" w:hAnsiTheme="minorHAnsi" w:cstheme="minorHAnsi"/>
                <w:lang w:val="sr-Cyrl-CS"/>
              </w:rPr>
            </w:pPr>
            <w:r>
              <w:rPr>
                <w:rFonts w:asciiTheme="minorHAnsi" w:hAnsiTheme="minorHAnsi" w:cstheme="minorHAnsi"/>
                <w:lang w:val="sr-Cyrl-CS"/>
              </w:rPr>
              <w:t>2013</w:t>
            </w:r>
          </w:p>
        </w:tc>
        <w:tc>
          <w:tcPr>
            <w:tcW w:w="3117" w:type="dxa"/>
          </w:tcPr>
          <w:p>
            <w:pPr>
              <w:jc w:val="center"/>
              <w:rPr>
                <w:rFonts w:asciiTheme="minorHAnsi" w:hAnsiTheme="minorHAnsi" w:cstheme="minorHAnsi"/>
                <w:lang w:val="sr-Cyrl-CS"/>
              </w:rPr>
            </w:pPr>
            <w:r>
              <w:rPr>
                <w:rFonts w:asciiTheme="minorHAnsi" w:hAnsiTheme="minorHAnsi" w:cstheme="minorHAnsi"/>
                <w:lang w:val="sr-Cyrl-CS"/>
              </w:rPr>
              <w:t>58,7</w:t>
            </w:r>
          </w:p>
        </w:tc>
        <w:tc>
          <w:tcPr>
            <w:tcW w:w="3117"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bCs/>
                <w:szCs w:val="22"/>
                <w:lang w:val="bs-Latn-BA"/>
              </w:rPr>
              <w:t>2</w:t>
            </w:r>
            <w:r>
              <w:rPr>
                <w:rFonts w:asciiTheme="minorHAnsi" w:hAnsiTheme="minorHAnsi" w:cstheme="minorHAnsi"/>
                <w:bCs/>
                <w:szCs w:val="22"/>
                <w:lang w:val="sr-Cyrl-CS"/>
              </w:rPr>
              <w:t>7</w:t>
            </w:r>
            <w:r>
              <w:rPr>
                <w:rFonts w:asciiTheme="minorHAnsi" w:hAnsiTheme="minorHAnsi" w:cstheme="minorHAnsi"/>
                <w:bCs/>
                <w:szCs w:val="22"/>
                <w:lang w:val="bs-Latn-BA"/>
              </w:rPr>
              <w:t>,</w:t>
            </w:r>
            <w:r>
              <w:rPr>
                <w:rFonts w:asciiTheme="minorHAnsi" w:hAnsiTheme="minorHAnsi" w:cstheme="minorHAnsi"/>
                <w:bCs/>
                <w:szCs w:val="22"/>
                <w:lang w:val="sr-Cyrl-CS"/>
              </w:rPr>
              <w:t>5</w:t>
            </w:r>
            <w:r>
              <w:rPr>
                <w:rFonts w:asciiTheme="minorHAnsi" w:hAnsiTheme="minorHAnsi" w:cstheme="minorHAnsi"/>
                <w:bCs/>
                <w:szCs w:val="22"/>
                <w:lang w:val="bs-Latn-B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6" w:type="dxa"/>
          </w:tcPr>
          <w:p>
            <w:pPr>
              <w:jc w:val="center"/>
              <w:rPr>
                <w:rFonts w:asciiTheme="minorHAnsi" w:hAnsiTheme="minorHAnsi" w:cstheme="minorHAnsi"/>
                <w:lang w:val="sr-Cyrl-CS"/>
              </w:rPr>
            </w:pPr>
            <w:r>
              <w:rPr>
                <w:rFonts w:asciiTheme="minorHAnsi" w:hAnsiTheme="minorHAnsi" w:cstheme="minorHAnsi"/>
                <w:lang w:val="sr-Cyrl-CS"/>
              </w:rPr>
              <w:t>2014</w:t>
            </w:r>
          </w:p>
        </w:tc>
        <w:tc>
          <w:tcPr>
            <w:tcW w:w="3117" w:type="dxa"/>
          </w:tcPr>
          <w:p>
            <w:pPr>
              <w:jc w:val="center"/>
              <w:rPr>
                <w:rFonts w:asciiTheme="minorHAnsi" w:hAnsiTheme="minorHAnsi" w:cstheme="minorHAnsi"/>
                <w:lang w:val="sr-Cyrl-CS"/>
              </w:rPr>
            </w:pPr>
            <w:r>
              <w:rPr>
                <w:rFonts w:asciiTheme="minorHAnsi" w:hAnsiTheme="minorHAnsi" w:cstheme="minorHAnsi"/>
                <w:lang w:val="sr-Cyrl-CS"/>
              </w:rPr>
              <w:t>56,3</w:t>
            </w:r>
          </w:p>
        </w:tc>
        <w:tc>
          <w:tcPr>
            <w:tcW w:w="3117"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6" w:type="dxa"/>
          </w:tcPr>
          <w:p>
            <w:pPr>
              <w:jc w:val="center"/>
              <w:rPr>
                <w:rFonts w:asciiTheme="minorHAnsi" w:hAnsiTheme="minorHAnsi" w:cstheme="minorHAnsi"/>
                <w:lang w:val="sr-Cyrl-CS"/>
              </w:rPr>
            </w:pPr>
            <w:r>
              <w:rPr>
                <w:rFonts w:asciiTheme="minorHAnsi" w:hAnsiTheme="minorHAnsi" w:cstheme="minorHAnsi"/>
                <w:lang w:val="sr-Cyrl-CS"/>
              </w:rPr>
              <w:t>2015</w:t>
            </w:r>
          </w:p>
        </w:tc>
        <w:tc>
          <w:tcPr>
            <w:tcW w:w="3117" w:type="dxa"/>
          </w:tcPr>
          <w:p>
            <w:pPr>
              <w:jc w:val="center"/>
              <w:rPr>
                <w:rFonts w:asciiTheme="minorHAnsi" w:hAnsiTheme="minorHAnsi" w:cstheme="minorHAnsi"/>
                <w:lang w:val="sr-Cyrl-CS"/>
              </w:rPr>
            </w:pPr>
            <w:r>
              <w:rPr>
                <w:rFonts w:asciiTheme="minorHAnsi" w:hAnsiTheme="minorHAnsi" w:cstheme="minorHAnsi"/>
                <w:lang w:val="sr-Cyrl-CS"/>
              </w:rPr>
              <w:t>59,8</w:t>
            </w:r>
          </w:p>
        </w:tc>
        <w:tc>
          <w:tcPr>
            <w:tcW w:w="3117"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6" w:type="dxa"/>
          </w:tcPr>
          <w:p>
            <w:pPr>
              <w:jc w:val="center"/>
              <w:rPr>
                <w:rFonts w:asciiTheme="minorHAnsi" w:hAnsiTheme="minorHAnsi" w:cstheme="minorHAnsi"/>
                <w:lang w:val="sr-Latn-RS"/>
              </w:rPr>
            </w:pPr>
            <w:r>
              <w:rPr>
                <w:rFonts w:asciiTheme="minorHAnsi" w:hAnsiTheme="minorHAnsi" w:cstheme="minorHAnsi"/>
                <w:lang w:val="sr-Latn-RS"/>
              </w:rPr>
              <w:t>2016</w:t>
            </w:r>
          </w:p>
        </w:tc>
        <w:tc>
          <w:tcPr>
            <w:tcW w:w="3117" w:type="dxa"/>
          </w:tcPr>
          <w:p>
            <w:pPr>
              <w:jc w:val="center"/>
              <w:rPr>
                <w:rFonts w:asciiTheme="minorHAnsi" w:hAnsiTheme="minorHAnsi" w:cstheme="minorHAnsi"/>
                <w:lang w:val="sr-Latn-RS"/>
              </w:rPr>
            </w:pPr>
            <w:r>
              <w:rPr>
                <w:rFonts w:asciiTheme="minorHAnsi" w:hAnsiTheme="minorHAnsi" w:cstheme="minorHAnsi"/>
                <w:lang w:val="sr-Latn-RS"/>
              </w:rPr>
              <w:t>65,0</w:t>
            </w:r>
          </w:p>
        </w:tc>
        <w:tc>
          <w:tcPr>
            <w:tcW w:w="3117" w:type="dxa"/>
          </w:tcPr>
          <w:p>
            <w:pPr>
              <w:pStyle w:val="133"/>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31,1%</w:t>
            </w:r>
          </w:p>
        </w:tc>
      </w:tr>
    </w:tbl>
    <w:p>
      <w:pPr>
        <w:pStyle w:val="8"/>
        <w:jc w:val="both"/>
        <w:rPr>
          <w:rFonts w:asciiTheme="minorHAnsi" w:hAnsiTheme="minorHAnsi" w:cstheme="minorHAnsi"/>
          <w:sz w:val="22"/>
          <w:szCs w:val="22"/>
          <w:lang w:val="sr-Cyrl-CS"/>
        </w:rPr>
      </w:pPr>
      <w:r>
        <w:rPr>
          <w:rFonts w:asciiTheme="minorHAnsi" w:hAnsiTheme="minorHAnsi" w:cstheme="minorHAnsi"/>
          <w:i/>
          <w:color w:val="000000"/>
          <w:sz w:val="18"/>
          <w:szCs w:val="18"/>
          <w:lang w:val="sr-Cyrl-BA"/>
        </w:rPr>
        <w:t>Извор: Републички завод за статистику</w:t>
      </w:r>
      <w:r>
        <w:rPr>
          <w:rFonts w:asciiTheme="minorHAnsi" w:hAnsiTheme="minorHAnsi" w:cstheme="minorHAnsi"/>
          <w:bCs/>
          <w:i/>
          <w:color w:val="000000"/>
          <w:sz w:val="18"/>
          <w:szCs w:val="18"/>
          <w:lang w:val="sr-Cyrl-BA"/>
        </w:rPr>
        <w:t> РС</w:t>
      </w:r>
    </w:p>
    <w:p>
      <w:pPr>
        <w:pStyle w:val="20"/>
        <w:jc w:val="both"/>
        <w:rPr>
          <w:rFonts w:asciiTheme="minorHAnsi" w:hAnsiTheme="minorHAnsi" w:cstheme="minorHAnsi"/>
          <w:sz w:val="22"/>
          <w:szCs w:val="22"/>
          <w:lang w:val="sr-Cyrl-CS"/>
        </w:rPr>
      </w:pPr>
      <w:r>
        <w:rPr>
          <w:rFonts w:asciiTheme="minorHAnsi" w:hAnsiTheme="minorHAnsi" w:cstheme="minorHAnsi"/>
          <w:sz w:val="22"/>
          <w:szCs w:val="22"/>
          <w:lang w:val="sr-Cyrl-CS"/>
        </w:rPr>
        <w:t>Детаљан преглед највећих извозника на подручју града Бања Лука, према подацима АПИФ-а, дат је у цјеловитој верзији ситуационе анализе, у прилогу Стратегије, као и подаци о вриједности увоза на нивоу Републике Српске по врстама увозних производа.</w:t>
      </w:r>
    </w:p>
    <w:tbl>
      <w:tblPr>
        <w:tblStyle w:val="37"/>
        <w:tblW w:w="93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50" w:type="dxa"/>
            <w:shd w:val="clear" w:color="auto" w:fill="C5E0B3" w:themeFill="accent6" w:themeFillTint="66"/>
          </w:tcPr>
          <w:p>
            <w:pPr>
              <w:shd w:val="clear" w:color="auto" w:fill="C5E0B3" w:themeFill="accent6" w:themeFillTint="66"/>
              <w:jc w:val="both"/>
              <w:rPr>
                <w:i/>
                <w:color w:val="FF0000"/>
                <w:lang w:val="sr-Cyrl-RS"/>
              </w:rPr>
            </w:pPr>
            <w:r>
              <w:rPr>
                <w:rFonts w:asciiTheme="minorHAnsi" w:hAnsiTheme="minorHAnsi" w:cstheme="minorHAnsi"/>
                <w:i/>
                <w:lang w:val="sr-Cyrl-CS"/>
              </w:rPr>
              <w:t xml:space="preserve">На основу приказаних показатеља може се констатовати да будући правци привредног развоја у приоритетним задацима треба да садрже мјере и активности за оживљавање и стимулисање спољнотрговинске размјене бањалучке привреде, чији су показатељи за град Бањалуку знатно неповољнији, у односу на просјек Републике Српске. При том треба, посредством Привредне коморе РС, Спољнотрговинске коморе БиХ и Савјета министара БиХ, утврдити могућности и остварити повећање билатералне спољнотрговинске размјене у оквиру Споразума о слободној трговини </w:t>
            </w:r>
            <w:r>
              <w:rPr>
                <w:rFonts w:asciiTheme="minorHAnsi" w:hAnsiTheme="minorHAnsi" w:cstheme="minorHAnsi"/>
                <w:i/>
              </w:rPr>
              <w:t>„CEFTA</w:t>
            </w:r>
            <w:r>
              <w:rPr>
                <w:rFonts w:asciiTheme="minorHAnsi" w:hAnsiTheme="minorHAnsi" w:cstheme="minorHAnsi"/>
                <w:i/>
                <w:lang w:val="sr-Cyrl-RS"/>
              </w:rPr>
              <w:t>“</w:t>
            </w:r>
            <w:r>
              <w:rPr>
                <w:rFonts w:asciiTheme="minorHAnsi" w:hAnsiTheme="minorHAnsi" w:cstheme="minorHAnsi"/>
                <w:i/>
                <w:lang w:val="sr-Cyrl-CS"/>
              </w:rPr>
              <w:t xml:space="preserve"> и Споразума о слободној трговини ас Турском,</w:t>
            </w:r>
            <w:r>
              <w:rPr>
                <w:rFonts w:asciiTheme="minorHAnsi" w:hAnsiTheme="minorHAnsi" w:cstheme="minorHAnsi"/>
                <w:i/>
              </w:rPr>
              <w:t xml:space="preserve"> </w:t>
            </w:r>
            <w:r>
              <w:rPr>
                <w:rFonts w:asciiTheme="minorHAnsi" w:hAnsiTheme="minorHAnsi" w:cstheme="minorHAnsi"/>
                <w:i/>
                <w:lang w:val="sr-Cyrl-CS"/>
              </w:rPr>
              <w:t>те користити погодности преференцијалног режима са:</w:t>
            </w:r>
            <w:r>
              <w:rPr>
                <w:rFonts w:asciiTheme="minorHAnsi" w:hAnsiTheme="minorHAnsi" w:cstheme="minorHAnsi"/>
                <w:i/>
              </w:rPr>
              <w:t xml:space="preserve"> USA</w:t>
            </w:r>
            <w:r>
              <w:rPr>
                <w:rFonts w:asciiTheme="minorHAnsi" w:hAnsiTheme="minorHAnsi" w:cstheme="minorHAnsi"/>
                <w:i/>
                <w:lang w:val="sr-Cyrl-CS"/>
              </w:rPr>
              <w:t xml:space="preserve">, Јапаном, Канадом, Швајцарском, Аустралијом Норвешком, Новим Зеландом, Русијом и Ираном, као и могућност извоза производа, који испуњавају стандарде, у земље </w:t>
            </w:r>
            <w:r>
              <w:rPr>
                <w:rFonts w:asciiTheme="minorHAnsi" w:hAnsiTheme="minorHAnsi" w:cstheme="minorHAnsi"/>
                <w:i/>
              </w:rPr>
              <w:t>E</w:t>
            </w:r>
            <w:r>
              <w:rPr>
                <w:rFonts w:asciiTheme="minorHAnsi" w:hAnsiTheme="minorHAnsi" w:cstheme="minorHAnsi"/>
                <w:i/>
                <w:lang w:val="sr-Cyrl-RS"/>
              </w:rPr>
              <w:t>У</w:t>
            </w:r>
            <w:r>
              <w:rPr>
                <w:rFonts w:asciiTheme="minorHAnsi" w:hAnsiTheme="minorHAnsi" w:cstheme="minorHAnsi"/>
                <w:i/>
                <w:lang w:val="sr-Cyrl-CS"/>
              </w:rPr>
              <w:t xml:space="preserve">, након потписивања споразума о трговини из 2008. године, у оквиру Споразума о стабилизацији и придруживању. </w:t>
            </w:r>
            <w:r>
              <w:rPr>
                <w:i/>
                <w:color w:val="FF0000"/>
                <w:lang w:val="sr-Cyrl-RS"/>
              </w:rPr>
              <w:t xml:space="preserve"> </w:t>
            </w:r>
          </w:p>
        </w:tc>
      </w:tr>
    </w:tbl>
    <w:p>
      <w:pPr>
        <w:pStyle w:val="13"/>
        <w:spacing w:before="120" w:after="120"/>
        <w:jc w:val="both"/>
        <w:rPr>
          <w:rFonts w:eastAsia="Times New Roman" w:asciiTheme="minorHAnsi" w:hAnsiTheme="minorHAnsi"/>
          <w:bCs/>
          <w:kern w:val="32"/>
          <w:sz w:val="22"/>
          <w:szCs w:val="22"/>
        </w:rPr>
      </w:pPr>
    </w:p>
    <w:p>
      <w:pPr>
        <w:spacing w:after="160" w:line="259" w:lineRule="auto"/>
        <w:rPr>
          <w:rFonts w:eastAsia="Times New Roman" w:asciiTheme="minorHAnsi" w:hAnsiTheme="minorHAnsi"/>
          <w:bCs/>
          <w:kern w:val="32"/>
        </w:rPr>
      </w:pPr>
      <w:r>
        <w:rPr>
          <w:rFonts w:eastAsia="Times New Roman" w:asciiTheme="minorHAnsi" w:hAnsiTheme="minorHAnsi"/>
          <w:bCs/>
          <w:kern w:val="32"/>
        </w:rPr>
        <w:br w:type="page"/>
      </w:r>
    </w:p>
    <w:p>
      <w:pPr>
        <w:spacing w:after="120"/>
        <w:jc w:val="both"/>
        <w:rPr>
          <w:rFonts w:eastAsia="Times New Roman" w:cstheme="minorHAnsi"/>
          <w:b/>
          <w:bCs/>
          <w:i/>
          <w:lang w:val="sr-Cyrl-RS"/>
        </w:rPr>
      </w:pPr>
      <w:r>
        <w:rPr>
          <w:rFonts w:eastAsia="Times New Roman" w:cstheme="minorHAnsi"/>
          <w:b/>
          <w:bCs/>
          <w:i/>
          <w:lang w:val="sr-Cyrl-RS"/>
        </w:rPr>
        <w:t>Сертификација Бања Луке као града са повољним пословним окружењем</w:t>
      </w:r>
    </w:p>
    <w:p>
      <w:pPr>
        <w:spacing w:after="120"/>
        <w:jc w:val="both"/>
        <w:rPr>
          <w:lang w:val="sr-Cyrl-CS"/>
        </w:rPr>
      </w:pPr>
      <w:r>
        <w:rPr>
          <w:lang w:val="sr-Cyrl-CS"/>
        </w:rPr>
        <w:t xml:space="preserve">Град Бања Лука је током 2014. године реализовао низ активности у оквиру регионалног пројекта </w:t>
      </w:r>
      <w:r>
        <w:rPr>
          <w:i/>
          <w:lang w:val="sr-Cyrl-RS"/>
        </w:rPr>
        <w:t>Се</w:t>
      </w:r>
      <w:r>
        <w:rPr>
          <w:i/>
          <w:lang w:val="sr-Cyrl-CS"/>
        </w:rPr>
        <w:t>ртификације градова и општина као повољног пословног окружења (</w:t>
      </w:r>
      <w:r>
        <w:rPr>
          <w:i/>
          <w:lang w:val="sr-Latn-RS"/>
        </w:rPr>
        <w:t xml:space="preserve">Business Friendly Certification – South East Europe </w:t>
      </w:r>
      <w:r>
        <w:rPr>
          <w:i/>
          <w:lang w:val="sr-Cyrl-RS"/>
        </w:rPr>
        <w:t xml:space="preserve">- </w:t>
      </w:r>
      <w:r>
        <w:rPr>
          <w:i/>
          <w:lang w:val="sr-Latn-RS"/>
        </w:rPr>
        <w:t>BFC SEE)</w:t>
      </w:r>
      <w:r>
        <w:rPr>
          <w:i/>
          <w:lang w:val="sr-Cyrl-RS"/>
        </w:rPr>
        <w:t xml:space="preserve">. </w:t>
      </w:r>
      <w:r>
        <w:rPr>
          <w:lang w:val="sr-Cyrl-CS"/>
        </w:rPr>
        <w:t xml:space="preserve">Овај програм намјењен је градовима и општинама који имају одговарајуће капацитете, стратешки су опредјељени да унаприједе привредни амбијент, привуку инвестиције и подстакну развој локалне економије. </w:t>
      </w:r>
    </w:p>
    <w:p>
      <w:pPr>
        <w:spacing w:after="120"/>
        <w:jc w:val="both"/>
        <w:rPr>
          <w:lang w:val="sr-Latn-CS"/>
        </w:rPr>
      </w:pPr>
      <w:r>
        <w:rPr>
          <w:lang w:val="sr-Cyrl-CS"/>
        </w:rPr>
        <w:t>У протеклом периоду, Град Бања Лука је успјешно окончао Програм сертификације повољног пословног окружења у Југоисточној Европи</w:t>
      </w:r>
      <w:r>
        <w:rPr>
          <w:lang w:val="sr-Latn-RS"/>
        </w:rPr>
        <w:t xml:space="preserve"> (BFC SEE)</w:t>
      </w:r>
      <w:r>
        <w:rPr>
          <w:lang w:val="sr-Cyrl-CS"/>
        </w:rPr>
        <w:t xml:space="preserve">, те је у мају 2015. године добио сертификат. У наредном периоду, граду Бања Лука предстоји поступак ресертификације, који ће се реализовати по новој скраћеној Едицији </w:t>
      </w:r>
      <w:r>
        <w:rPr>
          <w:lang w:val="sr-Latn-RS"/>
        </w:rPr>
        <w:t>III BFC</w:t>
      </w:r>
      <w:r>
        <w:rPr>
          <w:lang w:val="sr-Cyrl-CS"/>
        </w:rPr>
        <w:t xml:space="preserve"> стандард</w:t>
      </w:r>
      <w:r>
        <w:rPr>
          <w:lang w:val="sr-Latn-RS"/>
        </w:rPr>
        <w:t>a</w:t>
      </w:r>
      <w:r>
        <w:rPr>
          <w:lang w:val="sr-Cyrl-RS"/>
        </w:rPr>
        <w:t>, при чему Град треба испунити услове 10 критетријума</w:t>
      </w:r>
      <w:r>
        <w:rPr>
          <w:lang w:val="sr-Cyrl-CS"/>
        </w:rPr>
        <w:t xml:space="preserve">. </w:t>
      </w:r>
    </w:p>
    <w:p>
      <w:pPr>
        <w:spacing w:after="120"/>
        <w:jc w:val="both"/>
        <w:rPr>
          <w:lang w:val="sr-Cyrl-RS"/>
        </w:rPr>
      </w:pPr>
      <w:r>
        <w:rPr>
          <w:lang w:val="sr-Cyrl-CS"/>
        </w:rPr>
        <w:t xml:space="preserve">Доласком нове градске администрације уведене су одређене промјене у смислу обезбјеђивања повољнијег пословног амбијента, усљед чега се очекују побољшања у односу на процес сертификације.  </w:t>
      </w:r>
      <w:r>
        <w:rPr>
          <w:lang w:val="sr-Cyrl-RS"/>
        </w:rPr>
        <w:t xml:space="preserve">Такође, израђен је нови модернији сајт града Бања Лука у складу са препорукама </w:t>
      </w:r>
      <w:r>
        <w:rPr>
          <w:lang w:val="sr-Latn-RS"/>
        </w:rPr>
        <w:t>BFC SEE</w:t>
      </w:r>
      <w:r>
        <w:rPr>
          <w:lang w:val="sr-Cyrl-RS"/>
        </w:rPr>
        <w:t>, те се очекују побољшања</w:t>
      </w:r>
      <w:r>
        <w:rPr>
          <w:lang w:val="sr-Latn-RS"/>
        </w:rPr>
        <w:t xml:space="preserve"> o</w:t>
      </w:r>
      <w:r>
        <w:rPr>
          <w:lang w:val="sr-Cyrl-RS"/>
        </w:rPr>
        <w:t xml:space="preserve">цјене и у том смислу. </w:t>
      </w:r>
    </w:p>
    <w:tbl>
      <w:tblPr>
        <w:tblStyle w:val="37"/>
        <w:tblW w:w="935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0" w:type="dxa"/>
            <w:shd w:val="clear" w:color="auto" w:fill="C5E0B3" w:themeFill="accent6" w:themeFillTint="66"/>
          </w:tcPr>
          <w:p>
            <w:pPr>
              <w:jc w:val="both"/>
              <w:rPr>
                <w:i/>
                <w:lang w:val="sr-Cyrl-RS"/>
              </w:rPr>
            </w:pPr>
            <w:r>
              <w:rPr>
                <w:i/>
                <w:lang w:val="sr-Cyrl-RS"/>
              </w:rPr>
              <w:t>Критеријуми којима се утврђује капацитет града за креирање повољног амбијента за пословање МСП и предузетника и привлачење директних страних и домаћих инвестиција представљају својеврсни водич за град Бања Луку у циљу унапређења свеукупнног локалног економског развоја. С обзиром да се ресертификација градова и општина са повољним пословним окружењем спроводи се сваке двије године, посједовање овог сертификата у великој мјери одређује и дугорочно стратешко опредјељење града да унапређује и увећава број услуга за приватни сектор и потенцијалне инвеститоре, побољшава административне процедуре и стратешки изграђује комуналну, путну и пословну инфраструктуру, која ће омогућити економски раст и развој.</w:t>
            </w:r>
          </w:p>
        </w:tc>
      </w:tr>
    </w:tbl>
    <w:p>
      <w:pPr>
        <w:pStyle w:val="13"/>
        <w:spacing w:before="120" w:after="120"/>
        <w:jc w:val="both"/>
        <w:rPr>
          <w:rFonts w:eastAsia="Times New Roman" w:asciiTheme="minorHAnsi" w:hAnsiTheme="minorHAnsi"/>
          <w:b/>
          <w:bCs/>
          <w:i/>
          <w:kern w:val="32"/>
          <w:sz w:val="22"/>
          <w:szCs w:val="22"/>
          <w:lang w:val="sr-Cyrl-RS"/>
        </w:rPr>
      </w:pPr>
    </w:p>
    <w:p>
      <w:pPr>
        <w:pStyle w:val="13"/>
        <w:spacing w:before="120" w:after="120"/>
        <w:jc w:val="both"/>
        <w:rPr>
          <w:rFonts w:eastAsia="Times New Roman" w:asciiTheme="minorHAnsi" w:hAnsiTheme="minorHAnsi"/>
          <w:b/>
          <w:bCs/>
          <w:i/>
          <w:kern w:val="32"/>
          <w:sz w:val="22"/>
          <w:szCs w:val="22"/>
          <w:lang w:val="sr-Cyrl-RS"/>
        </w:rPr>
      </w:pPr>
      <w:r>
        <w:rPr>
          <w:rFonts w:eastAsia="Times New Roman" w:asciiTheme="minorHAnsi" w:hAnsiTheme="minorHAnsi"/>
          <w:b/>
          <w:bCs/>
          <w:i/>
          <w:kern w:val="32"/>
          <w:sz w:val="22"/>
          <w:szCs w:val="22"/>
          <w:lang w:val="sr-Cyrl-RS"/>
        </w:rPr>
        <w:t>Постинвестициона подршка</w:t>
      </w:r>
    </w:p>
    <w:p>
      <w:pPr>
        <w:jc w:val="both"/>
        <w:rPr>
          <w:rFonts w:eastAsia="Times New Roman"/>
          <w:szCs w:val="24"/>
          <w:lang w:val="sr-Cyrl-CS" w:eastAsia="sr-Latn-CS"/>
        </w:rPr>
      </w:pPr>
      <w:r>
        <w:rPr>
          <w:rFonts w:eastAsia="Times New Roman"/>
          <w:szCs w:val="24"/>
          <w:lang w:eastAsia="sr-Latn-CS"/>
        </w:rPr>
        <w:t>У оквиру имплементације Пројекта побољшања локалног окружења за инвестирање (</w:t>
      </w:r>
      <w:r>
        <w:rPr>
          <w:rFonts w:eastAsia="Times New Roman"/>
          <w:i/>
          <w:szCs w:val="24"/>
          <w:lang w:val="sr-Latn-RS" w:eastAsia="sr-Latn-CS"/>
        </w:rPr>
        <w:t>LIFE</w:t>
      </w:r>
      <w:r>
        <w:rPr>
          <w:rFonts w:eastAsia="Times New Roman"/>
          <w:szCs w:val="24"/>
          <w:lang w:eastAsia="sr-Latn-CS"/>
        </w:rPr>
        <w:t>) Град Бања</w:t>
      </w:r>
      <w:r>
        <w:rPr>
          <w:rFonts w:eastAsia="Times New Roman"/>
          <w:szCs w:val="24"/>
          <w:lang w:val="sr-Latn-RS" w:eastAsia="sr-Latn-CS"/>
        </w:rPr>
        <w:t xml:space="preserve"> </w:t>
      </w:r>
      <w:r>
        <w:rPr>
          <w:rFonts w:eastAsia="Times New Roman"/>
          <w:szCs w:val="24"/>
          <w:lang w:eastAsia="sr-Latn-CS"/>
        </w:rPr>
        <w:t>Лука је, уз помоћ Међународне финансијске корпорације (</w:t>
      </w:r>
      <w:r>
        <w:rPr>
          <w:rFonts w:eastAsia="Times New Roman"/>
          <w:i/>
          <w:szCs w:val="24"/>
          <w:lang w:val="sr-Latn-RS" w:eastAsia="sr-Latn-CS"/>
        </w:rPr>
        <w:t>IFC</w:t>
      </w:r>
      <w:r>
        <w:rPr>
          <w:rFonts w:eastAsia="Times New Roman"/>
          <w:i/>
          <w:szCs w:val="24"/>
          <w:lang w:eastAsia="sr-Latn-CS"/>
        </w:rPr>
        <w:t>)</w:t>
      </w:r>
      <w:r>
        <w:rPr>
          <w:rFonts w:eastAsia="Times New Roman"/>
          <w:szCs w:val="24"/>
          <w:lang w:eastAsia="sr-Latn-CS"/>
        </w:rPr>
        <w:t xml:space="preserve">, чланице групације Свјетске банке, у јануару 2017.године покренуо </w:t>
      </w:r>
      <w:r>
        <w:rPr>
          <w:rFonts w:eastAsia="Times New Roman"/>
          <w:i/>
          <w:szCs w:val="24"/>
          <w:lang w:eastAsia="sr-Latn-CS"/>
        </w:rPr>
        <w:t>Програм постинвестиционе подршке инвеститорима на подручју Града Бањалука.</w:t>
      </w:r>
    </w:p>
    <w:p>
      <w:pPr>
        <w:jc w:val="both"/>
        <w:rPr>
          <w:rFonts w:eastAsia="Times New Roman"/>
          <w:szCs w:val="24"/>
          <w:lang w:eastAsia="sr-Latn-CS"/>
        </w:rPr>
      </w:pPr>
      <w:r>
        <w:rPr>
          <w:rFonts w:eastAsia="Times New Roman"/>
          <w:szCs w:val="24"/>
          <w:lang w:eastAsia="sr-Latn-CS"/>
        </w:rPr>
        <w:t>Подстицање директних страних и домаћих улагања у граду Бања Лука, те потпуније координисање  и сарадња с</w:t>
      </w:r>
      <w:r>
        <w:rPr>
          <w:rFonts w:eastAsia="Times New Roman"/>
          <w:szCs w:val="24"/>
          <w:lang w:val="sr-Latn-RS" w:eastAsia="sr-Latn-CS"/>
        </w:rPr>
        <w:t>a</w:t>
      </w:r>
      <w:r>
        <w:rPr>
          <w:rFonts w:eastAsia="Times New Roman"/>
          <w:szCs w:val="24"/>
          <w:lang w:eastAsia="sr-Latn-CS"/>
        </w:rPr>
        <w:t xml:space="preserve"> институцијама републичког нивоа и нивоа БиХ у области директних страних и домаћих улагања, те  подстицања локалног економског развоја, основне су одредниоце поментог Пројекта. Програм, дефинисан кроз Пројекат </w:t>
      </w:r>
      <w:r>
        <w:rPr>
          <w:rFonts w:eastAsia="Times New Roman"/>
          <w:i/>
          <w:szCs w:val="24"/>
          <w:lang w:eastAsia="sr-Latn-CS"/>
        </w:rPr>
        <w:t>LIFE</w:t>
      </w:r>
      <w:r>
        <w:rPr>
          <w:rFonts w:eastAsia="Times New Roman"/>
          <w:szCs w:val="24"/>
          <w:lang w:eastAsia="sr-Latn-CS"/>
        </w:rPr>
        <w:t xml:space="preserve"> , остварује се кроз </w:t>
      </w:r>
      <w:r>
        <w:rPr>
          <w:rFonts w:eastAsia="Times New Roman"/>
          <w:i/>
          <w:szCs w:val="24"/>
          <w:lang w:eastAsia="sr-Latn-CS"/>
        </w:rPr>
        <w:t>Сарадничку мрежу за постинвестициону подршку инвеститорима</w:t>
      </w:r>
      <w:r>
        <w:rPr>
          <w:rFonts w:eastAsia="Times New Roman"/>
          <w:szCs w:val="24"/>
          <w:lang w:eastAsia="sr-Latn-CS"/>
        </w:rPr>
        <w:t xml:space="preserve"> , која укључује општине и градове у Републици Српској и институције на свим нивоима власти (локални, ниво Републике Српске и ниво БиХ), а у сарадњи са Министарством за економске односе и регионалну сарадњу РС (МЕОРС).</w:t>
      </w:r>
    </w:p>
    <w:p>
      <w:pPr>
        <w:jc w:val="both"/>
        <w:rPr>
          <w:rFonts w:eastAsia="Times New Roman"/>
          <w:szCs w:val="24"/>
          <w:lang w:eastAsia="sr-Latn-CS"/>
        </w:rPr>
      </w:pPr>
    </w:p>
    <w:p>
      <w:pPr>
        <w:rPr>
          <w:rFonts w:eastAsia="Times New Roman"/>
          <w:szCs w:val="24"/>
          <w:lang w:val="sr-Cyrl-RS" w:eastAsia="sr-Latn-CS"/>
        </w:rPr>
      </w:pPr>
      <w:r>
        <w:rPr>
          <w:rFonts w:eastAsia="Times New Roman"/>
          <w:szCs w:val="24"/>
          <w:lang w:eastAsia="sr-Latn-CS"/>
        </w:rPr>
        <w:t>Резултати Програма постинвестиционе подршке и рада с инвеститорима у Граду Бања Лука у 2017. години</w:t>
      </w:r>
      <w:r>
        <w:rPr>
          <w:rFonts w:eastAsia="Times New Roman"/>
          <w:szCs w:val="24"/>
          <w:lang w:val="sr-Cyrl-RS" w:eastAsia="sr-Latn-CS"/>
        </w:rPr>
        <w:t>:</w:t>
      </w:r>
    </w:p>
    <w:p>
      <w:pPr>
        <w:jc w:val="both"/>
        <w:rPr>
          <w:rFonts w:eastAsia="Times New Roman"/>
          <w:b/>
          <w:szCs w:val="24"/>
          <w:lang w:eastAsia="sr-Latn-CS"/>
        </w:rPr>
      </w:pPr>
    </w:p>
    <w:p>
      <w:pPr>
        <w:jc w:val="both"/>
        <w:rPr>
          <w:rFonts w:eastAsia="Times New Roman"/>
          <w:szCs w:val="24"/>
          <w:lang w:eastAsia="sr-Latn-CS"/>
        </w:rPr>
      </w:pPr>
      <w:r>
        <w:rPr>
          <w:b/>
          <w:szCs w:val="24"/>
          <w:lang w:eastAsia="sr-Latn-CS"/>
        </w:rPr>
        <w:t>Реализоване посјете компанијама</w:t>
      </w:r>
      <w:r>
        <w:rPr>
          <w:b/>
          <w:szCs w:val="24"/>
          <w:lang w:val="sr-Cyrl-RS" w:eastAsia="sr-Latn-CS"/>
        </w:rPr>
        <w:t xml:space="preserve">. </w:t>
      </w:r>
      <w:r>
        <w:rPr>
          <w:szCs w:val="24"/>
          <w:lang w:val="sr-Cyrl-RS" w:eastAsia="sr-Latn-CS"/>
        </w:rPr>
        <w:t>У</w:t>
      </w:r>
      <w:r>
        <w:rPr>
          <w:szCs w:val="24"/>
          <w:lang w:eastAsia="sr-Latn-CS"/>
        </w:rPr>
        <w:t xml:space="preserve"> 2017. </w:t>
      </w:r>
      <w:r>
        <w:rPr>
          <w:szCs w:val="24"/>
          <w:lang w:val="sr-Cyrl-RS" w:eastAsia="sr-Latn-CS"/>
        </w:rPr>
        <w:t>години,</w:t>
      </w:r>
      <w:r>
        <w:rPr>
          <w:szCs w:val="24"/>
          <w:lang w:eastAsia="sr-Latn-CS"/>
        </w:rPr>
        <w:t xml:space="preserve"> </w:t>
      </w:r>
      <w:r>
        <w:rPr>
          <w:szCs w:val="24"/>
          <w:lang w:val="sr-Cyrl-RS" w:eastAsia="sr-Latn-CS"/>
        </w:rPr>
        <w:t>посјећено је</w:t>
      </w:r>
      <w:r>
        <w:rPr>
          <w:szCs w:val="24"/>
          <w:lang w:eastAsia="sr-Latn-CS"/>
        </w:rPr>
        <w:t xml:space="preserve">  9  </w:t>
      </w:r>
      <w:r>
        <w:rPr>
          <w:szCs w:val="24"/>
          <w:lang w:val="sr-Cyrl-RS" w:eastAsia="sr-Latn-CS"/>
        </w:rPr>
        <w:t>компанија</w:t>
      </w:r>
      <w:r>
        <w:rPr>
          <w:szCs w:val="24"/>
          <w:lang w:eastAsia="sr-Latn-CS"/>
        </w:rPr>
        <w:t xml:space="preserve"> </w:t>
      </w:r>
      <w:r>
        <w:rPr>
          <w:szCs w:val="24"/>
          <w:lang w:val="sr-Cyrl-RS" w:eastAsia="sr-Latn-CS"/>
        </w:rPr>
        <w:t>које</w:t>
      </w:r>
      <w:r>
        <w:rPr>
          <w:szCs w:val="24"/>
          <w:lang w:eastAsia="sr-Latn-CS"/>
        </w:rPr>
        <w:t xml:space="preserve"> </w:t>
      </w:r>
      <w:r>
        <w:rPr>
          <w:szCs w:val="24"/>
          <w:lang w:val="sr-Cyrl-RS" w:eastAsia="sr-Latn-CS"/>
        </w:rPr>
        <w:t>спадају</w:t>
      </w:r>
      <w:r>
        <w:rPr>
          <w:szCs w:val="24"/>
          <w:lang w:eastAsia="sr-Latn-CS"/>
        </w:rPr>
        <w:t xml:space="preserve"> </w:t>
      </w:r>
      <w:r>
        <w:rPr>
          <w:szCs w:val="24"/>
          <w:lang w:val="sr-Cyrl-RS" w:eastAsia="sr-Latn-CS"/>
        </w:rPr>
        <w:t>у</w:t>
      </w:r>
      <w:r>
        <w:rPr>
          <w:szCs w:val="24"/>
          <w:lang w:eastAsia="sr-Latn-CS"/>
        </w:rPr>
        <w:t xml:space="preserve"> </w:t>
      </w:r>
      <w:r>
        <w:rPr>
          <w:szCs w:val="24"/>
          <w:lang w:val="sr-Cyrl-RS" w:eastAsia="sr-Latn-CS"/>
        </w:rPr>
        <w:t>средња</w:t>
      </w:r>
      <w:r>
        <w:rPr>
          <w:szCs w:val="24"/>
          <w:lang w:eastAsia="sr-Latn-CS"/>
        </w:rPr>
        <w:t xml:space="preserve"> </w:t>
      </w:r>
      <w:r>
        <w:rPr>
          <w:szCs w:val="24"/>
          <w:lang w:val="sr-Cyrl-RS" w:eastAsia="sr-Latn-CS"/>
        </w:rPr>
        <w:t>и</w:t>
      </w:r>
      <w:r>
        <w:rPr>
          <w:szCs w:val="24"/>
          <w:lang w:eastAsia="sr-Latn-CS"/>
        </w:rPr>
        <w:t xml:space="preserve"> </w:t>
      </w:r>
      <w:r>
        <w:rPr>
          <w:szCs w:val="24"/>
          <w:lang w:val="sr-Cyrl-RS" w:eastAsia="sr-Latn-CS"/>
        </w:rPr>
        <w:t>мала</w:t>
      </w:r>
      <w:r>
        <w:rPr>
          <w:szCs w:val="24"/>
          <w:lang w:eastAsia="sr-Latn-CS"/>
        </w:rPr>
        <w:t xml:space="preserve"> </w:t>
      </w:r>
      <w:r>
        <w:rPr>
          <w:szCs w:val="24"/>
          <w:lang w:val="sr-Cyrl-RS" w:eastAsia="sr-Latn-CS"/>
        </w:rPr>
        <w:t>предузећа</w:t>
      </w:r>
      <w:r>
        <w:rPr>
          <w:szCs w:val="24"/>
          <w:lang w:eastAsia="sr-Latn-CS"/>
        </w:rPr>
        <w:t xml:space="preserve">, </w:t>
      </w:r>
      <w:r>
        <w:rPr>
          <w:szCs w:val="24"/>
          <w:lang w:val="sr-Cyrl-RS" w:eastAsia="sr-Latn-CS"/>
        </w:rPr>
        <w:t>а</w:t>
      </w:r>
      <w:r>
        <w:rPr>
          <w:szCs w:val="24"/>
          <w:lang w:eastAsia="sr-Latn-CS"/>
        </w:rPr>
        <w:t xml:space="preserve"> </w:t>
      </w:r>
      <w:r>
        <w:rPr>
          <w:szCs w:val="24"/>
          <w:lang w:val="sr-Cyrl-RS" w:eastAsia="sr-Latn-CS"/>
        </w:rPr>
        <w:t>у</w:t>
      </w:r>
      <w:r>
        <w:rPr>
          <w:szCs w:val="24"/>
          <w:lang w:eastAsia="sr-Latn-CS"/>
        </w:rPr>
        <w:t xml:space="preserve"> </w:t>
      </w:r>
      <w:r>
        <w:rPr>
          <w:szCs w:val="24"/>
          <w:lang w:val="sr-Cyrl-RS" w:eastAsia="sr-Latn-CS"/>
        </w:rPr>
        <w:t>новембру</w:t>
      </w:r>
      <w:r>
        <w:rPr>
          <w:szCs w:val="24"/>
          <w:lang w:eastAsia="sr-Latn-CS"/>
        </w:rPr>
        <w:t xml:space="preserve"> 2016. </w:t>
      </w:r>
      <w:r>
        <w:rPr>
          <w:szCs w:val="24"/>
          <w:lang w:val="sr-Cyrl-RS" w:eastAsia="sr-Latn-CS"/>
        </w:rPr>
        <w:t>године</w:t>
      </w:r>
      <w:r>
        <w:rPr>
          <w:szCs w:val="24"/>
          <w:lang w:eastAsia="sr-Latn-CS"/>
        </w:rPr>
        <w:t xml:space="preserve">, </w:t>
      </w:r>
      <w:r>
        <w:rPr>
          <w:szCs w:val="24"/>
          <w:lang w:val="sr-Cyrl-RS" w:eastAsia="sr-Latn-CS"/>
        </w:rPr>
        <w:t>посјећене</w:t>
      </w:r>
      <w:r>
        <w:rPr>
          <w:szCs w:val="24"/>
          <w:lang w:eastAsia="sr-Latn-CS"/>
        </w:rPr>
        <w:t xml:space="preserve"> </w:t>
      </w:r>
      <w:r>
        <w:rPr>
          <w:szCs w:val="24"/>
          <w:lang w:val="sr-Cyrl-RS" w:eastAsia="sr-Latn-CS"/>
        </w:rPr>
        <w:t>су</w:t>
      </w:r>
      <w:r>
        <w:rPr>
          <w:szCs w:val="24"/>
          <w:lang w:eastAsia="sr-Latn-CS"/>
        </w:rPr>
        <w:t xml:space="preserve"> 2 </w:t>
      </w:r>
      <w:r>
        <w:rPr>
          <w:szCs w:val="24"/>
          <w:lang w:val="sr-Cyrl-RS" w:eastAsia="sr-Latn-CS"/>
        </w:rPr>
        <w:t>компаније</w:t>
      </w:r>
      <w:r>
        <w:rPr>
          <w:szCs w:val="24"/>
          <w:lang w:eastAsia="sr-Latn-CS"/>
        </w:rPr>
        <w:t>.</w:t>
      </w:r>
      <w:r>
        <w:rPr>
          <w:szCs w:val="24"/>
          <w:lang w:val="sr-Cyrl-RS" w:eastAsia="sr-Latn-CS"/>
        </w:rPr>
        <w:t xml:space="preserve"> 7  компанија, посјећених у 2017. години,  у току  2015. и 2016. године,  инвестирале су  укупно 5.786.014 КМ, а свих 9 посјећених компанија запошљава укупно 1.082 радника. </w:t>
      </w:r>
      <w:r>
        <w:rPr>
          <w:rFonts w:eastAsia="Times New Roman"/>
          <w:szCs w:val="24"/>
          <w:lang w:eastAsia="sr-Latn-CS"/>
        </w:rPr>
        <w:t>2 компаније, посјећене крајем 2016-е године, у току 2015. и 2016. године, инвестирале су 17.000.000,00 КМ, а исте запошљавају 500 радника.</w:t>
      </w:r>
      <w:r>
        <w:rPr>
          <w:rFonts w:eastAsia="Times New Roman"/>
          <w:szCs w:val="24"/>
          <w:lang w:val="sr-Cyrl-RS" w:eastAsia="sr-Latn-CS"/>
        </w:rPr>
        <w:t xml:space="preserve"> </w:t>
      </w:r>
      <w:r>
        <w:rPr>
          <w:rFonts w:eastAsia="Times New Roman"/>
          <w:szCs w:val="24"/>
          <w:lang w:eastAsia="sr-Latn-CS"/>
        </w:rPr>
        <w:t>Од посјећених компанија у 2017</w:t>
      </w:r>
      <w:r>
        <w:rPr>
          <w:rFonts w:eastAsia="Times New Roman"/>
          <w:szCs w:val="24"/>
          <w:lang w:val="sr-Cyrl-RS" w:eastAsia="sr-Latn-CS"/>
        </w:rPr>
        <w:t>.</w:t>
      </w:r>
      <w:r>
        <w:rPr>
          <w:rFonts w:eastAsia="Times New Roman"/>
          <w:szCs w:val="24"/>
          <w:lang w:eastAsia="sr-Latn-CS"/>
        </w:rPr>
        <w:t xml:space="preserve"> години, њих 7 или 78%, одговорило је да у наредне 3 године планирају реинвестиције у износу преко 12 мил</w:t>
      </w:r>
      <w:r>
        <w:rPr>
          <w:rFonts w:eastAsia="Times New Roman"/>
          <w:szCs w:val="24"/>
          <w:lang w:val="sr-Cyrl-RS" w:eastAsia="sr-Latn-CS"/>
        </w:rPr>
        <w:t>иона</w:t>
      </w:r>
      <w:r>
        <w:rPr>
          <w:rFonts w:eastAsia="Times New Roman"/>
          <w:szCs w:val="24"/>
          <w:lang w:eastAsia="sr-Latn-CS"/>
        </w:rPr>
        <w:t xml:space="preserve"> КМ и запошљавање нових радника. </w:t>
      </w:r>
    </w:p>
    <w:p>
      <w:pPr>
        <w:jc w:val="both"/>
        <w:rPr>
          <w:rFonts w:eastAsia="Times New Roman"/>
          <w:szCs w:val="24"/>
          <w:lang w:eastAsia="sr-Latn-CS"/>
        </w:rPr>
      </w:pPr>
    </w:p>
    <w:p>
      <w:pPr>
        <w:jc w:val="both"/>
        <w:rPr>
          <w:rFonts w:eastAsia="Times New Roman"/>
          <w:szCs w:val="24"/>
          <w:lang w:eastAsia="sr-Latn-CS"/>
        </w:rPr>
      </w:pPr>
      <w:r>
        <w:rPr>
          <w:b/>
          <w:szCs w:val="24"/>
          <w:lang w:eastAsia="sr-Latn-CS"/>
        </w:rPr>
        <w:t>Отворена питања инвеститора</w:t>
      </w:r>
      <w:r>
        <w:rPr>
          <w:b/>
          <w:szCs w:val="24"/>
          <w:lang w:val="sr-Cyrl-RS" w:eastAsia="sr-Latn-CS"/>
        </w:rPr>
        <w:t xml:space="preserve">.  </w:t>
      </w:r>
      <w:r>
        <w:rPr>
          <w:rFonts w:eastAsia="Times New Roman"/>
          <w:szCs w:val="24"/>
          <w:lang w:eastAsia="sr-Latn-CS"/>
        </w:rPr>
        <w:t>У посјећеним компанијама идентификовано је укупно 33 отворених  питања,</w:t>
      </w:r>
      <w:r>
        <w:rPr>
          <w:rFonts w:eastAsia="Times New Roman"/>
          <w:szCs w:val="24"/>
          <w:lang w:val="sr-Cyrl-RS" w:eastAsia="sr-Latn-CS"/>
        </w:rPr>
        <w:t xml:space="preserve"> </w:t>
      </w:r>
      <w:r>
        <w:rPr>
          <w:rFonts w:eastAsia="Times New Roman"/>
          <w:szCs w:val="24"/>
          <w:lang w:eastAsia="sr-Latn-CS"/>
        </w:rPr>
        <w:t>од којих су 9 питања логистике, 8</w:t>
      </w:r>
      <w:r>
        <w:rPr>
          <w:rFonts w:eastAsia="Times New Roman"/>
          <w:szCs w:val="24"/>
          <w:lang w:val="sr-Cyrl-RS" w:eastAsia="sr-Latn-CS"/>
        </w:rPr>
        <w:t xml:space="preserve"> </w:t>
      </w:r>
      <w:r>
        <w:rPr>
          <w:rFonts w:eastAsia="Times New Roman"/>
          <w:szCs w:val="24"/>
          <w:lang w:eastAsia="sr-Latn-CS"/>
        </w:rPr>
        <w:t>питања заштите инвеститора (недостатак транспарентности), 11 питања примјене постојећих закона и 6 остала питања. Од тога, до сада су  ријешена 3 питања (</w:t>
      </w:r>
      <w:r>
        <w:rPr>
          <w:rFonts w:eastAsia="Times New Roman"/>
          <w:szCs w:val="24"/>
          <w:lang w:val="sr-Cyrl-RS" w:eastAsia="sr-Latn-CS"/>
        </w:rPr>
        <w:t>н</w:t>
      </w:r>
      <w:r>
        <w:rPr>
          <w:rFonts w:eastAsia="Times New Roman"/>
          <w:szCs w:val="24"/>
          <w:lang w:eastAsia="sr-Latn-CS"/>
        </w:rPr>
        <w:t xml:space="preserve">адлежности Града Бање Луке), 6 </w:t>
      </w:r>
      <w:r>
        <w:rPr>
          <w:rFonts w:eastAsia="Times New Roman"/>
          <w:szCs w:val="24"/>
          <w:lang w:val="sr-Cyrl-RS" w:eastAsia="sr-Latn-CS"/>
        </w:rPr>
        <w:t xml:space="preserve">је </w:t>
      </w:r>
      <w:r>
        <w:rPr>
          <w:rFonts w:eastAsia="Times New Roman"/>
          <w:szCs w:val="24"/>
          <w:lang w:eastAsia="sr-Latn-CS"/>
        </w:rPr>
        <w:t xml:space="preserve">у поступку рјешавања, </w:t>
      </w:r>
      <w:r>
        <w:rPr>
          <w:rFonts w:eastAsia="Times New Roman"/>
          <w:szCs w:val="24"/>
          <w:lang w:val="sr-Cyrl-RS" w:eastAsia="sr-Latn-CS"/>
        </w:rPr>
        <w:t xml:space="preserve">а </w:t>
      </w:r>
      <w:r>
        <w:rPr>
          <w:rFonts w:eastAsia="Times New Roman"/>
          <w:szCs w:val="24"/>
          <w:lang w:eastAsia="sr-Latn-CS"/>
        </w:rPr>
        <w:t>25 питања су питања са дугорочним рјешењем</w:t>
      </w:r>
      <w:r>
        <w:rPr>
          <w:rFonts w:eastAsia="Times New Roman"/>
          <w:szCs w:val="24"/>
          <w:lang w:val="sr-Cyrl-RS" w:eastAsia="sr-Latn-CS"/>
        </w:rPr>
        <w:t xml:space="preserve"> </w:t>
      </w:r>
      <w:r>
        <w:rPr>
          <w:rFonts w:eastAsia="Times New Roman"/>
          <w:szCs w:val="24"/>
          <w:lang w:eastAsia="sr-Latn-CS"/>
        </w:rPr>
        <w:t>(</w:t>
      </w:r>
      <w:r>
        <w:rPr>
          <w:rFonts w:eastAsia="Times New Roman"/>
          <w:szCs w:val="24"/>
          <w:lang w:val="sr-Cyrl-RS" w:eastAsia="sr-Latn-CS"/>
        </w:rPr>
        <w:t>н</w:t>
      </w:r>
      <w:r>
        <w:rPr>
          <w:rFonts w:eastAsia="Times New Roman"/>
          <w:szCs w:val="24"/>
          <w:lang w:eastAsia="sr-Latn-CS"/>
        </w:rPr>
        <w:t>адлежност  РС и БиХ).</w:t>
      </w:r>
    </w:p>
    <w:p>
      <w:pPr>
        <w:jc w:val="both"/>
        <w:rPr>
          <w:rFonts w:eastAsia="Times New Roman"/>
          <w:szCs w:val="24"/>
          <w:lang w:eastAsia="sr-Latn-CS"/>
        </w:rPr>
      </w:pPr>
    </w:p>
    <w:p>
      <w:pPr>
        <w:jc w:val="both"/>
        <w:rPr>
          <w:rFonts w:eastAsia="Times New Roman"/>
          <w:szCs w:val="24"/>
          <w:lang w:val="sr-Cyrl-RS" w:eastAsia="sr-Latn-CS"/>
        </w:rPr>
      </w:pPr>
      <w:r>
        <w:rPr>
          <w:b/>
          <w:szCs w:val="24"/>
          <w:lang w:eastAsia="sr-Latn-CS"/>
        </w:rPr>
        <w:t>Учешће на састанцима Сарадничке мреже</w:t>
      </w:r>
      <w:r>
        <w:rPr>
          <w:b/>
          <w:szCs w:val="24"/>
          <w:lang w:val="sr-Cyrl-RS" w:eastAsia="sr-Latn-CS"/>
        </w:rPr>
        <w:t xml:space="preserve">. </w:t>
      </w:r>
      <w:r>
        <w:rPr>
          <w:rFonts w:eastAsia="Times New Roman"/>
          <w:szCs w:val="24"/>
          <w:lang w:eastAsia="sr-Latn-CS"/>
        </w:rPr>
        <w:t>У 2017. години</w:t>
      </w:r>
      <w:r>
        <w:rPr>
          <w:rFonts w:eastAsia="Times New Roman"/>
          <w:szCs w:val="24"/>
          <w:lang w:val="sr-Cyrl-RS" w:eastAsia="sr-Latn-CS"/>
        </w:rPr>
        <w:t xml:space="preserve">, представници Града редовно су учествовали у </w:t>
      </w:r>
      <w:r>
        <w:rPr>
          <w:rFonts w:eastAsia="Times New Roman"/>
          <w:szCs w:val="24"/>
          <w:lang w:eastAsia="sr-Latn-CS"/>
        </w:rPr>
        <w:t>Сарадничке мреже</w:t>
      </w:r>
      <w:r>
        <w:rPr>
          <w:rFonts w:eastAsia="Times New Roman"/>
          <w:szCs w:val="24"/>
          <w:lang w:val="sr-Cyrl-RS" w:eastAsia="sr-Latn-CS"/>
        </w:rPr>
        <w:t xml:space="preserve">. </w:t>
      </w:r>
      <w:r>
        <w:rPr>
          <w:rFonts w:eastAsia="Times New Roman"/>
          <w:szCs w:val="24"/>
          <w:lang w:eastAsia="sr-Latn-CS"/>
        </w:rPr>
        <w:t>Поред осталих идентификованих заједничких препрека, представници Града Бање Луке су истакли компликовану и отежану процедуру рјешавања имовинско-правних односу у процесу прибављања земљишта за проширење постојећих или успостављање нових Пословних зона. У свијетлу ове проблематике, предложено је разматрање идеје о покретању иницијативе за измјену Закона о експропријацији, на начин да се успостави законска могућност</w:t>
      </w:r>
      <w:r>
        <w:rPr>
          <w:rFonts w:eastAsia="Times New Roman"/>
          <w:szCs w:val="24"/>
          <w:lang w:val="sr-Cyrl-RS" w:eastAsia="sr-Latn-CS"/>
        </w:rPr>
        <w:t xml:space="preserve"> </w:t>
      </w:r>
      <w:r>
        <w:rPr>
          <w:rFonts w:eastAsia="Times New Roman"/>
          <w:szCs w:val="24"/>
          <w:lang w:eastAsia="sr-Latn-CS"/>
        </w:rPr>
        <w:t>експропријације земљишта за потребе успостављања пословних зона за подршку привреди, а у складу са стратешким, развојним, просторно-планским и урбанистичким документима.</w:t>
      </w:r>
    </w:p>
    <w:p>
      <w:pPr>
        <w:jc w:val="both"/>
        <w:rPr>
          <w:rFonts w:eastAsia="Times New Roman"/>
          <w:szCs w:val="24"/>
          <w:lang w:val="sr-Cyrl-RS" w:eastAsia="sr-Latn-CS"/>
        </w:rPr>
      </w:pPr>
    </w:p>
    <w:p>
      <w:pPr>
        <w:jc w:val="both"/>
        <w:rPr>
          <w:rFonts w:eastAsia="Times New Roman"/>
          <w:szCs w:val="24"/>
          <w:lang w:val="sr-Cyrl-RS" w:eastAsia="sr-Latn-CS"/>
        </w:rPr>
      </w:pPr>
      <w:r>
        <w:rPr>
          <w:b/>
          <w:szCs w:val="24"/>
          <w:lang w:eastAsia="sr-Latn-CS"/>
        </w:rPr>
        <w:t>Израда Инвестиционог профила Града Бање Луке</w:t>
      </w:r>
      <w:r>
        <w:rPr>
          <w:i/>
          <w:szCs w:val="24"/>
          <w:lang w:val="sr-Cyrl-RS" w:eastAsia="sr-Latn-CS"/>
        </w:rPr>
        <w:t xml:space="preserve">. </w:t>
      </w:r>
      <w:r>
        <w:rPr>
          <w:szCs w:val="24"/>
          <w:lang w:val="sr-Cyrl-RS" w:eastAsia="sr-Latn-CS"/>
        </w:rPr>
        <w:t>У</w:t>
      </w:r>
      <w:r>
        <w:rPr>
          <w:rFonts w:eastAsia="Times New Roman"/>
          <w:szCs w:val="24"/>
          <w:lang w:eastAsia="sr-Latn-CS"/>
        </w:rPr>
        <w:t xml:space="preserve"> новембру 2017.</w:t>
      </w:r>
      <w:r>
        <w:rPr>
          <w:rFonts w:eastAsia="Times New Roman"/>
          <w:szCs w:val="24"/>
          <w:lang w:val="sr-Cyrl-RS" w:eastAsia="sr-Latn-CS"/>
        </w:rPr>
        <w:t xml:space="preserve"> </w:t>
      </w:r>
      <w:r>
        <w:rPr>
          <w:rFonts w:eastAsia="Times New Roman"/>
          <w:szCs w:val="24"/>
          <w:lang w:eastAsia="sr-Latn-CS"/>
        </w:rPr>
        <w:t>године,</w:t>
      </w:r>
      <w:r>
        <w:rPr>
          <w:rFonts w:eastAsia="Times New Roman"/>
          <w:szCs w:val="24"/>
          <w:lang w:val="sr-Cyrl-RS" w:eastAsia="sr-Latn-CS"/>
        </w:rPr>
        <w:t xml:space="preserve"> </w:t>
      </w:r>
      <w:r>
        <w:rPr>
          <w:rFonts w:eastAsia="Times New Roman"/>
          <w:szCs w:val="24"/>
          <w:lang w:eastAsia="sr-Latn-CS"/>
        </w:rPr>
        <w:t>завршен је Инвестициони  профил  Града Бање Луке,  са детаљним прегледом свих информација о Граду Бањој Луци, а које могу бити од интереса за постојеће и потенцијалн</w:t>
      </w:r>
      <w:r>
        <w:rPr>
          <w:rFonts w:eastAsia="Times New Roman"/>
          <w:szCs w:val="24"/>
          <w:lang w:val="sr-Cyrl-RS" w:eastAsia="sr-Latn-CS"/>
        </w:rPr>
        <w:t>е</w:t>
      </w:r>
      <w:r>
        <w:rPr>
          <w:rFonts w:eastAsia="Times New Roman"/>
          <w:szCs w:val="24"/>
          <w:lang w:eastAsia="sr-Latn-CS"/>
        </w:rPr>
        <w:t xml:space="preserve"> инвеститор</w:t>
      </w:r>
      <w:r>
        <w:rPr>
          <w:rFonts w:eastAsia="Times New Roman"/>
          <w:szCs w:val="24"/>
          <w:lang w:val="sr-Cyrl-RS" w:eastAsia="sr-Latn-CS"/>
        </w:rPr>
        <w:t>е</w:t>
      </w:r>
      <w:r>
        <w:rPr>
          <w:rFonts w:eastAsia="Times New Roman"/>
          <w:szCs w:val="24"/>
          <w:lang w:eastAsia="sr-Latn-CS"/>
        </w:rPr>
        <w:t>.  Инвестициони  профил</w:t>
      </w:r>
      <w:r>
        <w:rPr>
          <w:rFonts w:eastAsia="Times New Roman"/>
          <w:szCs w:val="24"/>
          <w:lang w:val="sr-Cyrl-RS" w:eastAsia="sr-Latn-CS"/>
        </w:rPr>
        <w:t xml:space="preserve"> </w:t>
      </w:r>
      <w:r>
        <w:rPr>
          <w:rFonts w:eastAsia="Times New Roman"/>
          <w:szCs w:val="24"/>
          <w:lang w:eastAsia="sr-Latn-CS"/>
        </w:rPr>
        <w:t xml:space="preserve">је расположив на српском и енглеском језику, у електронској и аналогној форми. Инвестициони  профил је постављен на </w:t>
      </w:r>
      <w:r>
        <w:rPr>
          <w:rFonts w:eastAsia="Times New Roman"/>
          <w:szCs w:val="24"/>
          <w:lang w:val="sr-Latn-RS" w:eastAsia="sr-Latn-CS"/>
        </w:rPr>
        <w:t xml:space="preserve">WEB </w:t>
      </w:r>
      <w:r>
        <w:rPr>
          <w:rFonts w:eastAsia="Times New Roman"/>
          <w:szCs w:val="24"/>
          <w:lang w:eastAsia="sr-Latn-CS"/>
        </w:rPr>
        <w:t xml:space="preserve"> страници  Града Бање Лука</w:t>
      </w:r>
      <w:r>
        <w:rPr>
          <w:rStyle w:val="31"/>
          <w:rFonts w:eastAsia="Times New Roman"/>
          <w:szCs w:val="24"/>
          <w:lang w:eastAsia="sr-Latn-CS"/>
        </w:rPr>
        <w:footnoteReference w:id="4"/>
      </w:r>
    </w:p>
    <w:p>
      <w:pPr>
        <w:jc w:val="both"/>
        <w:rPr>
          <w:rFonts w:eastAsia="Times New Roman"/>
          <w:szCs w:val="24"/>
          <w:u w:val="single"/>
          <w:lang w:eastAsia="sr-Latn-CS"/>
        </w:rPr>
      </w:pPr>
    </w:p>
    <w:p>
      <w:pPr>
        <w:rPr>
          <w:rFonts w:eastAsia="Times New Roman"/>
          <w:szCs w:val="24"/>
          <w:lang w:eastAsia="sr-Latn-CS"/>
        </w:rPr>
      </w:pPr>
      <w:r>
        <w:rPr>
          <w:b/>
          <w:szCs w:val="24"/>
          <w:lang w:eastAsia="sr-Latn-CS"/>
        </w:rPr>
        <w:t>Листа инвестиционих подстицаја</w:t>
      </w:r>
      <w:r>
        <w:rPr>
          <w:szCs w:val="24"/>
          <w:lang w:val="sr-Cyrl-RS" w:eastAsia="sr-Latn-CS"/>
        </w:rPr>
        <w:t xml:space="preserve">. </w:t>
      </w:r>
      <w:r>
        <w:rPr>
          <w:rFonts w:eastAsia="Times New Roman"/>
          <w:szCs w:val="24"/>
          <w:lang w:eastAsia="sr-Latn-CS"/>
        </w:rPr>
        <w:t xml:space="preserve">Листа подстицаја је постављена на службену интернет страницу Града Бањалука са </w:t>
      </w:r>
      <w:r>
        <w:rPr>
          <w:rFonts w:eastAsia="Times New Roman"/>
          <w:szCs w:val="24"/>
          <w:lang w:val="sr-Latn-RS" w:eastAsia="sr-Latn-CS"/>
        </w:rPr>
        <w:t>on-line</w:t>
      </w:r>
      <w:r>
        <w:rPr>
          <w:rFonts w:eastAsia="Times New Roman"/>
          <w:szCs w:val="24"/>
          <w:lang w:eastAsia="sr-Latn-CS"/>
        </w:rPr>
        <w:t xml:space="preserve"> приступом информацијама о актуелним подстицајима</w:t>
      </w:r>
      <w:r>
        <w:rPr>
          <w:rStyle w:val="31"/>
          <w:rFonts w:eastAsia="Times New Roman"/>
          <w:szCs w:val="24"/>
          <w:lang w:eastAsia="sr-Latn-CS"/>
        </w:rPr>
        <w:footnoteReference w:id="5"/>
      </w:r>
      <w:r>
        <w:rPr>
          <w:rFonts w:eastAsia="Times New Roman"/>
          <w:szCs w:val="24"/>
          <w:lang w:eastAsia="sr-Latn-CS"/>
        </w:rPr>
        <w:t xml:space="preserve">. </w:t>
      </w:r>
    </w:p>
    <w:p>
      <w:pPr>
        <w:jc w:val="both"/>
        <w:rPr>
          <w:rFonts w:eastAsia="Times New Roman"/>
          <w:szCs w:val="24"/>
          <w:lang w:eastAsia="sr-Latn-CS"/>
        </w:rPr>
      </w:pPr>
    </w:p>
    <w:p>
      <w:pPr>
        <w:jc w:val="both"/>
      </w:pPr>
      <w:r>
        <w:rPr>
          <w:b/>
          <w:szCs w:val="24"/>
          <w:lang w:eastAsia="sr-Latn-CS"/>
        </w:rPr>
        <w:t>Сервисирање инвеститора,</w:t>
      </w:r>
      <w:r>
        <w:rPr>
          <w:b/>
          <w:szCs w:val="24"/>
          <w:lang w:val="sr-Cyrl-RS" w:eastAsia="sr-Latn-CS"/>
        </w:rPr>
        <w:t xml:space="preserve"> </w:t>
      </w:r>
      <w:r>
        <w:rPr>
          <w:b/>
          <w:szCs w:val="24"/>
          <w:lang w:eastAsia="sr-Latn-CS"/>
        </w:rPr>
        <w:t>евиденција о потенцијалним инвеститорима и инвестиционој активности у Граду Бањој Луци (инвестициони индикатори)</w:t>
      </w:r>
      <w:r>
        <w:rPr>
          <w:b/>
          <w:szCs w:val="24"/>
          <w:lang w:val="sr-Cyrl-RS" w:eastAsia="sr-Latn-CS"/>
        </w:rPr>
        <w:t>.</w:t>
      </w:r>
      <w:r>
        <w:rPr>
          <w:i/>
          <w:szCs w:val="24"/>
          <w:lang w:val="sr-Cyrl-RS" w:eastAsia="sr-Latn-CS"/>
        </w:rPr>
        <w:t xml:space="preserve"> </w:t>
      </w:r>
      <w:r>
        <w:t>Центар за инвеститоре је, у току 2017. године, пруж</w:t>
      </w:r>
      <w:r>
        <w:rPr>
          <w:lang w:val="sr-Cyrl-RS"/>
        </w:rPr>
        <w:t>а</w:t>
      </w:r>
      <w:r>
        <w:t>о континуирану помоћ и подршку потенцијалним инвеститорима у свим фазама инвестиционог процеса, кроз помоћ у индентификацији инвестиционих локација, добијања дозвола и сагласности и пружању свих неопходних информација.</w:t>
      </w:r>
    </w:p>
    <w:p>
      <w:pPr>
        <w:jc w:val="both"/>
        <w:rPr>
          <w:lang w:val="sr-Cyrl-CS"/>
        </w:rPr>
      </w:pPr>
    </w:p>
    <w:p>
      <w:pPr>
        <w:jc w:val="both"/>
        <w:rPr>
          <w:lang w:val="sr-Cyrl-CS"/>
        </w:rPr>
      </w:pPr>
    </w:p>
    <w:p>
      <w:pPr>
        <w:pStyle w:val="5"/>
        <w:rPr>
          <w:lang w:val="sr-Cyrl-RS"/>
        </w:rPr>
      </w:pPr>
      <w:bookmarkStart w:id="26" w:name="_Toc526170585"/>
      <w:r>
        <w:t>IV.1.3.5. Просјечне плате</w:t>
      </w:r>
      <w:r>
        <w:rPr>
          <w:lang w:val="sr-Cyrl-RS"/>
        </w:rPr>
        <w:t xml:space="preserve"> и пензије</w:t>
      </w:r>
      <w:bookmarkEnd w:id="26"/>
    </w:p>
    <w:p>
      <w:pPr>
        <w:jc w:val="both"/>
        <w:rPr>
          <w:lang w:val="sr-Cyrl-CS"/>
        </w:rPr>
      </w:pPr>
    </w:p>
    <w:p>
      <w:pPr>
        <w:jc w:val="both"/>
        <w:rPr>
          <w:rFonts w:asciiTheme="minorHAnsi" w:hAnsiTheme="minorHAnsi" w:cstheme="minorHAnsi"/>
          <w:lang w:val="sr-Cyrl-CS"/>
        </w:rPr>
      </w:pPr>
      <w:r>
        <w:rPr>
          <w:b/>
          <w:lang w:val="sr-Cyrl-CS"/>
        </w:rPr>
        <w:t xml:space="preserve">Просјечне плате.  </w:t>
      </w:r>
      <w:r>
        <w:rPr>
          <w:lang w:val="sr-Cyrl-CS"/>
        </w:rPr>
        <w:t>На основу података о просјечним мјесечним бруто и нето платама радника на нивоу Републике Српске и града Бања Лука у периоду од 2012. до 2016. године, уочава се да су просјечне мјесечне и бруто и нето плате радника на подручју Бања Луке у посматраном петогодишњем периоду за 16 до 17% више, у односу на просјек Републике Српске. Међутим, ланчани индекси указују да је по годинама посматраног периода забиљежен незнатан пораст или пак опадање просјечних и нето и бруто плата радника.</w:t>
      </w:r>
      <w:r>
        <w:rPr>
          <w:rFonts w:asciiTheme="minorHAnsi" w:hAnsiTheme="minorHAnsi" w:cstheme="minorHAnsi"/>
          <w:i/>
          <w:lang w:val="sr-Cyrl-CS"/>
        </w:rPr>
        <w:t xml:space="preserve"> </w:t>
      </w:r>
    </w:p>
    <w:p>
      <w:pPr>
        <w:jc w:val="both"/>
        <w:rPr>
          <w:rFonts w:asciiTheme="minorHAnsi" w:hAnsiTheme="minorHAnsi" w:cstheme="minorHAnsi"/>
          <w:b/>
          <w:lang w:val="sr-Cyrl-CS"/>
        </w:rPr>
      </w:pPr>
    </w:p>
    <w:p>
      <w:pPr>
        <w:pStyle w:val="133"/>
        <w:spacing w:before="0" w:after="0" w:line="240" w:lineRule="auto"/>
        <w:ind w:firstLine="0"/>
        <w:rPr>
          <w:rFonts w:asciiTheme="minorHAnsi" w:hAnsiTheme="minorHAnsi" w:cstheme="minorHAnsi"/>
          <w:szCs w:val="22"/>
          <w:lang w:val="sr-Cyrl-CS"/>
        </w:rPr>
      </w:pPr>
      <w:bookmarkStart w:id="27" w:name="_Hlk526674844"/>
      <w:r>
        <w:rPr>
          <w:rFonts w:asciiTheme="minorHAnsi" w:hAnsiTheme="minorHAnsi" w:cstheme="minorHAnsi"/>
          <w:szCs w:val="22"/>
          <w:lang w:val="sr-Cyrl-CS"/>
        </w:rPr>
        <w:t>Према подацима Републичког</w:t>
      </w:r>
      <w:r>
        <w:rPr>
          <w:rFonts w:asciiTheme="minorHAnsi" w:hAnsiTheme="minorHAnsi" w:cstheme="minorHAnsi"/>
          <w:szCs w:val="22"/>
          <w:lang w:val="hr-BA"/>
        </w:rPr>
        <w:t xml:space="preserve"> </w:t>
      </w:r>
      <w:r>
        <w:rPr>
          <w:rFonts w:asciiTheme="minorHAnsi" w:hAnsiTheme="minorHAnsi" w:cstheme="minorHAnsi"/>
          <w:szCs w:val="22"/>
          <w:lang w:val="sr-Cyrl-CS"/>
        </w:rPr>
        <w:t>завода</w:t>
      </w:r>
      <w:r>
        <w:rPr>
          <w:rFonts w:asciiTheme="minorHAnsi" w:hAnsiTheme="minorHAnsi" w:cstheme="minorHAnsi"/>
          <w:szCs w:val="22"/>
          <w:lang w:val="hr-BA"/>
        </w:rPr>
        <w:t xml:space="preserve"> </w:t>
      </w:r>
      <w:r>
        <w:rPr>
          <w:rFonts w:asciiTheme="minorHAnsi" w:hAnsiTheme="minorHAnsi" w:cstheme="minorHAnsi"/>
          <w:szCs w:val="22"/>
          <w:lang w:val="sr-Cyrl-CS"/>
        </w:rPr>
        <w:t>за</w:t>
      </w:r>
      <w:r>
        <w:rPr>
          <w:rFonts w:asciiTheme="minorHAnsi" w:hAnsiTheme="minorHAnsi" w:cstheme="minorHAnsi"/>
          <w:szCs w:val="22"/>
          <w:lang w:val="hr-BA"/>
        </w:rPr>
        <w:t xml:space="preserve"> </w:t>
      </w:r>
      <w:r>
        <w:rPr>
          <w:rFonts w:asciiTheme="minorHAnsi" w:hAnsiTheme="minorHAnsi" w:cstheme="minorHAnsi"/>
          <w:szCs w:val="22"/>
          <w:lang w:val="sr-Cyrl-CS"/>
        </w:rPr>
        <w:t>статистику, просјечна</w:t>
      </w:r>
      <w:r>
        <w:rPr>
          <w:rFonts w:asciiTheme="minorHAnsi" w:hAnsiTheme="minorHAnsi" w:cstheme="minorHAnsi"/>
          <w:szCs w:val="22"/>
          <w:lang w:val="sr-Cyrl-BA"/>
        </w:rPr>
        <w:t xml:space="preserve"> нето </w:t>
      </w:r>
      <w:r>
        <w:rPr>
          <w:rFonts w:asciiTheme="minorHAnsi" w:hAnsiTheme="minorHAnsi" w:cstheme="minorHAnsi"/>
          <w:szCs w:val="22"/>
          <w:lang w:val="sr-Cyrl-CS"/>
        </w:rPr>
        <w:t>плата</w:t>
      </w:r>
      <w:r>
        <w:rPr>
          <w:rFonts w:asciiTheme="minorHAnsi" w:hAnsiTheme="minorHAnsi" w:cstheme="minorHAnsi"/>
          <w:szCs w:val="22"/>
          <w:lang w:val="hr-BA"/>
        </w:rPr>
        <w:t xml:space="preserve"> </w:t>
      </w:r>
      <w:r>
        <w:rPr>
          <w:rFonts w:asciiTheme="minorHAnsi" w:hAnsiTheme="minorHAnsi" w:cstheme="minorHAnsi"/>
          <w:szCs w:val="22"/>
          <w:lang w:val="sr-Cyrl-CS"/>
        </w:rPr>
        <w:t xml:space="preserve">за </w:t>
      </w:r>
      <w:r>
        <w:rPr>
          <w:rFonts w:asciiTheme="minorHAnsi" w:hAnsiTheme="minorHAnsi" w:cstheme="minorHAnsi"/>
          <w:szCs w:val="22"/>
          <w:lang w:val="sr-Cyrl-BA"/>
        </w:rPr>
        <w:t>град</w:t>
      </w:r>
      <w:r>
        <w:rPr>
          <w:rFonts w:asciiTheme="minorHAnsi" w:hAnsiTheme="minorHAnsi" w:cstheme="minorHAnsi"/>
          <w:szCs w:val="22"/>
          <w:lang w:val="sr-Cyrl-CS"/>
        </w:rPr>
        <w:t xml:space="preserve"> Бања Луку у 2016. години износила је 962 КМ (у 2015. години 964 КМ), док је просјечна мјесечна нето плата на нивоу Републике Српске у 2016. години износила 836 КМ.</w:t>
      </w:r>
      <w:bookmarkEnd w:id="27"/>
      <w:r>
        <w:rPr>
          <w:rFonts w:asciiTheme="minorHAnsi" w:hAnsiTheme="minorHAnsi" w:cstheme="minorHAnsi"/>
          <w:szCs w:val="22"/>
          <w:lang w:val="sr-Cyrl-CS"/>
        </w:rPr>
        <w:t xml:space="preserve"> На нивоу Републике Српске у 2016. години остварена је просјечна мјесечна бруто плата у износу од 1.344 КМ, док је просјечна мјесечна бруто плата за </w:t>
      </w:r>
      <w:r>
        <w:rPr>
          <w:rFonts w:asciiTheme="minorHAnsi" w:hAnsiTheme="minorHAnsi" w:cstheme="minorHAnsi"/>
          <w:szCs w:val="22"/>
          <w:lang w:val="sr-Cyrl-BA"/>
        </w:rPr>
        <w:t>град</w:t>
      </w:r>
      <w:r>
        <w:rPr>
          <w:rFonts w:asciiTheme="minorHAnsi" w:hAnsiTheme="minorHAnsi" w:cstheme="minorHAnsi"/>
          <w:szCs w:val="22"/>
          <w:lang w:val="sr-Cyrl-CS"/>
        </w:rPr>
        <w:t xml:space="preserve"> Бања Луку у 2016. години износила је 1.561 КМ.</w:t>
      </w:r>
    </w:p>
    <w:p>
      <w:pPr>
        <w:pStyle w:val="133"/>
        <w:spacing w:before="0" w:after="0" w:line="240" w:lineRule="auto"/>
        <w:ind w:firstLine="0"/>
        <w:rPr>
          <w:rFonts w:asciiTheme="minorHAnsi" w:hAnsiTheme="minorHAnsi" w:cstheme="minorHAnsi"/>
          <w:szCs w:val="22"/>
          <w:lang w:val="sr-Cyrl-CS"/>
        </w:rPr>
      </w:pPr>
    </w:p>
    <w:p>
      <w:pPr>
        <w:pStyle w:val="133"/>
        <w:spacing w:before="0" w:line="240" w:lineRule="auto"/>
        <w:ind w:firstLine="0"/>
        <w:rPr>
          <w:rFonts w:asciiTheme="minorHAnsi" w:hAnsiTheme="minorHAnsi" w:cstheme="minorHAnsi"/>
          <w:szCs w:val="22"/>
          <w:lang w:val="sr-Cyrl-CS"/>
        </w:rPr>
      </w:pPr>
      <w:r>
        <w:rPr>
          <w:rFonts w:asciiTheme="minorHAnsi" w:hAnsiTheme="minorHAnsi" w:cstheme="minorHAnsi"/>
          <w:szCs w:val="22"/>
          <w:lang w:val="sr-Cyrl-BA"/>
        </w:rPr>
        <w:t xml:space="preserve">Посматрано по </w:t>
      </w:r>
      <w:r>
        <w:rPr>
          <w:rFonts w:asciiTheme="minorHAnsi" w:hAnsiTheme="minorHAnsi" w:cstheme="minorHAnsi"/>
          <w:szCs w:val="22"/>
          <w:lang w:val="sr-Cyrl-CS"/>
        </w:rPr>
        <w:t>подручјима, у 2016. години на нивоу Републике Српске највиша просјечна нето плата исплаћена је у финансијским дјелатностима и дјелатности осигурања (1.269 КМ), док је најнижа просјечна нето плата у 2016. години исплаћена у подручју</w:t>
      </w:r>
      <w:r>
        <w:rPr>
          <w:rFonts w:asciiTheme="minorHAnsi" w:hAnsiTheme="minorHAnsi" w:cstheme="minorHAnsi"/>
          <w:szCs w:val="22"/>
          <w:lang w:val="sr-Cyrl-BA"/>
        </w:rPr>
        <w:t xml:space="preserve"> а</w:t>
      </w:r>
      <w:r>
        <w:rPr>
          <w:rFonts w:asciiTheme="minorHAnsi" w:hAnsiTheme="minorHAnsi" w:cstheme="minorHAnsi"/>
          <w:szCs w:val="22"/>
          <w:lang w:val="sr-Cyrl-CS"/>
        </w:rPr>
        <w:t>дминистративних и помоћних услужних дјелатности (</w:t>
      </w:r>
      <w:r>
        <w:rPr>
          <w:rFonts w:asciiTheme="minorHAnsi" w:hAnsiTheme="minorHAnsi" w:cstheme="minorHAnsi"/>
          <w:szCs w:val="22"/>
          <w:lang w:val="sr-Cyrl-BA"/>
        </w:rPr>
        <w:t xml:space="preserve">518 КМ) </w:t>
      </w:r>
      <w:r>
        <w:rPr>
          <w:rFonts w:asciiTheme="minorHAnsi" w:hAnsiTheme="minorHAnsi" w:cstheme="minorHAnsi"/>
          <w:szCs w:val="22"/>
          <w:lang w:val="sr-Cyrl-CS"/>
        </w:rPr>
        <w:t>и грађевинарству (537 КМ).</w:t>
      </w:r>
    </w:p>
    <w:p>
      <w:pPr>
        <w:pStyle w:val="133"/>
        <w:spacing w:before="0" w:after="0" w:line="240" w:lineRule="auto"/>
        <w:ind w:firstLine="0"/>
        <w:rPr>
          <w:rFonts w:asciiTheme="minorHAnsi" w:hAnsiTheme="minorHAnsi" w:cstheme="minorHAnsi"/>
          <w:b/>
          <w:szCs w:val="22"/>
          <w:lang w:val="sr-Cyrl-CS"/>
        </w:rPr>
      </w:pPr>
      <w:r>
        <w:rPr>
          <w:rFonts w:asciiTheme="minorHAnsi" w:hAnsiTheme="minorHAnsi" w:cstheme="minorHAnsi"/>
          <w:b/>
          <w:i/>
          <w:szCs w:val="22"/>
          <w:lang w:val="sr-Cyrl-CS"/>
        </w:rPr>
        <w:t xml:space="preserve">  </w:t>
      </w:r>
    </w:p>
    <w:p>
      <w:pPr>
        <w:pStyle w:val="133"/>
        <w:spacing w:before="0" w:after="0" w:line="240" w:lineRule="auto"/>
        <w:ind w:firstLine="0"/>
        <w:rPr>
          <w:rFonts w:asciiTheme="minorHAnsi" w:hAnsiTheme="minorHAnsi" w:cstheme="minorHAnsi"/>
          <w:szCs w:val="22"/>
          <w:lang w:val="sr-Cyrl-CS"/>
        </w:rPr>
      </w:pPr>
      <w:r>
        <w:rPr>
          <w:rFonts w:asciiTheme="minorHAnsi" w:hAnsiTheme="minorHAnsi" w:cstheme="minorHAnsi"/>
          <w:b/>
          <w:szCs w:val="22"/>
          <w:lang w:val="sr-Cyrl-CS"/>
        </w:rPr>
        <w:t xml:space="preserve">Просјечне пензије.  </w:t>
      </w:r>
      <w:r>
        <w:rPr>
          <w:rFonts w:asciiTheme="minorHAnsi" w:hAnsiTheme="minorHAnsi" w:cstheme="minorHAnsi"/>
          <w:szCs w:val="22"/>
          <w:lang w:val="sr-Cyrl-CS"/>
        </w:rPr>
        <w:t xml:space="preserve">У односу на укупан број пензионера Републике Српске, учешће броја бањалучких пензионера у петогодишњем периоду је константно и представља 15,2-15,3% укупног броја пензионера, док се на годишњем нивоу број бањалучких пензионара повећава за око 2%.  </w:t>
      </w:r>
    </w:p>
    <w:p>
      <w:pPr>
        <w:pStyle w:val="133"/>
        <w:spacing w:before="0" w:after="0" w:line="240" w:lineRule="auto"/>
        <w:ind w:firstLine="0"/>
        <w:rPr>
          <w:rFonts w:asciiTheme="minorHAnsi" w:hAnsiTheme="minorHAnsi" w:cstheme="minorHAnsi"/>
          <w:szCs w:val="22"/>
          <w:lang w:val="sr-Cyrl-CS"/>
        </w:rPr>
      </w:pPr>
    </w:p>
    <w:p>
      <w:pPr>
        <w:pStyle w:val="133"/>
        <w:spacing w:before="0" w:after="0" w:line="240" w:lineRule="auto"/>
        <w:ind w:firstLine="0"/>
        <w:rPr>
          <w:rFonts w:asciiTheme="minorHAnsi" w:hAnsiTheme="minorHAnsi"/>
          <w:bCs/>
          <w:kern w:val="32"/>
          <w:szCs w:val="22"/>
          <w:lang w:val="sr-Cyrl-CS"/>
        </w:rPr>
      </w:pPr>
      <w:r>
        <w:rPr>
          <w:rFonts w:asciiTheme="minorHAnsi" w:hAnsiTheme="minorHAnsi"/>
          <w:bCs/>
          <w:kern w:val="32"/>
          <w:szCs w:val="22"/>
          <w:lang w:val="sr-Cyrl-CS"/>
        </w:rPr>
        <w:t>Према подацима Јавног фонда ПИО о просјечним исплаћеним пензијама на нивоу Републике Српске и града Бањалуке у периоду од 2012. до 2016. године, просјечна исплаћена пензија за Град Бања Луку у 2016. години, износила је 365 КМ (у 2015. години 366,11 КМ), док је просјечна мјесечна исплаћена пензија на нивоу Републике Српске у 2016. години, износила 341,41 КМ.</w:t>
      </w:r>
    </w:p>
    <w:p>
      <w:pPr>
        <w:pStyle w:val="133"/>
        <w:spacing w:before="0" w:after="0" w:line="240" w:lineRule="auto"/>
        <w:ind w:firstLine="0"/>
        <w:rPr>
          <w:rFonts w:asciiTheme="minorHAnsi" w:hAnsiTheme="minorHAnsi"/>
          <w:bCs/>
          <w:kern w:val="32"/>
          <w:szCs w:val="22"/>
          <w:lang w:val="sr-Cyrl-CS"/>
        </w:rPr>
      </w:pPr>
    </w:p>
    <w:p>
      <w:pPr>
        <w:jc w:val="both"/>
        <w:rPr>
          <w:lang w:val="sr-Cyrl-CS"/>
        </w:rPr>
      </w:pPr>
      <w:r>
        <w:rPr>
          <w:lang w:val="sr-Cyrl-CS"/>
        </w:rPr>
        <w:t xml:space="preserve">На основу података </w:t>
      </w:r>
      <w:bookmarkStart w:id="28" w:name="_Hlk526674870"/>
      <w:r>
        <w:rPr>
          <w:lang w:val="sr-Cyrl-CS"/>
        </w:rPr>
        <w:t>Јавног фонда ПИО о просјечним исплаћеним пензијама на нивоу Републике Српске и града Бањалуке у периоду од 2012. до 2016. године</w:t>
      </w:r>
      <w:bookmarkEnd w:id="28"/>
      <w:r>
        <w:rPr>
          <w:lang w:val="sr-Cyrl-CS"/>
        </w:rPr>
        <w:t>, уочава се да је висина просјечно исплаћене пензије на подручју Бањалуке у посматраном петогодишњем периоду за 6,6 до 6,9% виша, у односу на просјек Републике Српске. Међутим, поредећи висину просјечно исплаћене пензије на подручју града Бањалуке у годинама посматраног периода, уочава се да је до 2014. године просјечан износ пензије растао по стопи од 4,1 и 4,2%, у 2015. години биљежи раст од 1,5%, у односу на претходну годину, да би у 2016. години просјечна бањалучка пензија опала за 0,3%, у односу на 2015. годину</w:t>
      </w:r>
      <w:r>
        <w:rPr>
          <w:rStyle w:val="31"/>
          <w:lang w:val="sr-Cyrl-CS"/>
        </w:rPr>
        <w:footnoteReference w:id="6"/>
      </w:r>
      <w:r>
        <w:rPr>
          <w:lang w:val="sr-Cyrl-CS"/>
        </w:rPr>
        <w:t xml:space="preserve">. </w:t>
      </w:r>
    </w:p>
    <w:p>
      <w:pPr>
        <w:jc w:val="both"/>
        <w:rPr>
          <w:b/>
          <w:lang w:val="sr-Cyrl-CS"/>
        </w:rPr>
      </w:pPr>
    </w:p>
    <w:p>
      <w:pPr>
        <w:jc w:val="both"/>
        <w:rPr>
          <w:b/>
          <w:lang w:val="sr-Cyrl-CS"/>
        </w:rPr>
      </w:pPr>
    </w:p>
    <w:p>
      <w:pPr>
        <w:pStyle w:val="5"/>
        <w:rPr>
          <w:lang w:val="sr-Cyrl-CS"/>
        </w:rPr>
      </w:pPr>
      <w:bookmarkStart w:id="29" w:name="_Toc497473037"/>
      <w:bookmarkStart w:id="30" w:name="_Toc526170586"/>
      <w:r>
        <w:t>IV.1.3.6. Туризам</w:t>
      </w:r>
      <w:bookmarkEnd w:id="29"/>
      <w:bookmarkEnd w:id="30"/>
    </w:p>
    <w:p>
      <w:pPr>
        <w:rPr>
          <w:lang w:val="sr-Cyrl-CS"/>
        </w:rPr>
      </w:pPr>
    </w:p>
    <w:p>
      <w:pPr>
        <w:jc w:val="both"/>
        <w:rPr>
          <w:rFonts w:eastAsia="Times New Roman" w:asciiTheme="minorHAnsi" w:hAnsiTheme="minorHAnsi"/>
          <w:bCs/>
          <w:kern w:val="32"/>
          <w:lang w:val="sr-Cyrl-RS"/>
        </w:rPr>
      </w:pPr>
      <w:r>
        <w:rPr>
          <w:rFonts w:eastAsia="Times New Roman" w:asciiTheme="minorHAnsi" w:hAnsiTheme="minorHAnsi"/>
          <w:bCs/>
          <w:kern w:val="32"/>
          <w:lang w:val="sr-Cyrl-RS"/>
        </w:rPr>
        <w:t>У оквиру Градске управе, Одјељење за културу, туризам и социјалну политику, задужено за развој туризма,</w:t>
      </w:r>
      <w:r>
        <w:rPr>
          <w:rFonts w:eastAsia="Times New Roman" w:asciiTheme="minorHAnsi" w:hAnsiTheme="minorHAnsi"/>
          <w:b/>
          <w:bCs/>
          <w:kern w:val="32"/>
          <w:lang w:val="sr-Cyrl-RS"/>
        </w:rPr>
        <w:t xml:space="preserve"> </w:t>
      </w:r>
      <w:r>
        <w:rPr>
          <w:rFonts w:eastAsia="Times New Roman" w:asciiTheme="minorHAnsi" w:hAnsiTheme="minorHAnsi"/>
          <w:bCs/>
          <w:kern w:val="32"/>
          <w:lang w:val="sr-Cyrl-RS"/>
        </w:rPr>
        <w:t xml:space="preserve">у претходном периоду израдило је </w:t>
      </w:r>
      <w:r>
        <w:rPr>
          <w:rFonts w:eastAsia="Times New Roman" w:asciiTheme="minorHAnsi" w:hAnsiTheme="minorHAnsi"/>
          <w:bCs/>
          <w:i/>
          <w:kern w:val="32"/>
          <w:lang w:val="sr-Cyrl-RS"/>
        </w:rPr>
        <w:t>Анализу туристичког бренда града</w:t>
      </w:r>
      <w:r>
        <w:rPr>
          <w:rFonts w:eastAsia="Times New Roman" w:asciiTheme="minorHAnsi" w:hAnsiTheme="minorHAnsi"/>
          <w:bCs/>
          <w:kern w:val="32"/>
          <w:lang w:val="sr-Latn-RS"/>
        </w:rPr>
        <w:t xml:space="preserve">, </w:t>
      </w:r>
      <w:r>
        <w:rPr>
          <w:rFonts w:eastAsia="Times New Roman" w:asciiTheme="minorHAnsi" w:hAnsiTheme="minorHAnsi"/>
          <w:bCs/>
          <w:kern w:val="32"/>
          <w:lang w:val="sr-Cyrl-RS"/>
        </w:rPr>
        <w:t xml:space="preserve">на основу које су бренд града Бања Лука ријека Врбас, адреналински спортови и манифестације. Завршена је и </w:t>
      </w:r>
      <w:r>
        <w:rPr>
          <w:rFonts w:eastAsia="Times New Roman" w:asciiTheme="minorHAnsi" w:hAnsiTheme="minorHAnsi"/>
          <w:bCs/>
          <w:i/>
          <w:kern w:val="32"/>
          <w:lang w:val="sr-Cyrl-RS"/>
        </w:rPr>
        <w:t>Анализа потенцијала за развој туристичког бренда града</w:t>
      </w:r>
      <w:r>
        <w:rPr>
          <w:rFonts w:eastAsia="Times New Roman" w:asciiTheme="minorHAnsi" w:hAnsiTheme="minorHAnsi"/>
          <w:bCs/>
          <w:kern w:val="32"/>
          <w:lang w:val="sr-Cyrl-RS"/>
        </w:rPr>
        <w:t>, која ће заједно са анализом туристичког бренда града служити као основ за развој туризма.</w:t>
      </w:r>
    </w:p>
    <w:p>
      <w:pPr>
        <w:jc w:val="both"/>
        <w:rPr>
          <w:rFonts w:eastAsia="Times New Roman" w:asciiTheme="minorHAnsi" w:hAnsiTheme="minorHAnsi"/>
          <w:bCs/>
          <w:kern w:val="32"/>
          <w:lang w:val="sr-Cyrl-RS"/>
        </w:rPr>
      </w:pPr>
    </w:p>
    <w:p>
      <w:pPr>
        <w:jc w:val="both"/>
        <w:rPr>
          <w:rFonts w:eastAsia="Times New Roman" w:asciiTheme="minorHAnsi" w:hAnsiTheme="minorHAnsi"/>
          <w:bCs/>
          <w:kern w:val="32"/>
          <w:lang w:val="sr-Cyrl-RS"/>
        </w:rPr>
      </w:pPr>
      <w:r>
        <w:rPr>
          <w:rFonts w:eastAsia="Times New Roman" w:asciiTheme="minorHAnsi" w:hAnsiTheme="minorHAnsi"/>
          <w:bCs/>
          <w:kern w:val="32"/>
          <w:lang w:val="sr-Cyrl-RS"/>
        </w:rPr>
        <w:t xml:space="preserve">Израђен је логотип, слоган, као и комплетан визуал  љетне туристичке промотивне кампање, у којој су у складу са анализом бренда промовисани авантуристички и манифестациони туризам. Кампања је реализована у Републици Српској и у државама региона: Србији, Хрватској и Словенији. Одјељење је било носилац организације манифестације поводом зимских празника под назив Зимска чаролија 2017/18, у оквиру које је организован културно-забавни и едукативни програм за дјецу за вријеме зимских празника. За ту манифестацију извршена промотивна кампања у РС, државама региона - Србији, Хрватској и Словенији. </w:t>
      </w:r>
    </w:p>
    <w:p>
      <w:pPr>
        <w:jc w:val="both"/>
        <w:rPr>
          <w:rFonts w:eastAsia="Times New Roman" w:asciiTheme="minorHAnsi" w:hAnsiTheme="minorHAnsi"/>
          <w:bCs/>
          <w:kern w:val="32"/>
          <w:lang w:val="sr-Cyrl-RS"/>
        </w:rPr>
      </w:pPr>
    </w:p>
    <w:p>
      <w:pPr>
        <w:jc w:val="both"/>
        <w:rPr>
          <w:rFonts w:eastAsia="Times New Roman" w:asciiTheme="minorHAnsi" w:hAnsiTheme="minorHAnsi"/>
          <w:bCs/>
          <w:kern w:val="32"/>
          <w:lang w:val="sr-Cyrl-RS"/>
        </w:rPr>
      </w:pPr>
      <w:r>
        <w:rPr>
          <w:rFonts w:eastAsia="Times New Roman" w:asciiTheme="minorHAnsi" w:hAnsiTheme="minorHAnsi"/>
          <w:bCs/>
          <w:kern w:val="32"/>
          <w:lang w:val="sr-Cyrl-RS"/>
        </w:rPr>
        <w:t>У плану је континуирано организовање конференције из области туризма, с циљем инвестирања у туристичку инфраструктуру, те развоја града као туристичке дестинације. Конференција ће бити прилика за умрежавање хотелијера, туристичких агенција, представника удружења која се баве адреналинским спортовима, удружења за развој туризма, ради стварања заједничке туристичке понуде, представљање добрих праксе, како из града тако и из региона. Планирана је израда секторских развојних планова, те развој дигиталног система промоције туристичке понуде Бања Луке и израда туристичких апликација, те развој постојећих и нових туристичких понуда.</w:t>
      </w:r>
    </w:p>
    <w:p>
      <w:pPr>
        <w:pStyle w:val="13"/>
        <w:spacing w:before="120" w:after="120"/>
        <w:jc w:val="both"/>
        <w:rPr>
          <w:rFonts w:eastAsia="Times New Roman" w:asciiTheme="minorHAnsi" w:hAnsiTheme="minorHAnsi"/>
          <w:bCs/>
          <w:kern w:val="32"/>
          <w:sz w:val="22"/>
          <w:szCs w:val="22"/>
          <w:lang w:val="sr-Cyrl-RS"/>
        </w:rPr>
      </w:pPr>
      <w:bookmarkStart w:id="31" w:name="_Hlk526675911"/>
      <w:r>
        <w:rPr>
          <w:rFonts w:eastAsia="Times New Roman" w:asciiTheme="minorHAnsi" w:hAnsiTheme="minorHAnsi"/>
          <w:b/>
          <w:bCs/>
          <w:kern w:val="32"/>
          <w:sz w:val="22"/>
          <w:szCs w:val="22"/>
          <w:lang w:val="sr-Cyrl-RS"/>
        </w:rPr>
        <w:t xml:space="preserve">Туристичка организација Града </w:t>
      </w:r>
      <w:bookmarkEnd w:id="31"/>
      <w:r>
        <w:rPr>
          <w:rFonts w:eastAsia="Times New Roman" w:asciiTheme="minorHAnsi" w:hAnsiTheme="minorHAnsi"/>
          <w:b/>
          <w:bCs/>
          <w:kern w:val="32"/>
          <w:sz w:val="22"/>
          <w:szCs w:val="22"/>
          <w:lang w:val="sr-Cyrl-RS"/>
        </w:rPr>
        <w:t xml:space="preserve">Бања Лука, </w:t>
      </w:r>
      <w:r>
        <w:rPr>
          <w:rFonts w:eastAsia="Times New Roman" w:asciiTheme="minorHAnsi" w:hAnsiTheme="minorHAnsi"/>
          <w:bCs/>
          <w:kern w:val="32"/>
          <w:sz w:val="22"/>
          <w:szCs w:val="22"/>
          <w:lang w:val="sr-Cyrl-RS"/>
        </w:rPr>
        <w:t>као градска институција</w:t>
      </w:r>
      <w:r>
        <w:rPr>
          <w:rFonts w:eastAsia="Times New Roman" w:asciiTheme="minorHAnsi" w:hAnsiTheme="minorHAnsi"/>
          <w:b/>
          <w:bCs/>
          <w:kern w:val="32"/>
          <w:sz w:val="22"/>
          <w:szCs w:val="22"/>
          <w:lang w:val="sr-Cyrl-RS"/>
        </w:rPr>
        <w:t xml:space="preserve">, </w:t>
      </w:r>
      <w:r>
        <w:rPr>
          <w:rFonts w:eastAsia="Times New Roman" w:asciiTheme="minorHAnsi" w:hAnsiTheme="minorHAnsi"/>
          <w:bCs/>
          <w:kern w:val="32"/>
          <w:sz w:val="22"/>
          <w:szCs w:val="22"/>
          <w:lang w:val="sr-Cyrl-RS"/>
        </w:rPr>
        <w:t xml:space="preserve">има за циљ промоцију туристичког производа, подстицање и унапрјеђење развоја постојећег и новог туристичког производа, унапрјеђивање и развијање свијести о развоју туризма на цјелокупни привредни систем и унапрјеђивање општих услова боравка туриста и пружања информација туристима. </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На основу статистичких података у области туризма за Град Бања Луку, дати су сљедећи прегледи података:</w:t>
      </w:r>
    </w:p>
    <w:p>
      <w:pPr>
        <w:spacing w:after="60"/>
        <w:rPr>
          <w:b/>
          <w:lang w:val="sr-Latn-BA"/>
        </w:rPr>
      </w:pPr>
      <w:r>
        <w:rPr>
          <w:b/>
          <w:lang w:val="sr-Latn-CS"/>
        </w:rPr>
        <w:t>Број долазака и ноћења у граду Бања Лука</w:t>
      </w:r>
    </w:p>
    <w:tbl>
      <w:tblPr>
        <w:tblStyle w:val="36"/>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2126"/>
        <w:gridCol w:w="2446"/>
        <w:gridCol w:w="1448"/>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36" w:type="dxa"/>
            <w:gridSpan w:val="2"/>
            <w:tcBorders>
              <w:top w:val="single" w:color="auto" w:sz="4" w:space="0"/>
              <w:left w:val="single" w:color="auto" w:sz="4" w:space="0"/>
              <w:bottom w:val="single" w:color="auto" w:sz="4" w:space="0"/>
              <w:right w:val="single" w:color="auto" w:sz="4" w:space="0"/>
            </w:tcBorders>
            <w:shd w:val="clear" w:color="auto" w:fill="538135" w:themeFill="accent6" w:themeFillShade="BF"/>
            <w:vAlign w:val="center"/>
          </w:tcPr>
          <w:p>
            <w:pPr>
              <w:spacing w:line="256" w:lineRule="auto"/>
              <w:jc w:val="center"/>
              <w:rPr>
                <w:b/>
                <w:caps/>
                <w:color w:val="FFFFFF" w:themeColor="background1"/>
                <w:lang w:val="sr-Cyrl-CS"/>
                <w14:textFill>
                  <w14:solidFill>
                    <w14:schemeClr w14:val="bg1"/>
                  </w14:solidFill>
                </w14:textFill>
              </w:rPr>
            </w:pPr>
            <w:r>
              <w:rPr>
                <w:b/>
                <w:color w:val="FFFFFF" w:themeColor="background1"/>
                <w:lang w:val="sr-Cyrl-CS"/>
                <w14:textFill>
                  <w14:solidFill>
                    <w14:schemeClr w14:val="bg1"/>
                  </w14:solidFill>
                </w14:textFill>
              </w:rPr>
              <w:t>Туристи</w:t>
            </w:r>
          </w:p>
        </w:tc>
        <w:tc>
          <w:tcPr>
            <w:tcW w:w="2446" w:type="dxa"/>
            <w:tcBorders>
              <w:top w:val="single" w:color="auto" w:sz="4" w:space="0"/>
              <w:left w:val="single" w:color="auto" w:sz="4" w:space="0"/>
              <w:bottom w:val="single" w:color="auto" w:sz="4" w:space="0"/>
              <w:right w:val="single" w:color="auto" w:sz="4" w:space="0"/>
            </w:tcBorders>
            <w:shd w:val="clear" w:color="auto" w:fill="538135" w:themeFill="accent6" w:themeFillShade="BF"/>
            <w:vAlign w:val="center"/>
          </w:tcPr>
          <w:p>
            <w:pPr>
              <w:spacing w:line="256" w:lineRule="auto"/>
              <w:jc w:val="center"/>
              <w:rPr>
                <w:b/>
                <w:color w:val="FFFFFF" w:themeColor="background1"/>
                <w:lang w:val="sr-Cyrl-CS"/>
                <w14:textFill>
                  <w14:solidFill>
                    <w14:schemeClr w14:val="bg1"/>
                  </w14:solidFill>
                </w14:textFill>
              </w:rPr>
            </w:pPr>
            <w:r>
              <w:rPr>
                <w:b/>
                <w:color w:val="FFFFFF" w:themeColor="background1"/>
                <w:lang w:val="sr-Cyrl-CS"/>
                <w14:textFill>
                  <w14:solidFill>
                    <w14:schemeClr w14:val="bg1"/>
                  </w14:solidFill>
                </w14:textFill>
              </w:rPr>
              <w:t>2015.</w:t>
            </w:r>
          </w:p>
        </w:tc>
        <w:tc>
          <w:tcPr>
            <w:tcW w:w="1448" w:type="dxa"/>
            <w:tcBorders>
              <w:top w:val="single" w:color="auto" w:sz="4" w:space="0"/>
              <w:left w:val="single" w:color="auto" w:sz="4" w:space="0"/>
              <w:bottom w:val="single" w:color="auto" w:sz="4" w:space="0"/>
              <w:right w:val="single" w:color="auto" w:sz="4" w:space="0"/>
            </w:tcBorders>
            <w:shd w:val="clear" w:color="auto" w:fill="538135" w:themeFill="accent6" w:themeFillShade="BF"/>
            <w:vAlign w:val="center"/>
          </w:tcPr>
          <w:p>
            <w:pPr>
              <w:spacing w:line="256" w:lineRule="auto"/>
              <w:jc w:val="center"/>
              <w:rPr>
                <w:b/>
                <w:color w:val="FFFFFF" w:themeColor="background1"/>
                <w:lang w:val="sr-Cyrl-CS"/>
                <w14:textFill>
                  <w14:solidFill>
                    <w14:schemeClr w14:val="bg1"/>
                  </w14:solidFill>
                </w14:textFill>
              </w:rPr>
            </w:pPr>
            <w:r>
              <w:rPr>
                <w:b/>
                <w:color w:val="FFFFFF" w:themeColor="background1"/>
                <w:lang w:val="sr-Cyrl-CS"/>
                <w14:textFill>
                  <w14:solidFill>
                    <w14:schemeClr w14:val="bg1"/>
                  </w14:solidFill>
                </w14:textFill>
              </w:rPr>
              <w:t>2016.</w:t>
            </w:r>
          </w:p>
        </w:tc>
        <w:tc>
          <w:tcPr>
            <w:tcW w:w="1446" w:type="dxa"/>
            <w:tcBorders>
              <w:top w:val="single" w:color="auto" w:sz="4" w:space="0"/>
              <w:left w:val="single" w:color="auto" w:sz="4" w:space="0"/>
              <w:bottom w:val="single" w:color="auto" w:sz="4" w:space="0"/>
              <w:right w:val="single" w:color="auto" w:sz="4" w:space="0"/>
            </w:tcBorders>
            <w:shd w:val="clear" w:color="auto" w:fill="538135" w:themeFill="accent6" w:themeFillShade="BF"/>
            <w:vAlign w:val="center"/>
          </w:tcPr>
          <w:p>
            <w:pPr>
              <w:spacing w:line="256" w:lineRule="auto"/>
              <w:jc w:val="center"/>
              <w:rPr>
                <w:b/>
                <w:color w:val="FFFFFF" w:themeColor="background1"/>
                <w:lang w:val="sr-Cyrl-CS"/>
                <w14:textFill>
                  <w14:solidFill>
                    <w14:schemeClr w14:val="bg1"/>
                  </w14:solidFill>
                </w14:textFill>
              </w:rPr>
            </w:pPr>
            <w:r>
              <w:rPr>
                <w:b/>
                <w:color w:val="FFFFFF" w:themeColor="background1"/>
                <w:lang w:val="sr-Cyrl-CS"/>
                <w14:textFill>
                  <w14:solidFill>
                    <w14:schemeClr w14:val="bg1"/>
                  </w14:solidFill>
                </w14:textFill>
              </w:rPr>
              <w:t>Индекс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Merge w:val="restart"/>
            <w:tcBorders>
              <w:top w:val="single" w:color="auto" w:sz="4" w:space="0"/>
              <w:left w:val="single" w:color="auto" w:sz="4" w:space="0"/>
              <w:bottom w:val="single" w:color="auto" w:sz="4" w:space="0"/>
              <w:right w:val="single" w:color="auto" w:sz="4" w:space="0"/>
            </w:tcBorders>
            <w:vAlign w:val="center"/>
          </w:tcPr>
          <w:p>
            <w:pPr>
              <w:spacing w:line="256" w:lineRule="auto"/>
              <w:rPr>
                <w:rFonts w:asciiTheme="minorHAnsi" w:hAnsiTheme="minorHAnsi" w:cstheme="minorHAnsi"/>
                <w:lang w:val="sr-Cyrl-CS"/>
              </w:rPr>
            </w:pPr>
            <w:r>
              <w:rPr>
                <w:rFonts w:asciiTheme="minorHAnsi" w:hAnsiTheme="minorHAnsi" w:cstheme="minorHAnsi"/>
                <w:lang w:val="sr-Cyrl-CS"/>
              </w:rPr>
              <w:t>Домаћи туристи</w:t>
            </w:r>
          </w:p>
        </w:tc>
        <w:tc>
          <w:tcPr>
            <w:tcW w:w="212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доласци</w:t>
            </w:r>
          </w:p>
        </w:tc>
        <w:tc>
          <w:tcPr>
            <w:tcW w:w="244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35.340</w:t>
            </w:r>
          </w:p>
        </w:tc>
        <w:tc>
          <w:tcPr>
            <w:tcW w:w="1448"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37.912</w:t>
            </w:r>
          </w:p>
        </w:tc>
        <w:tc>
          <w:tcPr>
            <w:tcW w:w="1446" w:type="dxa"/>
            <w:tcBorders>
              <w:top w:val="single" w:color="auto" w:sz="4" w:space="0"/>
              <w:left w:val="single" w:color="auto" w:sz="4" w:space="0"/>
              <w:bottom w:val="single" w:color="auto" w:sz="4" w:space="0"/>
              <w:right w:val="single" w:color="auto" w:sz="4" w:space="0"/>
            </w:tcBorders>
            <w:vAlign w:val="bottom"/>
          </w:tcPr>
          <w:p>
            <w:pPr>
              <w:spacing w:line="256" w:lineRule="auto"/>
              <w:jc w:val="center"/>
              <w:rPr>
                <w:rFonts w:asciiTheme="minorHAnsi" w:hAnsiTheme="minorHAnsi" w:cstheme="minorHAnsi"/>
                <w:lang w:val="sr-Cyrl-CS"/>
              </w:rPr>
            </w:pPr>
            <w:r>
              <w:rPr>
                <w:rFonts w:asciiTheme="minorHAnsi" w:hAnsiTheme="minorHAnsi" w:cstheme="minorHAnsi"/>
                <w:lang w:val="sr-Cyrl-CS"/>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heme="minorHAnsi" w:hAnsiTheme="minorHAnsi" w:cstheme="minorHAnsi"/>
                <w:lang w:val="sr-Cyrl-CS"/>
              </w:rPr>
            </w:pPr>
          </w:p>
        </w:tc>
        <w:tc>
          <w:tcPr>
            <w:tcW w:w="212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ноћења</w:t>
            </w:r>
          </w:p>
        </w:tc>
        <w:tc>
          <w:tcPr>
            <w:tcW w:w="244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52.015</w:t>
            </w:r>
          </w:p>
        </w:tc>
        <w:tc>
          <w:tcPr>
            <w:tcW w:w="1448"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54.825</w:t>
            </w:r>
          </w:p>
        </w:tc>
        <w:tc>
          <w:tcPr>
            <w:tcW w:w="1446" w:type="dxa"/>
            <w:tcBorders>
              <w:top w:val="single" w:color="auto" w:sz="4" w:space="0"/>
              <w:left w:val="single" w:color="auto" w:sz="4" w:space="0"/>
              <w:bottom w:val="single" w:color="auto" w:sz="4" w:space="0"/>
              <w:right w:val="single" w:color="auto" w:sz="4" w:space="0"/>
            </w:tcBorders>
            <w:vAlign w:val="bottom"/>
          </w:tcPr>
          <w:p>
            <w:pPr>
              <w:spacing w:line="256" w:lineRule="auto"/>
              <w:jc w:val="center"/>
              <w:rPr>
                <w:rFonts w:asciiTheme="minorHAnsi" w:hAnsiTheme="minorHAnsi" w:cstheme="minorHAnsi"/>
                <w:lang w:val="sr-Cyrl-CS"/>
              </w:rPr>
            </w:pPr>
            <w:r>
              <w:rPr>
                <w:rFonts w:asciiTheme="minorHAnsi" w:hAnsiTheme="minorHAnsi" w:cstheme="minorHAnsi"/>
                <w:lang w:val="sr-Cyrl-CS"/>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Merge w:val="restart"/>
            <w:tcBorders>
              <w:top w:val="single" w:color="auto" w:sz="4" w:space="0"/>
              <w:left w:val="single" w:color="auto" w:sz="4" w:space="0"/>
              <w:bottom w:val="single" w:color="auto" w:sz="4" w:space="0"/>
              <w:right w:val="single" w:color="auto" w:sz="4" w:space="0"/>
            </w:tcBorders>
            <w:vAlign w:val="center"/>
          </w:tcPr>
          <w:p>
            <w:pPr>
              <w:spacing w:line="256" w:lineRule="auto"/>
              <w:rPr>
                <w:rFonts w:asciiTheme="minorHAnsi" w:hAnsiTheme="minorHAnsi" w:cstheme="minorHAnsi"/>
                <w:lang w:val="sr-Cyrl-CS"/>
              </w:rPr>
            </w:pPr>
            <w:r>
              <w:rPr>
                <w:rFonts w:asciiTheme="minorHAnsi" w:hAnsiTheme="minorHAnsi" w:cstheme="minorHAnsi"/>
                <w:lang w:val="sr-Cyrl-CS"/>
              </w:rPr>
              <w:t>Страни туристи</w:t>
            </w:r>
          </w:p>
        </w:tc>
        <w:tc>
          <w:tcPr>
            <w:tcW w:w="212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доласци</w:t>
            </w:r>
          </w:p>
        </w:tc>
        <w:tc>
          <w:tcPr>
            <w:tcW w:w="244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43.499</w:t>
            </w:r>
          </w:p>
        </w:tc>
        <w:tc>
          <w:tcPr>
            <w:tcW w:w="1448"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44.259</w:t>
            </w:r>
          </w:p>
        </w:tc>
        <w:tc>
          <w:tcPr>
            <w:tcW w:w="1446" w:type="dxa"/>
            <w:tcBorders>
              <w:top w:val="single" w:color="auto" w:sz="4" w:space="0"/>
              <w:left w:val="single" w:color="auto" w:sz="4" w:space="0"/>
              <w:bottom w:val="single" w:color="auto" w:sz="4" w:space="0"/>
              <w:right w:val="single" w:color="auto" w:sz="4" w:space="0"/>
            </w:tcBorders>
            <w:vAlign w:val="bottom"/>
          </w:tcPr>
          <w:p>
            <w:pPr>
              <w:spacing w:line="256" w:lineRule="auto"/>
              <w:jc w:val="center"/>
              <w:rPr>
                <w:rFonts w:asciiTheme="minorHAnsi" w:hAnsiTheme="minorHAnsi" w:cstheme="minorHAnsi"/>
                <w:lang w:val="sr-Cyrl-CS"/>
              </w:rPr>
            </w:pPr>
            <w:r>
              <w:rPr>
                <w:rFonts w:asciiTheme="minorHAnsi" w:hAnsiTheme="minorHAnsi" w:cstheme="minorHAnsi"/>
                <w:lang w:val="sr-Cyrl-CS"/>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heme="minorHAnsi" w:hAnsiTheme="minorHAnsi" w:cstheme="minorHAnsi"/>
                <w:lang w:val="sr-Cyrl-CS"/>
              </w:rPr>
            </w:pPr>
          </w:p>
        </w:tc>
        <w:tc>
          <w:tcPr>
            <w:tcW w:w="212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ноћења</w:t>
            </w:r>
          </w:p>
        </w:tc>
        <w:tc>
          <w:tcPr>
            <w:tcW w:w="244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73.918</w:t>
            </w:r>
          </w:p>
        </w:tc>
        <w:tc>
          <w:tcPr>
            <w:tcW w:w="1448"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75.965</w:t>
            </w:r>
          </w:p>
        </w:tc>
        <w:tc>
          <w:tcPr>
            <w:tcW w:w="1446" w:type="dxa"/>
            <w:tcBorders>
              <w:top w:val="single" w:color="auto" w:sz="4" w:space="0"/>
              <w:left w:val="single" w:color="auto" w:sz="4" w:space="0"/>
              <w:bottom w:val="single" w:color="auto" w:sz="4" w:space="0"/>
              <w:right w:val="single" w:color="auto" w:sz="4" w:space="0"/>
            </w:tcBorders>
            <w:vAlign w:val="bottom"/>
          </w:tcPr>
          <w:p>
            <w:pPr>
              <w:spacing w:line="256" w:lineRule="auto"/>
              <w:jc w:val="center"/>
              <w:rPr>
                <w:rFonts w:asciiTheme="minorHAnsi" w:hAnsiTheme="minorHAnsi" w:cstheme="minorHAnsi"/>
                <w:lang w:val="sr-Cyrl-CS"/>
              </w:rPr>
            </w:pPr>
            <w:r>
              <w:rPr>
                <w:rFonts w:asciiTheme="minorHAnsi" w:hAnsiTheme="minorHAnsi" w:cstheme="minorHAnsi"/>
                <w:lang w:val="sr-Cyrl-CS"/>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Merge w:val="restart"/>
            <w:tcBorders>
              <w:top w:val="single" w:color="auto" w:sz="4" w:space="0"/>
              <w:left w:val="single" w:color="auto" w:sz="4" w:space="0"/>
              <w:bottom w:val="single" w:color="auto" w:sz="4" w:space="0"/>
              <w:right w:val="single" w:color="auto" w:sz="4" w:space="0"/>
            </w:tcBorders>
            <w:vAlign w:val="center"/>
          </w:tcPr>
          <w:p>
            <w:pPr>
              <w:spacing w:line="256" w:lineRule="auto"/>
              <w:rPr>
                <w:rFonts w:asciiTheme="minorHAnsi" w:hAnsiTheme="minorHAnsi" w:cstheme="minorHAnsi"/>
                <w:lang w:val="sr-Cyrl-CS"/>
              </w:rPr>
            </w:pPr>
            <w:r>
              <w:rPr>
                <w:rFonts w:asciiTheme="minorHAnsi" w:hAnsiTheme="minorHAnsi" w:cstheme="minorHAnsi"/>
                <w:lang w:val="sr-Cyrl-CS"/>
              </w:rPr>
              <w:t>Укупно</w:t>
            </w:r>
          </w:p>
        </w:tc>
        <w:tc>
          <w:tcPr>
            <w:tcW w:w="212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доласци</w:t>
            </w:r>
          </w:p>
        </w:tc>
        <w:tc>
          <w:tcPr>
            <w:tcW w:w="244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78.839</w:t>
            </w:r>
          </w:p>
        </w:tc>
        <w:tc>
          <w:tcPr>
            <w:tcW w:w="1448"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82.171</w:t>
            </w:r>
          </w:p>
        </w:tc>
        <w:tc>
          <w:tcPr>
            <w:tcW w:w="1446" w:type="dxa"/>
            <w:tcBorders>
              <w:top w:val="single" w:color="auto" w:sz="4" w:space="0"/>
              <w:left w:val="single" w:color="auto" w:sz="4" w:space="0"/>
              <w:bottom w:val="single" w:color="auto" w:sz="4" w:space="0"/>
              <w:right w:val="single" w:color="auto" w:sz="4" w:space="0"/>
            </w:tcBorders>
            <w:vAlign w:val="bottom"/>
          </w:tcPr>
          <w:p>
            <w:pPr>
              <w:spacing w:line="256" w:lineRule="auto"/>
              <w:jc w:val="center"/>
              <w:rPr>
                <w:rFonts w:asciiTheme="minorHAnsi" w:hAnsiTheme="minorHAnsi" w:cstheme="minorHAnsi"/>
                <w:lang w:val="sr-Cyrl-CS"/>
              </w:rPr>
            </w:pPr>
            <w:r>
              <w:rPr>
                <w:rFonts w:asciiTheme="minorHAnsi" w:hAnsiTheme="minorHAnsi" w:cstheme="minorHAnsi"/>
                <w:lang w:val="sr-Cyrl-CS"/>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0"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heme="minorHAnsi" w:hAnsiTheme="minorHAnsi" w:cstheme="minorHAnsi"/>
                <w:b/>
                <w:lang w:val="sr-Cyrl-CS"/>
              </w:rPr>
            </w:pPr>
          </w:p>
        </w:tc>
        <w:tc>
          <w:tcPr>
            <w:tcW w:w="212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ноћења</w:t>
            </w:r>
          </w:p>
        </w:tc>
        <w:tc>
          <w:tcPr>
            <w:tcW w:w="2446"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125.933</w:t>
            </w:r>
          </w:p>
        </w:tc>
        <w:tc>
          <w:tcPr>
            <w:tcW w:w="1448" w:type="dxa"/>
            <w:tcBorders>
              <w:top w:val="single" w:color="auto" w:sz="4" w:space="0"/>
              <w:left w:val="single" w:color="auto" w:sz="4" w:space="0"/>
              <w:bottom w:val="single" w:color="auto" w:sz="4" w:space="0"/>
              <w:right w:val="single" w:color="auto" w:sz="4" w:space="0"/>
            </w:tcBorders>
          </w:tcPr>
          <w:p>
            <w:pPr>
              <w:spacing w:line="256" w:lineRule="auto"/>
              <w:jc w:val="center"/>
              <w:rPr>
                <w:rFonts w:asciiTheme="minorHAnsi" w:hAnsiTheme="minorHAnsi" w:cstheme="minorHAnsi"/>
                <w:lang w:val="sr-Cyrl-CS"/>
              </w:rPr>
            </w:pPr>
            <w:r>
              <w:rPr>
                <w:rFonts w:asciiTheme="minorHAnsi" w:hAnsiTheme="minorHAnsi" w:cstheme="minorHAnsi"/>
                <w:lang w:val="sr-Cyrl-CS"/>
              </w:rPr>
              <w:t>130.790</w:t>
            </w:r>
          </w:p>
        </w:tc>
        <w:tc>
          <w:tcPr>
            <w:tcW w:w="1446" w:type="dxa"/>
            <w:tcBorders>
              <w:top w:val="single" w:color="auto" w:sz="4" w:space="0"/>
              <w:left w:val="single" w:color="auto" w:sz="4" w:space="0"/>
              <w:bottom w:val="single" w:color="auto" w:sz="4" w:space="0"/>
              <w:right w:val="single" w:color="auto" w:sz="4" w:space="0"/>
            </w:tcBorders>
            <w:vAlign w:val="bottom"/>
          </w:tcPr>
          <w:p>
            <w:pPr>
              <w:spacing w:line="256" w:lineRule="auto"/>
              <w:jc w:val="center"/>
              <w:rPr>
                <w:rFonts w:asciiTheme="minorHAnsi" w:hAnsiTheme="minorHAnsi" w:cstheme="minorHAnsi"/>
                <w:lang w:val="sr-Cyrl-CS"/>
              </w:rPr>
            </w:pPr>
            <w:r>
              <w:rPr>
                <w:rFonts w:asciiTheme="minorHAnsi" w:hAnsiTheme="minorHAnsi" w:cstheme="minorHAnsi"/>
                <w:lang w:val="sr-Cyrl-CS"/>
              </w:rPr>
              <w:t>104</w:t>
            </w:r>
          </w:p>
        </w:tc>
      </w:tr>
    </w:tbl>
    <w:p>
      <w:pPr>
        <w:spacing w:after="60"/>
        <w:rPr>
          <w:i/>
          <w:sz w:val="18"/>
          <w:szCs w:val="18"/>
          <w:lang w:val="sr-Cyrl-BA"/>
        </w:rPr>
      </w:pPr>
      <w:r>
        <w:rPr>
          <w:i/>
          <w:sz w:val="18"/>
          <w:szCs w:val="18"/>
          <w:lang w:val="sr-Cyrl-BA"/>
        </w:rPr>
        <w:t>Извор: Републички завод за статистику РС</w:t>
      </w:r>
    </w:p>
    <w:p>
      <w:pPr>
        <w:pStyle w:val="12"/>
        <w:spacing w:after="120"/>
        <w:jc w:val="center"/>
        <w:rPr>
          <w:i/>
          <w:color w:val="auto"/>
          <w:sz w:val="22"/>
          <w:szCs w:val="22"/>
          <w:lang w:val="sr-Cyrl-BA"/>
        </w:rPr>
      </w:pPr>
    </w:p>
    <w:p>
      <w:pPr>
        <w:pStyle w:val="12"/>
        <w:spacing w:after="120"/>
        <w:jc w:val="center"/>
        <w:rPr>
          <w:color w:val="auto"/>
          <w:sz w:val="22"/>
          <w:szCs w:val="22"/>
          <w:lang w:val="sr-Cyrl-BA"/>
        </w:rPr>
      </w:pPr>
      <w:r>
        <w:rPr>
          <w:color w:val="auto"/>
          <w:sz w:val="22"/>
          <w:szCs w:val="22"/>
          <w:lang w:val="sr-Cyrl-BA"/>
        </w:rPr>
        <w:t>Доласци страних туриста по емитивним земљама за 2016. годину</w:t>
      </w:r>
    </w:p>
    <w:p>
      <w:pPr>
        <w:jc w:val="center"/>
        <w:rPr>
          <w:color w:val="FF0000"/>
          <w:lang w:val="sr-Cyrl-RS"/>
        </w:rPr>
      </w:pPr>
      <w:r>
        <w:rPr>
          <w:lang w:val="sr-Latn-CS" w:eastAsia="sr-Latn-CS"/>
        </w:rPr>
        <w:drawing>
          <wp:inline distT="0" distB="0" distL="0" distR="0">
            <wp:extent cx="4629150" cy="2597150"/>
            <wp:effectExtent l="0" t="0" r="0"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color w:val="FF0000"/>
          <w:lang w:val="sr-Cyrl-RS"/>
        </w:rPr>
      </w:pPr>
    </w:p>
    <w:p>
      <w:pPr>
        <w:spacing w:after="120" w:line="276" w:lineRule="auto"/>
        <w:jc w:val="both"/>
        <w:rPr>
          <w:rStyle w:val="128"/>
          <w:lang w:val="sr-Cyrl-CS"/>
        </w:rPr>
      </w:pPr>
      <w:r>
        <w:rPr>
          <w:lang w:val="sr-Cyrl-CS"/>
        </w:rPr>
        <w:t xml:space="preserve">Из претходног графикона се види да </w:t>
      </w:r>
      <w:r>
        <w:rPr>
          <w:lang w:val="sr-Cyrl-BA"/>
        </w:rPr>
        <w:t xml:space="preserve">је </w:t>
      </w:r>
      <w:r>
        <w:rPr>
          <w:lang w:val="sr-Cyrl-CS"/>
        </w:rPr>
        <w:t>највећи број долазака страних туриста за 2016. годину из сљедећих земаља: Србије (39%), Словеније (22%) и Хрватске (10%), што уједно чини 71% долазака страних туриста у Бања Луку. Највише туриста долази из Србије чак 39%</w:t>
      </w:r>
      <w:r>
        <w:rPr>
          <w:lang w:val="sr-Cyrl-BA"/>
        </w:rPr>
        <w:t xml:space="preserve">, </w:t>
      </w:r>
      <w:r>
        <w:rPr>
          <w:lang w:val="sr-Cyrl-CS"/>
        </w:rPr>
        <w:t xml:space="preserve">у односу на све друге емитивне земље. </w:t>
      </w:r>
      <w:r>
        <w:rPr>
          <w:rStyle w:val="128"/>
          <w:lang w:val="sr-Latn-CS"/>
        </w:rPr>
        <w:t>У туристичкој понуди града, број лежаја је повећан са 1.6</w:t>
      </w:r>
      <w:r>
        <w:rPr>
          <w:rStyle w:val="128"/>
          <w:lang w:val="sr-Cyrl-BA"/>
        </w:rPr>
        <w:t>96</w:t>
      </w:r>
      <w:r>
        <w:rPr>
          <w:rStyle w:val="128"/>
          <w:lang w:val="sr-Latn-CS"/>
        </w:rPr>
        <w:t xml:space="preserve"> у 201</w:t>
      </w:r>
      <w:r>
        <w:rPr>
          <w:rStyle w:val="128"/>
          <w:lang w:val="sr-Cyrl-BA"/>
        </w:rPr>
        <w:t>5</w:t>
      </w:r>
      <w:r>
        <w:rPr>
          <w:rStyle w:val="128"/>
          <w:lang w:val="sr-Latn-CS"/>
        </w:rPr>
        <w:t xml:space="preserve">. </w:t>
      </w:r>
      <w:r>
        <w:rPr>
          <w:rStyle w:val="128"/>
          <w:lang w:val="sr-Cyrl-BA"/>
        </w:rPr>
        <w:t>н</w:t>
      </w:r>
      <w:r>
        <w:rPr>
          <w:rStyle w:val="128"/>
          <w:lang w:val="sr-Latn-CS"/>
        </w:rPr>
        <w:t>а</w:t>
      </w:r>
      <w:r>
        <w:rPr>
          <w:rStyle w:val="128"/>
          <w:lang w:val="sr-Cyrl-BA"/>
        </w:rPr>
        <w:t xml:space="preserve"> </w:t>
      </w:r>
      <w:r>
        <w:rPr>
          <w:lang w:val="sr-Latn-BA"/>
        </w:rPr>
        <w:t>1.</w:t>
      </w:r>
      <w:r>
        <w:rPr>
          <w:lang w:val="sr-Cyrl-BA"/>
        </w:rPr>
        <w:t>906</w:t>
      </w:r>
      <w:r>
        <w:rPr>
          <w:lang w:val="sr-Cyrl-CS"/>
        </w:rPr>
        <w:t xml:space="preserve"> </w:t>
      </w:r>
      <w:r>
        <w:rPr>
          <w:rStyle w:val="128"/>
          <w:lang w:val="sr-Latn-CS"/>
        </w:rPr>
        <w:t xml:space="preserve"> у 201</w:t>
      </w:r>
      <w:r>
        <w:rPr>
          <w:rStyle w:val="128"/>
          <w:lang w:val="sr-Cyrl-BA"/>
        </w:rPr>
        <w:t>6</w:t>
      </w:r>
      <w:r>
        <w:rPr>
          <w:rStyle w:val="128"/>
          <w:lang w:val="sr-Latn-CS"/>
        </w:rPr>
        <w:t xml:space="preserve">. години. Смјештајни капацитети Бања Луке тренутно чине око </w:t>
      </w:r>
      <w:r>
        <w:rPr>
          <w:lang w:val="sr-Cyrl-CS"/>
        </w:rPr>
        <w:t>19,25</w:t>
      </w:r>
      <w:r>
        <w:rPr>
          <w:rStyle w:val="128"/>
          <w:lang w:val="sr-Latn-CS"/>
        </w:rPr>
        <w:t>% (9.</w:t>
      </w:r>
      <w:r>
        <w:rPr>
          <w:rStyle w:val="128"/>
          <w:lang w:val="sr-Cyrl-BA"/>
        </w:rPr>
        <w:t>900</w:t>
      </w:r>
      <w:r>
        <w:rPr>
          <w:rStyle w:val="128"/>
          <w:lang w:val="sr-Latn-CS"/>
        </w:rPr>
        <w:t>) од укупног броја лежајева евидентираних у Републици Српској.</w:t>
      </w:r>
    </w:p>
    <w:p>
      <w:pPr>
        <w:spacing w:after="120" w:line="276" w:lineRule="auto"/>
        <w:jc w:val="both"/>
        <w:rPr>
          <w:lang w:val="sr-Cyrl-BA"/>
        </w:rPr>
      </w:pPr>
      <w:r>
        <w:rPr>
          <w:lang w:val="sr-Cyrl-BA"/>
        </w:rPr>
        <w:t>Промет у угоститељству и приходи смјештајних капацитета н</w:t>
      </w:r>
      <w:r>
        <w:rPr>
          <w:lang w:val="sr-Latn-BA"/>
        </w:rPr>
        <w:t xml:space="preserve">a </w:t>
      </w:r>
      <w:r>
        <w:rPr>
          <w:lang w:val="sr-Cyrl-BA"/>
        </w:rPr>
        <w:t>нивоу</w:t>
      </w:r>
      <w:r>
        <w:rPr>
          <w:lang w:val="sr-Latn-BA"/>
        </w:rPr>
        <w:t xml:space="preserve"> Републике Српске и Града Бања Лука нису доступни од 2013. </w:t>
      </w:r>
      <w:r>
        <w:rPr>
          <w:lang w:val="sr-Cyrl-BA"/>
        </w:rPr>
        <w:t>године</w:t>
      </w:r>
      <w:r>
        <w:rPr>
          <w:rStyle w:val="31"/>
          <w:lang w:val="sr-Cyrl-BA"/>
        </w:rPr>
        <w:footnoteReference w:id="7"/>
      </w:r>
      <w:r>
        <w:rPr>
          <w:lang w:val="sr-Cyrl-BA"/>
        </w:rPr>
        <w:t xml:space="preserve"> када је Бања Лука остварила укупан промет у угоститељству од 32.095.385 КМ, што је чинило 27,26% промета у РС и 8.771.182 КМ промета у смјештајним капацитетима, што је чинило 29,23% промета у РС</w:t>
      </w:r>
      <w:r>
        <w:rPr>
          <w:i/>
          <w:lang w:val="sr-Cyrl-BA"/>
        </w:rPr>
        <w:t>.</w:t>
      </w:r>
    </w:p>
    <w:p>
      <w:pPr>
        <w:spacing w:after="120" w:line="276" w:lineRule="auto"/>
        <w:jc w:val="both"/>
        <w:rPr>
          <w:lang w:val="sr-Cyrl-CS"/>
        </w:rPr>
      </w:pPr>
      <w:r>
        <w:rPr>
          <w:lang w:val="sr-Cyrl-CS"/>
        </w:rPr>
        <w:t xml:space="preserve">Искориштеност смјештајних капацитета, у 2016. години, у Бањој Луци је износила 18,8%, у РС 20,5%, </w:t>
      </w:r>
      <w:r>
        <w:rPr>
          <w:lang w:val="sr-Cyrl-BA"/>
        </w:rPr>
        <w:t xml:space="preserve">а у БиХ 17,38%. </w:t>
      </w:r>
      <w:r>
        <w:rPr>
          <w:lang w:val="sr-Cyrl-CS"/>
        </w:rPr>
        <w:t>Просјечно задржавање туриста у Бањој Луци, у 2016. години, је било 1,6 дана (домаћих туриста 1,4 и страних туриста 1,7 дана).</w:t>
      </w:r>
    </w:p>
    <w:p>
      <w:pPr>
        <w:spacing w:after="120" w:line="276" w:lineRule="auto"/>
        <w:jc w:val="both"/>
        <w:rPr>
          <w:lang w:val="sr-Cyrl-CS"/>
        </w:rPr>
      </w:pPr>
      <w:r>
        <w:rPr>
          <w:lang w:val="sr-Cyrl-BA"/>
        </w:rPr>
        <w:t>Према подацима преузетим из Регистра туризма који води Министарство трговине и туризма, у Граду послују 22 туристичк</w:t>
      </w:r>
      <w:r>
        <w:rPr>
          <w:lang w:val="sr-Latn-BA"/>
        </w:rPr>
        <w:t>e</w:t>
      </w:r>
      <w:r>
        <w:rPr>
          <w:lang w:val="sr-Cyrl-BA"/>
        </w:rPr>
        <w:t xml:space="preserve"> агенциј</w:t>
      </w:r>
      <w:r>
        <w:rPr>
          <w:lang w:val="sr-Latn-BA"/>
        </w:rPr>
        <w:t>e</w:t>
      </w:r>
      <w:r>
        <w:rPr>
          <w:lang w:val="sr-Cyrl-BA"/>
        </w:rPr>
        <w:t xml:space="preserve">. </w:t>
      </w:r>
      <w:r>
        <w:rPr>
          <w:lang w:val="sr-Cyrl-CS"/>
        </w:rPr>
        <w:t>Туристичке агенције, углавном, немају припремљене програме за туристе који би посјетили Бањ</w:t>
      </w:r>
      <w:r>
        <w:rPr>
          <w:lang w:val="sr-Latn-BA"/>
        </w:rPr>
        <w:t>aл</w:t>
      </w:r>
      <w:r>
        <w:rPr>
          <w:lang w:val="sr-Cyrl-CS"/>
        </w:rPr>
        <w:t xml:space="preserve">уку. Постоји потреба за минимално једним великим туроператором који би дјеловао на подручју града Бања Лука и који би креирао и нудио туристичке производе Бања Луке и њене околине домаћем и међународном тржишту. Туристичка организација града </w:t>
      </w:r>
      <w:r>
        <w:t>je</w:t>
      </w:r>
      <w:r>
        <w:rPr>
          <w:lang w:val="sr-Cyrl-BA"/>
        </w:rPr>
        <w:t xml:space="preserve"> креирала </w:t>
      </w:r>
      <w:r>
        <w:rPr>
          <w:lang w:val="sr-Cyrl-CS"/>
        </w:rPr>
        <w:t>неколико програма једнодневног, дводневног и тродневног боравка у Бањој Луци, као пакет аранжмане, са утврђеним цијенама, а на бази културног, авантуристичког и религијског туризма. Туристичка организација града Бања Лука има на евиденцији</w:t>
      </w:r>
      <w:r>
        <w:rPr>
          <w:lang w:val="sr-Latn-CS"/>
        </w:rPr>
        <w:t xml:space="preserve"> </w:t>
      </w:r>
      <w:r>
        <w:rPr>
          <w:lang w:val="sr-Cyrl-CS"/>
        </w:rPr>
        <w:t>двадесетак лица, која, по потреби, обављају послове туристичког водича, и то на енглеском, руском, шпанском, француском и италијанском језику.</w:t>
      </w:r>
    </w:p>
    <w:p>
      <w:pPr>
        <w:spacing w:after="120" w:line="276" w:lineRule="auto"/>
        <w:jc w:val="both"/>
        <w:rPr>
          <w:bCs/>
          <w:lang w:val="sr-Cyrl-BA"/>
        </w:rPr>
      </w:pPr>
      <w:r>
        <w:rPr>
          <w:lang w:val="sr-Cyrl-BA"/>
        </w:rPr>
        <w:t>У процесу је ревитализација тврђаве Кастел која је, уз финансијску помоћ Европске уније, почела 2013. године и која је подјељена у 9 фаза (цјелина). Из средстава Европске уније обезбјеђена су средства за обнову дијела пројектне цјелине IX тврђаве Кастел. Новопројектованим рјешењем у Каменој згради је тренутно  изложбени простор којим управља Културни центар Бански двор, а предвиђа се  културни садржај - градски музеј</w:t>
      </w:r>
      <w:r>
        <w:rPr>
          <w:lang w:val="sr-Latn-BA"/>
        </w:rPr>
        <w:t>.</w:t>
      </w:r>
      <w:r>
        <w:rPr>
          <w:lang w:val="sr-Cyrl-BA"/>
        </w:rPr>
        <w:t xml:space="preserve"> У 2016. години, извршена је </w:t>
      </w:r>
      <w:r>
        <w:rPr>
          <w:bCs/>
          <w:lang w:val="sr-Cyrl-BA"/>
        </w:rPr>
        <w:t>реконструкција кула 3 и 4, подземног арсенала</w:t>
      </w:r>
      <w:r>
        <w:rPr>
          <w:lang w:val="sr-Cyrl-BA"/>
        </w:rPr>
        <w:t xml:space="preserve">, те дијела бастиона и бедема који су саставни дио цјелине 2. На тај начин су омогућени </w:t>
      </w:r>
      <w:r>
        <w:rPr>
          <w:bCs/>
          <w:lang w:val="sr-Cyrl-BA"/>
        </w:rPr>
        <w:t>квалитетнији услови за одржавање културних догађаја у оквиру љетне позорнице.</w:t>
      </w:r>
    </w:p>
    <w:p>
      <w:pPr>
        <w:spacing w:after="120" w:line="276" w:lineRule="auto"/>
        <w:jc w:val="both"/>
        <w:rPr>
          <w:bCs/>
          <w:lang w:val="sr-Cyrl-BA"/>
        </w:rPr>
      </w:pPr>
      <w:r>
        <w:rPr>
          <w:bCs/>
          <w:lang w:val="sr-Cyrl-BA"/>
        </w:rPr>
        <w:t>ТОБЛ је израдила пројекат „Храм љубави - Сафикада“ који има за циљ туристичку валоризацију и уређење спомен комплекса посвећеног бањалучкој легенди. Реализација пројекта ће обогатити туристичку понуду Бања Луке и кроз јединствен садржај утицати на позитивни имиџ дестинације.</w:t>
      </w:r>
    </w:p>
    <w:p>
      <w:pPr>
        <w:spacing w:after="120" w:line="276" w:lineRule="auto"/>
        <w:jc w:val="both"/>
        <w:rPr>
          <w:lang w:val="sr-Cyrl-BA"/>
        </w:rPr>
      </w:pPr>
      <w:r>
        <w:rPr>
          <w:lang w:val="sr-Cyrl-BA"/>
        </w:rPr>
        <w:t>На подручју града Бања Лука још увијек не постоји нити један туристички валоризован археолошки локалитет, иако је чињеница да Бања Лука располаже значајним археолошким потенцијалима који још увијек нису у довољној мјери истражени. На значајнијим археолошким локалитетима би се могли изградити археолошки паркови прилагођени образовним и туристичким потребама.</w:t>
      </w:r>
    </w:p>
    <w:p>
      <w:pPr>
        <w:spacing w:after="120" w:line="276" w:lineRule="auto"/>
        <w:jc w:val="both"/>
        <w:rPr>
          <w:lang w:val="sr-Cyrl-CS"/>
        </w:rPr>
      </w:pPr>
      <w:r>
        <w:rPr>
          <w:lang w:val="sr-Latn-CS"/>
        </w:rPr>
        <w:t>Бања</w:t>
      </w:r>
      <w:r>
        <w:rPr>
          <w:lang w:val="sr-Cyrl-BA"/>
        </w:rPr>
        <w:t xml:space="preserve"> Л</w:t>
      </w:r>
      <w:r>
        <w:rPr>
          <w:lang w:val="sr-Latn-CS"/>
        </w:rPr>
        <w:t>ука се издваја као дестинација у којој</w:t>
      </w:r>
      <w:r>
        <w:rPr>
          <w:lang w:val="sr-Cyrl-CS"/>
        </w:rPr>
        <w:t>,</w:t>
      </w:r>
      <w:r>
        <w:rPr>
          <w:lang w:val="sr-Latn-CS"/>
        </w:rPr>
        <w:t xml:space="preserve"> на веома малом простору</w:t>
      </w:r>
      <w:r>
        <w:rPr>
          <w:lang w:val="sr-Cyrl-CS"/>
        </w:rPr>
        <w:t>,</w:t>
      </w:r>
      <w:r>
        <w:rPr>
          <w:lang w:val="sr-Latn-CS"/>
        </w:rPr>
        <w:t xml:space="preserve"> </w:t>
      </w:r>
      <w:r>
        <w:rPr>
          <w:lang w:val="sr-Cyrl-CS"/>
        </w:rPr>
        <w:t xml:space="preserve">постоје услови </w:t>
      </w:r>
      <w:r>
        <w:rPr>
          <w:lang w:val="sr-Latn-CS"/>
        </w:rPr>
        <w:t xml:space="preserve">за упражњавање различитих облика авантуристичких активности. Туристима се нуде </w:t>
      </w:r>
      <w:r>
        <w:rPr>
          <w:lang w:val="sr-Cyrl-BA"/>
        </w:rPr>
        <w:t>дневни и ноћни</w:t>
      </w:r>
      <w:r>
        <w:rPr>
          <w:lang w:val="sr-Latn-CS"/>
        </w:rPr>
        <w:t xml:space="preserve"> рафтинг</w:t>
      </w:r>
      <w:r>
        <w:rPr>
          <w:lang w:val="sr-Cyrl-BA"/>
        </w:rPr>
        <w:t xml:space="preserve"> и кануинг</w:t>
      </w:r>
      <w:r>
        <w:rPr>
          <w:lang w:val="sr-Latn-CS"/>
        </w:rPr>
        <w:t xml:space="preserve"> Врбасом, кањонинг на ријеци Швракави</w:t>
      </w:r>
      <w:r>
        <w:rPr>
          <w:lang w:val="sr-Latn-BA"/>
        </w:rPr>
        <w:t>, слободно пењање,</w:t>
      </w:r>
      <w:r>
        <w:rPr>
          <w:lang w:val="sr-Cyrl-BA"/>
        </w:rPr>
        <w:t xml:space="preserve"> брдски бициклизам,</w:t>
      </w:r>
      <w:r>
        <w:rPr>
          <w:lang w:val="sr-Latn-BA"/>
        </w:rPr>
        <w:t xml:space="preserve"> </w:t>
      </w:r>
      <w:r>
        <w:rPr>
          <w:lang w:val="sr-Cyrl-BA"/>
        </w:rPr>
        <w:t xml:space="preserve">јахање на </w:t>
      </w:r>
      <w:r>
        <w:rPr>
          <w:lang w:val="sr-Latn-BA"/>
        </w:rPr>
        <w:t>планинама Козара и Мањача</w:t>
      </w:r>
      <w:r>
        <w:rPr>
          <w:lang w:val="sr-Cyrl-BA"/>
        </w:rPr>
        <w:t>, тандем скок падобраном и панорамски лет</w:t>
      </w:r>
      <w:r>
        <w:rPr>
          <w:lang w:val="sr-Latn-CS"/>
        </w:rPr>
        <w:t xml:space="preserve"> и планинарење на рути Мањача,</w:t>
      </w:r>
      <w:r>
        <w:rPr>
          <w:lang w:val="sr-Cyrl-BA"/>
        </w:rPr>
        <w:t xml:space="preserve"> Козара и Чемерница</w:t>
      </w:r>
      <w:r>
        <w:rPr>
          <w:lang w:val="sr-Latn-CS"/>
        </w:rPr>
        <w:t>.</w:t>
      </w:r>
      <w:r>
        <w:rPr>
          <w:lang w:val="sr-Cyrl-RS"/>
        </w:rPr>
        <w:t xml:space="preserve"> </w:t>
      </w:r>
    </w:p>
    <w:p>
      <w:pPr>
        <w:spacing w:after="120" w:line="276" w:lineRule="auto"/>
        <w:jc w:val="both"/>
        <w:rPr>
          <w:lang w:val="sr-Cyrl-CS"/>
        </w:rPr>
      </w:pPr>
      <w:r>
        <w:rPr>
          <w:lang w:val="sr-Latn-CS"/>
        </w:rPr>
        <w:t>Подручје Бања Луке и њене околине обилује термо-минералним изворима који су кориштени још у античком периоду. Термални извори у Српским Топлицама</w:t>
      </w:r>
      <w:r>
        <w:rPr>
          <w:lang w:val="sr-Cyrl-CS"/>
        </w:rPr>
        <w:t>,</w:t>
      </w:r>
      <w:r>
        <w:rPr>
          <w:lang w:val="sr-Latn-CS"/>
        </w:rPr>
        <w:t xml:space="preserve"> заједно са свим осталим потенцијалима на овом локалитету (архитектура, сакрални објекти, природни мотиви, излетишта Сутурлија и Бањ брдо и др.)</w:t>
      </w:r>
      <w:r>
        <w:rPr>
          <w:lang w:val="sr-Cyrl-CS"/>
        </w:rPr>
        <w:t>,</w:t>
      </w:r>
      <w:r>
        <w:rPr>
          <w:lang w:val="sr-Latn-CS"/>
        </w:rPr>
        <w:t xml:space="preserve"> представља</w:t>
      </w:r>
      <w:r>
        <w:rPr>
          <w:lang w:val="sr-Cyrl-CS"/>
        </w:rPr>
        <w:t>ју</w:t>
      </w:r>
      <w:r>
        <w:rPr>
          <w:lang w:val="sr-Latn-CS"/>
        </w:rPr>
        <w:t xml:space="preserve"> огр</w:t>
      </w:r>
      <w:r>
        <w:rPr>
          <w:lang w:val="sr-Cyrl-CS"/>
        </w:rPr>
        <w:t>о</w:t>
      </w:r>
      <w:r>
        <w:rPr>
          <w:lang w:val="sr-Latn-CS"/>
        </w:rPr>
        <w:t xml:space="preserve">ман туристички потенцијал </w:t>
      </w:r>
      <w:r>
        <w:rPr>
          <w:lang w:val="sr-Cyrl-BA"/>
        </w:rPr>
        <w:t>г</w:t>
      </w:r>
      <w:r>
        <w:rPr>
          <w:lang w:val="sr-Latn-CS"/>
        </w:rPr>
        <w:t xml:space="preserve">рада који </w:t>
      </w:r>
      <w:r>
        <w:rPr>
          <w:lang w:val="sr-Cyrl-BA"/>
        </w:rPr>
        <w:t xml:space="preserve">и даље </w:t>
      </w:r>
      <w:r>
        <w:rPr>
          <w:lang w:val="sr-Latn-CS"/>
        </w:rPr>
        <w:t>није адекватно искориш</w:t>
      </w:r>
      <w:r>
        <w:rPr>
          <w:lang w:val="sr-Cyrl-BA"/>
        </w:rPr>
        <w:t>т</w:t>
      </w:r>
      <w:r>
        <w:rPr>
          <w:lang w:val="sr-Latn-CS"/>
        </w:rPr>
        <w:t xml:space="preserve">ен. </w:t>
      </w:r>
      <w:r>
        <w:rPr>
          <w:lang w:val="sr-Cyrl-CS"/>
        </w:rPr>
        <w:t xml:space="preserve">Туристичка валоризација овог локалитета подразумијева рјешавање имовинско-правних односа и знатна улагања у инфраструктуру. Тренутно се нуде бањске услуге али на веома ниском нивоу и углавном локалном становиштву. </w:t>
      </w:r>
    </w:p>
    <w:p>
      <w:pPr>
        <w:spacing w:after="120" w:line="276" w:lineRule="auto"/>
        <w:jc w:val="both"/>
        <w:rPr>
          <w:lang w:val="sr-Cyrl-BA"/>
        </w:rPr>
      </w:pPr>
      <w:r>
        <w:rPr>
          <w:lang w:val="sr-Latn-CS"/>
        </w:rPr>
        <w:t>Примјетан је све већи број долазака из иностранства у Бања Луку, посебно држављана  Словеније и Хрватске, са мотивом кориштења стоматолошких услуга</w:t>
      </w:r>
      <w:r>
        <w:rPr>
          <w:lang w:val="sr-Cyrl-RS"/>
        </w:rPr>
        <w:t xml:space="preserve"> и услуга естетске хирургије</w:t>
      </w:r>
      <w:r>
        <w:rPr>
          <w:lang w:val="sr-Latn-CS"/>
        </w:rPr>
        <w:t>. Све већи број стоматолошких ординација увиђа потребу за организацијом неког облика денталног туризма. С тим у вези, многе ординације поред редовних стоматолошких услуга као основе понуде, нуде и посредовање у неким туристичким услугама. Тако је примјетно да се на интернет страницама поменутих ординац</w:t>
      </w:r>
      <w:r>
        <w:rPr>
          <w:lang w:val="sr-Cyrl-RS"/>
        </w:rPr>
        <w:t>и</w:t>
      </w:r>
      <w:r>
        <w:rPr>
          <w:lang w:val="sr-Latn-CS"/>
        </w:rPr>
        <w:t>ја могу пронаћи информације о могућностима организовања/посредовања у трансферу од/до  аеродома, од смјештаја до ординације и назад, организовања/посредовања у услугама смјештаја, разгледања града, организовању излета и сл</w:t>
      </w:r>
      <w:r>
        <w:rPr>
          <w:lang w:val="sr-Cyrl-BA"/>
        </w:rPr>
        <w:t xml:space="preserve">. </w:t>
      </w:r>
    </w:p>
    <w:p>
      <w:pPr>
        <w:spacing w:after="120" w:line="276" w:lineRule="auto"/>
        <w:jc w:val="both"/>
        <w:rPr>
          <w:lang w:val="sr-Cyrl-CS"/>
        </w:rPr>
      </w:pPr>
      <w:r>
        <w:rPr>
          <w:lang w:val="sr-Cyrl-BA"/>
        </w:rPr>
        <w:t xml:space="preserve">У посљедних двадесетак година, ратна дешавања, као и неприлагођеност понуде савременим туристичким трендовима, утицали су да Босна и Херцеговина, а самим тим и Бања Лука, буду ван међународне конкуренције и значајнијих туристичких токова. Развој туризма је карактерисало стање опште успаваности и стагнације, док се у исто вријеме на свјетском туристичком тржишту дешавају бројне промјене, које захтјевају брзу и адекватну реакцију. Због тога су данас у сектору туризма присутни бројни недостаци, који се огледају, прије свега, у неуређености туристичког тржишта, лошој координацији између кључних субјеката на страни туристичке понуде, несавјесном пословању хотелијера који избјегавају плаћање боравишне таксе, а посебан проблем је непостојање ефикасног статистичког система, који би кроз праћење релевантних туристичких параметара, на валидан и вјеродостојан начин приказао реалне ефекте развоја туризма. И поред овог, Бања Лука је у 2016. години била, водећа туристичка дестинација по броју долазака туриста, како домаћих тако и страних. </w:t>
      </w:r>
      <w:r>
        <w:rPr>
          <w:lang w:val="sr-Cyrl-CS"/>
        </w:rPr>
        <w:t xml:space="preserve"> </w:t>
      </w:r>
    </w:p>
    <w:p>
      <w:pPr>
        <w:pBdr>
          <w:top w:val="single" w:color="auto" w:sz="4" w:space="1"/>
          <w:bottom w:val="single" w:color="auto" w:sz="4" w:space="1"/>
        </w:pBdr>
        <w:shd w:val="clear" w:color="auto" w:fill="C5E0B3" w:themeFill="accent6" w:themeFillTint="66"/>
        <w:spacing w:after="120" w:line="276" w:lineRule="auto"/>
        <w:jc w:val="both"/>
        <w:rPr>
          <w:lang w:val="sr-Cyrl-BA"/>
        </w:rPr>
      </w:pPr>
      <w:r>
        <w:rPr>
          <w:lang w:val="sr-Cyrl-BA"/>
        </w:rPr>
        <w:t xml:space="preserve">Значајније учествовање Бања Луке у туристичким токовима, нужно подразумијева побољшање конкурентности понуде у складу са позиционирањем на туристичком тржишту. Неки од савремених трендова иду на руку потенцијалима којима Бања Лука располаже, али је неопходно искористити компаративне и конкурентне предности и на прави начин их презентовати туристичкој јавности. Такође, јавља се неопходност инвестирања у туристичку инфраструктуру као предуслова стварања и озбиљне туристичке понуде града. Бања Лука је, као и Босна и Херцеговина уопште, мало позната дестинација и као таква представља изазов за савременог туристу који тежи да искуси и упозна нешто ново. Због своје величине и значаја, са карактеристикама главног града Републике Српске, Бања Лука ће за једног страног туристу бити готово незаобилазна дестинација на његовом пропутовању кроз Босну и Херцеговину, па је стога неопходно осмислити садржаје који ће продужити задржавање туристе у граду. </w:t>
      </w:r>
    </w:p>
    <w:p>
      <w:pPr>
        <w:pStyle w:val="5"/>
        <w:rPr>
          <w:lang w:val="sr-Cyrl-CS"/>
        </w:rPr>
      </w:pPr>
      <w:bookmarkStart w:id="32" w:name="_Toc497473038"/>
    </w:p>
    <w:p>
      <w:pPr>
        <w:pStyle w:val="5"/>
        <w:rPr>
          <w:lang w:val="sr-Cyrl-CS"/>
        </w:rPr>
      </w:pPr>
      <w:r>
        <w:t>IV.1.3.7. Пољопривреда, шумарство и лов</w:t>
      </w:r>
      <w:bookmarkEnd w:id="32"/>
    </w:p>
    <w:p>
      <w:pPr>
        <w:spacing w:after="120"/>
        <w:jc w:val="both"/>
        <w:rPr>
          <w:lang w:val="sr-Cyrl-BA"/>
        </w:rPr>
      </w:pPr>
      <w:r>
        <w:rPr>
          <w:b/>
          <w:i/>
          <w:lang w:val="sr-Cyrl-BA"/>
        </w:rPr>
        <w:t>Простор и</w:t>
      </w:r>
      <w:r>
        <w:rPr>
          <w:i/>
          <w:lang w:val="sr-Cyrl-BA"/>
        </w:rPr>
        <w:t xml:space="preserve"> </w:t>
      </w:r>
      <w:r>
        <w:rPr>
          <w:b/>
          <w:i/>
          <w:lang w:val="sr-Cyrl-BA"/>
        </w:rPr>
        <w:t xml:space="preserve">ресурси. </w:t>
      </w:r>
      <w:r>
        <w:rPr>
          <w:lang w:val="sr-Cyrl-BA"/>
        </w:rPr>
        <w:t>Бања Лука се налази на другом мјесту у Републици Српској по површини ораница и башта са 42.811 хектара од чега је 25.368,37 засијаних површина, док је по површини угара и необрађених ораница са 17.348 хектара на првом мјесту. Поређења ради, Бијељина која је на првом мјесту по површини ораница и башта којих има 49.472 хектара, али свега 6.110 хектара необрађених ораница и угара.</w:t>
      </w:r>
    </w:p>
    <w:p>
      <w:pPr>
        <w:spacing w:after="120" w:line="276" w:lineRule="auto"/>
        <w:jc w:val="both"/>
        <w:rPr>
          <w:lang w:val="sr-Cyrl-BA"/>
        </w:rPr>
      </w:pPr>
      <w:r>
        <w:rPr>
          <w:lang w:val="sr-Cyrl-BA"/>
        </w:rPr>
        <w:t>Рурално подручје града Бања Луке чини 105.568 хектара, односно преко 85% територије града, од чега пољопривредно земљиште чини 45 – 50% (на основу векторизације сателитских снимака  -55.249 хектара, а на основу просторног плана – 47.345 хектара). Надаље, од укупног пољопривредног земљишта, 88% чине обрадиве површине, 48,5% чине површине повољне за пољопривреду, а 32% чине ливаде, што омогућава и интензивнији развој сточарства, а прије свега овчарства. Од укупне површине пољопривредног земљишта 90% је у приватном власништву, а свега 10% је у државном.</w:t>
      </w:r>
    </w:p>
    <w:p>
      <w:pPr>
        <w:spacing w:after="120"/>
        <w:jc w:val="both"/>
        <w:rPr>
          <w:lang w:val="sr-Cyrl-BA"/>
        </w:rPr>
      </w:pPr>
      <w:r>
        <w:rPr>
          <w:b/>
          <w:i/>
          <w:lang w:val="sr-Cyrl-BA"/>
        </w:rPr>
        <w:t xml:space="preserve">Пољопривредна газдинства. </w:t>
      </w:r>
      <w:r>
        <w:rPr>
          <w:lang w:val="sr-Cyrl-BA"/>
        </w:rPr>
        <w:t>Носиоци развоја пољопривреде су индивидуални пољопривредни произвођачи производе за углавном за сопствене потребе, а значајно мало за тржиште. На подручју града Бања Лука има укупно 1.511 регистрованих пољопривредних газдинстава, од чега 381 комерцијалних, 1.079 некомерцијалних и 51 правни субјект. Од укупно 65.652 домаћинстава у Бањој Луки, 8.868 обавља пољопривредну активност, док 594 домаћинстава која обављају пољопривредну активност и продају производе на тржишту.</w:t>
      </w:r>
    </w:p>
    <w:p>
      <w:pPr>
        <w:spacing w:after="120"/>
        <w:jc w:val="both"/>
        <w:rPr>
          <w:rFonts w:eastAsiaTheme="minorEastAsia" w:cstheme="minorHAnsi"/>
          <w:lang w:val="sr-Cyrl-CS"/>
        </w:rPr>
      </w:pPr>
      <w:r>
        <w:rPr>
          <w:b/>
          <w:i/>
          <w:lang w:val="sr-Cyrl-BA"/>
        </w:rPr>
        <w:t xml:space="preserve">Пољопривреда и прехрамбена индустрија – привредна друштва. </w:t>
      </w:r>
      <w:r>
        <w:rPr>
          <w:rFonts w:eastAsiaTheme="minorEastAsia" w:cstheme="minorHAnsi"/>
          <w:lang w:val="sr-Cyrl-CS"/>
        </w:rPr>
        <w:t>Годишњи обрачун за 2016. годину АПИФ-у је предало 79 бањалучких предузећа из области пољопривреде, шумарства и рибарства (36) и из области прехрамбене индустрије (43). У наведених 79 предузећа било је запослено 1.869 радника, а остварили су у 2016. години укупан приход у износу од 221.439.800 КМ.</w:t>
      </w:r>
    </w:p>
    <w:p>
      <w:pPr>
        <w:spacing w:after="120" w:line="276" w:lineRule="auto"/>
        <w:jc w:val="both"/>
        <w:rPr>
          <w:rFonts w:asciiTheme="minorHAnsi" w:hAnsiTheme="minorHAnsi" w:cstheme="minorHAnsi"/>
          <w:bCs/>
          <w:lang w:val="sr-Cyrl-RS"/>
        </w:rPr>
      </w:pPr>
      <w:r>
        <w:rPr>
          <w:rFonts w:asciiTheme="minorHAnsi" w:hAnsiTheme="minorHAnsi" w:cstheme="minorHAnsi"/>
          <w:lang w:val="sr-Cyrl-RS"/>
        </w:rPr>
        <w:t xml:space="preserve">Град Бања Лука је за период 2010-2015. имао Стратегију руралног развоја, те је потребно да се </w:t>
      </w:r>
      <w:r>
        <w:rPr>
          <w:rFonts w:eastAsiaTheme="minorEastAsia" w:cstheme="minorHAnsi"/>
          <w:lang w:val="sr-Cyrl-CS"/>
        </w:rPr>
        <w:t>размотри</w:t>
      </w:r>
      <w:r>
        <w:rPr>
          <w:rFonts w:asciiTheme="minorHAnsi" w:hAnsiTheme="minorHAnsi" w:cstheme="minorHAnsi"/>
          <w:lang w:val="sr-Cyrl-RS"/>
        </w:rPr>
        <w:t xml:space="preserve"> израда новог документа. Постоје и двије студије: </w:t>
      </w:r>
      <w:r>
        <w:rPr>
          <w:rFonts w:asciiTheme="minorHAnsi" w:hAnsiTheme="minorHAnsi" w:cstheme="minorHAnsi"/>
          <w:bCs/>
        </w:rPr>
        <w:t>"Рурални интегрални развој на подручју кањона Врбаса и платоа Мањаче"</w:t>
      </w:r>
      <w:r>
        <w:rPr>
          <w:rFonts w:asciiTheme="minorHAnsi" w:hAnsiTheme="minorHAnsi" w:cstheme="minorHAnsi"/>
          <w:bCs/>
          <w:lang w:val="sr-Cyrl-RS"/>
        </w:rPr>
        <w:t xml:space="preserve"> и </w:t>
      </w:r>
      <w:r>
        <w:rPr>
          <w:rFonts w:asciiTheme="minorHAnsi" w:hAnsiTheme="minorHAnsi" w:cstheme="minorHAnsi"/>
          <w:bCs/>
        </w:rPr>
        <w:t>"Интегрални рурални развој на подручју сјеверозападног дијела града Бање Луке</w:t>
      </w:r>
      <w:r>
        <w:rPr>
          <w:rFonts w:asciiTheme="minorHAnsi" w:hAnsiTheme="minorHAnsi" w:cstheme="minorHAnsi"/>
          <w:bCs/>
          <w:lang w:val="sr-Cyrl-RS"/>
        </w:rPr>
        <w:t>, које садрже значајне аспекте за пољопривреду.</w:t>
      </w:r>
    </w:p>
    <w:tbl>
      <w:tblPr>
        <w:tblStyle w:val="37"/>
        <w:tblW w:w="95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8D8D8" w:themeFill="background1" w:themeFillShade="D9"/>
        <w:tblLayout w:type="fixed"/>
        <w:tblCellMar>
          <w:top w:w="0" w:type="dxa"/>
          <w:left w:w="108" w:type="dxa"/>
          <w:bottom w:w="0" w:type="dxa"/>
          <w:right w:w="108" w:type="dxa"/>
        </w:tblCellMar>
      </w:tblPr>
      <w:tblGrid>
        <w:gridCol w:w="9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8D8D8" w:themeFill="background1" w:themeFillShade="D9"/>
          <w:tblLayout w:type="fixed"/>
        </w:tblPrEx>
        <w:tc>
          <w:tcPr>
            <w:tcW w:w="9576" w:type="dxa"/>
            <w:shd w:val="clear" w:color="auto" w:fill="C5E0B3" w:themeFill="accent6" w:themeFillShade="D9" w:themeFillTint="66"/>
          </w:tcPr>
          <w:p>
            <w:pPr>
              <w:pStyle w:val="13"/>
              <w:spacing w:before="120" w:after="120"/>
              <w:jc w:val="both"/>
              <w:rPr>
                <w:rFonts w:eastAsia="Times New Roman" w:asciiTheme="minorHAnsi" w:hAnsiTheme="minorHAnsi"/>
                <w:bCs/>
                <w:i/>
                <w:kern w:val="32"/>
                <w:sz w:val="22"/>
                <w:szCs w:val="22"/>
                <w:lang w:val="sr-Cyrl-RS"/>
              </w:rPr>
            </w:pPr>
            <w:r>
              <w:rPr>
                <w:rFonts w:eastAsia="Times New Roman" w:asciiTheme="minorHAnsi" w:hAnsiTheme="minorHAnsi"/>
                <w:bCs/>
                <w:i/>
                <w:kern w:val="32"/>
                <w:sz w:val="22"/>
                <w:szCs w:val="22"/>
                <w:lang w:val="sr-Cyrl-RS"/>
              </w:rPr>
              <w:t>У складу са опредјељењем Града да снажније подржи рурални развој и пољопривреду, неопходно је да фокус буде на повећању броја регистрованих пољопривредних газинстава, дефинисању адекватних подстицајних мјера за индивидуалне пољопривредне произвођаче и промоцији партнерстава у области пољопривредне производње, као и лакшем пласману производа на тржиште.</w:t>
            </w:r>
          </w:p>
        </w:tc>
      </w:tr>
    </w:tbl>
    <w:p>
      <w:pPr>
        <w:spacing w:after="160" w:line="259" w:lineRule="auto"/>
        <w:rPr>
          <w:lang w:val="sr-Cyrl-CS"/>
        </w:rPr>
      </w:pPr>
      <w:bookmarkStart w:id="33" w:name="_Toc497473039"/>
    </w:p>
    <w:p>
      <w:pPr>
        <w:spacing w:after="160" w:line="259" w:lineRule="auto"/>
        <w:rPr>
          <w:lang w:val="sr-Cyrl-CS"/>
        </w:rPr>
      </w:pPr>
      <w:r>
        <w:rPr>
          <w:lang w:val="sr-Cyrl-CS"/>
        </w:rPr>
        <w:br w:type="page"/>
      </w:r>
    </w:p>
    <w:bookmarkEnd w:id="33"/>
    <w:p>
      <w:pPr>
        <w:pStyle w:val="4"/>
        <w:rPr>
          <w:lang w:val="hr-HR"/>
        </w:rPr>
      </w:pPr>
      <w:bookmarkStart w:id="34" w:name="_Toc526170587"/>
      <w:r>
        <w:rPr>
          <w:lang w:val="hr-HR"/>
        </w:rPr>
        <w:t>IV.1.4. Преглед</w:t>
      </w:r>
      <w:r>
        <w:rPr>
          <w:lang w:val="sr-Cyrl-RS"/>
        </w:rPr>
        <w:t xml:space="preserve"> </w:t>
      </w:r>
      <w:r>
        <w:rPr>
          <w:lang w:val="hr-HR"/>
        </w:rPr>
        <w:t>стања</w:t>
      </w:r>
      <w:r>
        <w:rPr>
          <w:lang w:val="sr-Cyrl-RS"/>
        </w:rPr>
        <w:t xml:space="preserve"> </w:t>
      </w:r>
      <w:r>
        <w:rPr>
          <w:lang w:val="hr-HR"/>
        </w:rPr>
        <w:t>и</w:t>
      </w:r>
      <w:r>
        <w:rPr>
          <w:lang w:val="sr-Cyrl-RS"/>
        </w:rPr>
        <w:t xml:space="preserve"> </w:t>
      </w:r>
      <w:r>
        <w:rPr>
          <w:lang w:val="hr-HR"/>
        </w:rPr>
        <w:t>кретања</w:t>
      </w:r>
      <w:r>
        <w:rPr>
          <w:lang w:val="sr-Cyrl-RS"/>
        </w:rPr>
        <w:t xml:space="preserve"> </w:t>
      </w:r>
      <w:r>
        <w:rPr>
          <w:lang w:val="hr-HR"/>
        </w:rPr>
        <w:t>на</w:t>
      </w:r>
      <w:r>
        <w:rPr>
          <w:lang w:val="sr-Cyrl-RS"/>
        </w:rPr>
        <w:t xml:space="preserve"> </w:t>
      </w:r>
      <w:r>
        <w:rPr>
          <w:lang w:val="hr-HR"/>
        </w:rPr>
        <w:t>тржишту</w:t>
      </w:r>
      <w:r>
        <w:rPr>
          <w:lang w:val="sr-Cyrl-RS"/>
        </w:rPr>
        <w:t xml:space="preserve"> </w:t>
      </w:r>
      <w:r>
        <w:rPr>
          <w:lang w:val="hr-HR"/>
        </w:rPr>
        <w:t>рада</w:t>
      </w:r>
      <w:bookmarkEnd w:id="34"/>
    </w:p>
    <w:p>
      <w:pPr>
        <w:rPr>
          <w:rFonts w:asciiTheme="minorHAnsi" w:hAnsiTheme="minorHAnsi" w:cstheme="minorHAnsi"/>
          <w:b/>
          <w:bCs/>
          <w:i/>
          <w:highlight w:val="yellow"/>
          <w:lang w:val="sr-Cyrl-CS"/>
        </w:rPr>
      </w:pPr>
    </w:p>
    <w:p>
      <w:pPr>
        <w:jc w:val="both"/>
        <w:rPr>
          <w:rFonts w:asciiTheme="minorHAnsi" w:hAnsiTheme="minorHAnsi" w:cstheme="minorHAnsi"/>
          <w:lang w:val="sr-Cyrl-CS"/>
        </w:rPr>
      </w:pPr>
      <w:r>
        <w:rPr>
          <w:rFonts w:asciiTheme="minorHAnsi" w:hAnsiTheme="minorHAnsi" w:cstheme="minorHAnsi"/>
          <w:b/>
          <w:lang w:val="sr-Cyrl-CS"/>
        </w:rPr>
        <w:t xml:space="preserve">Број и структура запослених. </w:t>
      </w:r>
      <w:r>
        <w:rPr>
          <w:rFonts w:asciiTheme="minorHAnsi" w:hAnsiTheme="minorHAnsi" w:cstheme="minorHAnsi"/>
          <w:lang w:val="sr-Cyrl-CS"/>
        </w:rPr>
        <w:t xml:space="preserve">Према посљедњим подацима Републичког завода за статистику, са становишта власништва над капиталом пословних субјеката, на нивоу Републике Српске у приватном сектору је запослено 55,4% укупног броја запослених у Републици Српској, у јавном сектору 29,7% запослених, а у осталим пословним субјектима с мјешовитим и задружним власништвом запослено је 15,0% укупног броја запослених у Републици Српској. На подручју града Бањалуке, од укупног броја запослених, 43,2% је запослено у пословним субјектима у приватном власништву, 39,3% је запослено у јавном сектору, док је у осталим пословним субјектима с мјешовитим и задружним власништвом запослено 17,5% </w:t>
      </w:r>
      <w:r>
        <w:rPr>
          <w:rFonts w:eastAsiaTheme="minorEastAsia" w:cstheme="minorHAnsi"/>
          <w:lang w:val="sr-Cyrl-CS"/>
        </w:rPr>
        <w:t>укупног</w:t>
      </w:r>
      <w:r>
        <w:rPr>
          <w:rFonts w:asciiTheme="minorHAnsi" w:hAnsiTheme="minorHAnsi" w:cstheme="minorHAnsi"/>
          <w:lang w:val="sr-Cyrl-CS"/>
        </w:rPr>
        <w:t xml:space="preserve"> броја запослених с подручја града Бањалуке. Иако је и на нивоу Републике Српске и града Бањалуке највеће учешће запослених у приватном сектору, на подручју града Бањалуке веће је учешће броја запослених у јавном сектору (39,3%), него што је то на нивоу Републике Српске (29,75), док запослени у приватном сектору на нивоу Републике Српске имају значајније учешће (55,4%), него на подручју Бањалуке (43,2%).</w:t>
      </w:r>
    </w:p>
    <w:p>
      <w:pPr>
        <w:jc w:val="both"/>
        <w:rPr>
          <w:rFonts w:asciiTheme="minorHAnsi" w:hAnsiTheme="minorHAnsi" w:cstheme="minorHAnsi"/>
          <w:lang w:val="sr-Cyrl-CS"/>
        </w:rPr>
      </w:pPr>
    </w:p>
    <w:p>
      <w:pPr>
        <w:jc w:val="both"/>
        <w:rPr>
          <w:rFonts w:asciiTheme="minorHAnsi" w:hAnsiTheme="minorHAnsi" w:cstheme="minorHAnsi"/>
          <w:lang w:val="sr-Cyrl-CS"/>
        </w:rPr>
      </w:pPr>
      <w:r>
        <w:rPr>
          <w:rFonts w:asciiTheme="minorHAnsi" w:hAnsiTheme="minorHAnsi" w:cstheme="minorHAnsi"/>
          <w:lang w:val="sr-Cyrl-CS"/>
        </w:rPr>
        <w:t xml:space="preserve">Сагледавајући укупан број запослених у периоду од 2012. до 2016. године, на нивоу Републике Српске и града Бањалуке, уочава се да је у посматраном периоду потпуно уједначено учешће запослених града Бањалуке у укупном броју запослених на нивоу Републике Српске (25%), што илуструју подаци из сљедеће табеле: </w:t>
      </w:r>
    </w:p>
    <w:p>
      <w:pPr>
        <w:jc w:val="both"/>
        <w:rPr>
          <w:rFonts w:asciiTheme="minorHAnsi" w:hAnsiTheme="minorHAnsi" w:cstheme="minorHAnsi"/>
          <w:lang w:val="sr-Cyrl-CS"/>
        </w:rPr>
      </w:pPr>
    </w:p>
    <w:tbl>
      <w:tblPr>
        <w:tblStyle w:val="37"/>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2610"/>
        <w:gridCol w:w="2612"/>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vMerge w:val="restart"/>
            <w:shd w:val="clear" w:color="auto" w:fill="C5E0B3" w:themeFill="accent6" w:themeFillTint="66"/>
          </w:tcPr>
          <w:p>
            <w:pPr>
              <w:jc w:val="center"/>
              <w:rPr>
                <w:rFonts w:asciiTheme="minorHAnsi" w:hAnsiTheme="minorHAnsi" w:cstheme="minorHAnsi"/>
                <w:b/>
                <w:lang w:val="sr-Cyrl-CS"/>
              </w:rPr>
            </w:pPr>
            <w:r>
              <w:rPr>
                <w:rFonts w:asciiTheme="minorHAnsi" w:hAnsiTheme="minorHAnsi" w:cstheme="minorHAnsi"/>
                <w:b/>
                <w:lang w:val="sr-Cyrl-CS"/>
              </w:rPr>
              <w:t>Година</w:t>
            </w:r>
          </w:p>
        </w:tc>
        <w:tc>
          <w:tcPr>
            <w:tcW w:w="5222" w:type="dxa"/>
            <w:gridSpan w:val="2"/>
            <w:shd w:val="clear" w:color="auto" w:fill="C5E0B3" w:themeFill="accent6" w:themeFillTint="66"/>
          </w:tcPr>
          <w:p>
            <w:pPr>
              <w:jc w:val="center"/>
              <w:rPr>
                <w:rFonts w:asciiTheme="minorHAnsi" w:hAnsiTheme="minorHAnsi" w:cstheme="minorHAnsi"/>
                <w:b/>
                <w:lang w:val="sr-Cyrl-CS"/>
              </w:rPr>
            </w:pPr>
            <w:r>
              <w:rPr>
                <w:rFonts w:asciiTheme="minorHAnsi" w:hAnsiTheme="minorHAnsi" w:cstheme="minorHAnsi"/>
                <w:b/>
                <w:lang w:val="sr-Cyrl-CS"/>
              </w:rPr>
              <w:t>Број запослених</w:t>
            </w:r>
          </w:p>
        </w:tc>
        <w:tc>
          <w:tcPr>
            <w:tcW w:w="2250" w:type="dxa"/>
            <w:vMerge w:val="restart"/>
            <w:shd w:val="clear" w:color="auto" w:fill="C5E0B3" w:themeFill="accent6" w:themeFillTint="66"/>
          </w:tcPr>
          <w:p>
            <w:pPr>
              <w:jc w:val="center"/>
              <w:rPr>
                <w:rFonts w:asciiTheme="minorHAnsi" w:hAnsiTheme="minorHAnsi" w:cstheme="minorHAnsi"/>
                <w:b/>
                <w:lang w:val="sr-Cyrl-CS"/>
              </w:rPr>
            </w:pPr>
            <w:r>
              <w:rPr>
                <w:rFonts w:asciiTheme="minorHAnsi" w:hAnsiTheme="minorHAnsi" w:cstheme="minorHAnsi"/>
                <w:b/>
                <w:lang w:val="sr-Cyrl-CS"/>
              </w:rPr>
              <w:t>Учешће у РС 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vMerge w:val="continue"/>
          </w:tcPr>
          <w:p>
            <w:pPr>
              <w:jc w:val="center"/>
              <w:rPr>
                <w:rFonts w:asciiTheme="minorHAnsi" w:hAnsiTheme="minorHAnsi" w:cstheme="minorHAnsi"/>
                <w:lang w:val="sr-Cyrl-CS"/>
              </w:rPr>
            </w:pPr>
          </w:p>
        </w:tc>
        <w:tc>
          <w:tcPr>
            <w:tcW w:w="2610" w:type="dxa"/>
            <w:shd w:val="clear" w:color="auto" w:fill="C5E0B3" w:themeFill="accent6" w:themeFillTint="66"/>
          </w:tcPr>
          <w:p>
            <w:pPr>
              <w:jc w:val="center"/>
              <w:rPr>
                <w:rFonts w:asciiTheme="minorHAnsi" w:hAnsiTheme="minorHAnsi" w:cstheme="minorHAnsi"/>
                <w:b/>
                <w:lang w:val="sr-Cyrl-CS"/>
              </w:rPr>
            </w:pPr>
            <w:r>
              <w:rPr>
                <w:rFonts w:asciiTheme="minorHAnsi" w:hAnsiTheme="minorHAnsi" w:cstheme="minorHAnsi"/>
                <w:b/>
                <w:lang w:val="sr-Cyrl-CS"/>
              </w:rPr>
              <w:t>Република Српска</w:t>
            </w:r>
          </w:p>
        </w:tc>
        <w:tc>
          <w:tcPr>
            <w:tcW w:w="2612" w:type="dxa"/>
            <w:shd w:val="clear" w:color="auto" w:fill="C5E0B3" w:themeFill="accent6" w:themeFillTint="66"/>
          </w:tcPr>
          <w:p>
            <w:pPr>
              <w:jc w:val="center"/>
              <w:rPr>
                <w:rFonts w:asciiTheme="minorHAnsi" w:hAnsiTheme="minorHAnsi" w:cstheme="minorHAnsi"/>
                <w:b/>
                <w:lang w:val="sr-Cyrl-CS"/>
              </w:rPr>
            </w:pPr>
            <w:r>
              <w:rPr>
                <w:rFonts w:asciiTheme="minorHAnsi" w:hAnsiTheme="minorHAnsi" w:cstheme="minorHAnsi"/>
                <w:b/>
                <w:lang w:val="sr-Cyrl-CS"/>
              </w:rPr>
              <w:t>Бања Лука</w:t>
            </w:r>
          </w:p>
        </w:tc>
        <w:tc>
          <w:tcPr>
            <w:tcW w:w="2250" w:type="dxa"/>
            <w:vMerge w:val="continue"/>
          </w:tcPr>
          <w:p>
            <w:pPr>
              <w:jc w:val="center"/>
              <w:rPr>
                <w:rFonts w:asciiTheme="minorHAnsi" w:hAnsiTheme="minorHAnsi" w:cstheme="minorHAnsi"/>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tcPr>
          <w:p>
            <w:pPr>
              <w:jc w:val="center"/>
              <w:rPr>
                <w:rFonts w:asciiTheme="minorHAnsi" w:hAnsiTheme="minorHAnsi" w:cstheme="minorHAnsi"/>
                <w:b/>
                <w:lang w:val="sr-Cyrl-CS"/>
              </w:rPr>
            </w:pPr>
            <w:r>
              <w:rPr>
                <w:rFonts w:asciiTheme="minorHAnsi" w:hAnsiTheme="minorHAnsi" w:cstheme="minorHAnsi"/>
                <w:b/>
                <w:lang w:val="sr-Cyrl-CS"/>
              </w:rPr>
              <w:t>2012</w:t>
            </w:r>
          </w:p>
        </w:tc>
        <w:tc>
          <w:tcPr>
            <w:tcW w:w="2610" w:type="dxa"/>
            <w:vAlign w:val="center"/>
          </w:tcPr>
          <w:p>
            <w:pPr>
              <w:jc w:val="right"/>
              <w:rPr>
                <w:rFonts w:asciiTheme="minorHAnsi" w:hAnsiTheme="minorHAnsi" w:cstheme="minorHAnsi"/>
              </w:rPr>
            </w:pPr>
            <w:r>
              <w:rPr>
                <w:rFonts w:asciiTheme="minorHAnsi" w:hAnsiTheme="minorHAnsi" w:cstheme="minorHAnsi"/>
              </w:rPr>
              <w:t>238.178</w:t>
            </w:r>
          </w:p>
        </w:tc>
        <w:tc>
          <w:tcPr>
            <w:tcW w:w="2612" w:type="dxa"/>
            <w:vAlign w:val="center"/>
          </w:tcPr>
          <w:p>
            <w:pPr>
              <w:jc w:val="right"/>
              <w:rPr>
                <w:rFonts w:asciiTheme="minorHAnsi" w:hAnsiTheme="minorHAnsi" w:cstheme="minorHAnsi"/>
              </w:rPr>
            </w:pPr>
            <w:r>
              <w:rPr>
                <w:rFonts w:asciiTheme="minorHAnsi" w:hAnsiTheme="minorHAnsi" w:cstheme="minorHAnsi"/>
              </w:rPr>
              <w:t>60.320</w:t>
            </w:r>
          </w:p>
        </w:tc>
        <w:tc>
          <w:tcPr>
            <w:tcW w:w="2250" w:type="dxa"/>
            <w:vAlign w:val="center"/>
          </w:tcPr>
          <w:p>
            <w:pPr>
              <w:jc w:val="right"/>
              <w:rPr>
                <w:rFonts w:asciiTheme="minorHAnsi" w:hAnsiTheme="minorHAnsi" w:cstheme="minorHAnsi"/>
              </w:rPr>
            </w:pPr>
            <w:r>
              <w:rPr>
                <w:rFonts w:asciiTheme="minorHAnsi" w:hAnsiTheme="minorHAnsi" w:cstheme="minorHAnsi"/>
              </w:rPr>
              <w:t>25,33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tcPr>
          <w:p>
            <w:pPr>
              <w:jc w:val="center"/>
              <w:rPr>
                <w:rFonts w:asciiTheme="minorHAnsi" w:hAnsiTheme="minorHAnsi" w:cstheme="minorHAnsi"/>
                <w:b/>
                <w:lang w:val="sr-Cyrl-CS"/>
              </w:rPr>
            </w:pPr>
            <w:r>
              <w:rPr>
                <w:rFonts w:asciiTheme="minorHAnsi" w:hAnsiTheme="minorHAnsi" w:cstheme="minorHAnsi"/>
                <w:b/>
                <w:lang w:val="sr-Cyrl-CS"/>
              </w:rPr>
              <w:t>2013</w:t>
            </w:r>
          </w:p>
        </w:tc>
        <w:tc>
          <w:tcPr>
            <w:tcW w:w="2610" w:type="dxa"/>
            <w:vAlign w:val="center"/>
          </w:tcPr>
          <w:p>
            <w:pPr>
              <w:jc w:val="right"/>
              <w:rPr>
                <w:rFonts w:asciiTheme="minorHAnsi" w:hAnsiTheme="minorHAnsi" w:cstheme="minorHAnsi"/>
              </w:rPr>
            </w:pPr>
            <w:r>
              <w:rPr>
                <w:rFonts w:asciiTheme="minorHAnsi" w:hAnsiTheme="minorHAnsi" w:cstheme="minorHAnsi"/>
              </w:rPr>
              <w:t>238.640</w:t>
            </w:r>
          </w:p>
        </w:tc>
        <w:tc>
          <w:tcPr>
            <w:tcW w:w="2612" w:type="dxa"/>
            <w:vAlign w:val="center"/>
          </w:tcPr>
          <w:p>
            <w:pPr>
              <w:jc w:val="right"/>
              <w:rPr>
                <w:rFonts w:asciiTheme="minorHAnsi" w:hAnsiTheme="minorHAnsi" w:cstheme="minorHAnsi"/>
              </w:rPr>
            </w:pPr>
            <w:r>
              <w:rPr>
                <w:rFonts w:asciiTheme="minorHAnsi" w:hAnsiTheme="minorHAnsi" w:cstheme="minorHAnsi"/>
              </w:rPr>
              <w:t>61.470</w:t>
            </w:r>
          </w:p>
        </w:tc>
        <w:tc>
          <w:tcPr>
            <w:tcW w:w="2250" w:type="dxa"/>
            <w:vAlign w:val="center"/>
          </w:tcPr>
          <w:p>
            <w:pPr>
              <w:jc w:val="right"/>
              <w:rPr>
                <w:rFonts w:asciiTheme="minorHAnsi" w:hAnsiTheme="minorHAnsi" w:cstheme="minorHAnsi"/>
              </w:rPr>
            </w:pPr>
            <w:r>
              <w:rPr>
                <w:rFonts w:asciiTheme="minorHAnsi" w:hAnsiTheme="minorHAnsi" w:cstheme="minorHAnsi"/>
              </w:rPr>
              <w:t>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tcPr>
          <w:p>
            <w:pPr>
              <w:jc w:val="center"/>
              <w:rPr>
                <w:rFonts w:asciiTheme="minorHAnsi" w:hAnsiTheme="minorHAnsi" w:cstheme="minorHAnsi"/>
                <w:b/>
                <w:lang w:val="sr-Cyrl-CS"/>
              </w:rPr>
            </w:pPr>
            <w:r>
              <w:rPr>
                <w:rFonts w:asciiTheme="minorHAnsi" w:hAnsiTheme="minorHAnsi" w:cstheme="minorHAnsi"/>
                <w:b/>
                <w:lang w:val="sr-Cyrl-CS"/>
              </w:rPr>
              <w:t>2014</w:t>
            </w:r>
          </w:p>
        </w:tc>
        <w:tc>
          <w:tcPr>
            <w:tcW w:w="2610" w:type="dxa"/>
            <w:vAlign w:val="center"/>
          </w:tcPr>
          <w:p>
            <w:pPr>
              <w:jc w:val="right"/>
              <w:rPr>
                <w:rFonts w:asciiTheme="minorHAnsi" w:hAnsiTheme="minorHAnsi" w:cstheme="minorHAnsi"/>
              </w:rPr>
            </w:pPr>
            <w:r>
              <w:rPr>
                <w:rFonts w:asciiTheme="minorHAnsi" w:hAnsiTheme="minorHAnsi" w:cstheme="minorHAnsi"/>
              </w:rPr>
              <w:t>241.544</w:t>
            </w:r>
          </w:p>
        </w:tc>
        <w:tc>
          <w:tcPr>
            <w:tcW w:w="2612" w:type="dxa"/>
            <w:vAlign w:val="center"/>
          </w:tcPr>
          <w:p>
            <w:pPr>
              <w:jc w:val="right"/>
              <w:rPr>
                <w:rFonts w:asciiTheme="minorHAnsi" w:hAnsiTheme="minorHAnsi" w:cstheme="minorHAnsi"/>
              </w:rPr>
            </w:pPr>
            <w:r>
              <w:rPr>
                <w:rFonts w:asciiTheme="minorHAnsi" w:hAnsiTheme="minorHAnsi" w:cstheme="minorHAnsi"/>
              </w:rPr>
              <w:t>61.820</w:t>
            </w:r>
          </w:p>
        </w:tc>
        <w:tc>
          <w:tcPr>
            <w:tcW w:w="2250" w:type="dxa"/>
            <w:vAlign w:val="center"/>
          </w:tcPr>
          <w:p>
            <w:pPr>
              <w:jc w:val="right"/>
              <w:rPr>
                <w:rFonts w:asciiTheme="minorHAnsi" w:hAnsiTheme="minorHAnsi" w:cstheme="minorHAnsi"/>
              </w:rPr>
            </w:pPr>
            <w:r>
              <w:rPr>
                <w:rFonts w:asciiTheme="minorHAnsi" w:hAnsiTheme="minorHAnsi" w:cstheme="minorHAnsi"/>
              </w:rPr>
              <w:t>25,59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tcPr>
          <w:p>
            <w:pPr>
              <w:jc w:val="center"/>
              <w:rPr>
                <w:rFonts w:asciiTheme="minorHAnsi" w:hAnsiTheme="minorHAnsi" w:cstheme="minorHAnsi"/>
                <w:b/>
                <w:lang w:val="sr-Cyrl-CS"/>
              </w:rPr>
            </w:pPr>
            <w:r>
              <w:rPr>
                <w:rFonts w:asciiTheme="minorHAnsi" w:hAnsiTheme="minorHAnsi" w:cstheme="minorHAnsi"/>
                <w:b/>
                <w:lang w:val="sr-Cyrl-CS"/>
              </w:rPr>
              <w:t>2015</w:t>
            </w:r>
          </w:p>
        </w:tc>
        <w:tc>
          <w:tcPr>
            <w:tcW w:w="2610" w:type="dxa"/>
            <w:vAlign w:val="center"/>
          </w:tcPr>
          <w:p>
            <w:pPr>
              <w:jc w:val="right"/>
              <w:rPr>
                <w:rFonts w:asciiTheme="minorHAnsi" w:hAnsiTheme="minorHAnsi" w:cstheme="minorHAnsi"/>
              </w:rPr>
            </w:pPr>
            <w:r>
              <w:rPr>
                <w:rFonts w:asciiTheme="minorHAnsi" w:hAnsiTheme="minorHAnsi" w:cstheme="minorHAnsi"/>
              </w:rPr>
              <w:t>245.975</w:t>
            </w:r>
          </w:p>
        </w:tc>
        <w:tc>
          <w:tcPr>
            <w:tcW w:w="2612" w:type="dxa"/>
            <w:vAlign w:val="center"/>
          </w:tcPr>
          <w:p>
            <w:pPr>
              <w:jc w:val="right"/>
              <w:rPr>
                <w:rFonts w:asciiTheme="minorHAnsi" w:hAnsiTheme="minorHAnsi" w:cstheme="minorHAnsi"/>
              </w:rPr>
            </w:pPr>
            <w:r>
              <w:rPr>
                <w:rFonts w:asciiTheme="minorHAnsi" w:hAnsiTheme="minorHAnsi" w:cstheme="minorHAnsi"/>
              </w:rPr>
              <w:t>63.677</w:t>
            </w:r>
          </w:p>
        </w:tc>
        <w:tc>
          <w:tcPr>
            <w:tcW w:w="2250" w:type="dxa"/>
            <w:vAlign w:val="center"/>
          </w:tcPr>
          <w:p>
            <w:pPr>
              <w:jc w:val="right"/>
              <w:rPr>
                <w:rFonts w:asciiTheme="minorHAnsi" w:hAnsiTheme="minorHAnsi" w:cstheme="minorHAnsi"/>
              </w:rPr>
            </w:pPr>
            <w:r>
              <w:rPr>
                <w:rFonts w:asciiTheme="minorHAnsi" w:hAnsiTheme="minorHAnsi" w:cstheme="minorHAnsi"/>
              </w:rPr>
              <w:t>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04" w:type="dxa"/>
          </w:tcPr>
          <w:p>
            <w:pPr>
              <w:jc w:val="center"/>
              <w:rPr>
                <w:rFonts w:asciiTheme="minorHAnsi" w:hAnsiTheme="minorHAnsi" w:cstheme="minorHAnsi"/>
                <w:b/>
                <w:lang w:val="sr-Cyrl-CS"/>
              </w:rPr>
            </w:pPr>
            <w:r>
              <w:rPr>
                <w:rFonts w:asciiTheme="minorHAnsi" w:hAnsiTheme="minorHAnsi" w:cstheme="minorHAnsi"/>
                <w:b/>
                <w:lang w:val="sr-Cyrl-CS"/>
              </w:rPr>
              <w:t>2016</w:t>
            </w:r>
          </w:p>
        </w:tc>
        <w:tc>
          <w:tcPr>
            <w:tcW w:w="2610" w:type="dxa"/>
            <w:vAlign w:val="center"/>
          </w:tcPr>
          <w:p>
            <w:pPr>
              <w:jc w:val="right"/>
              <w:rPr>
                <w:rFonts w:asciiTheme="minorHAnsi" w:hAnsiTheme="minorHAnsi" w:cstheme="minorHAnsi"/>
              </w:rPr>
            </w:pPr>
            <w:r>
              <w:rPr>
                <w:rFonts w:asciiTheme="minorHAnsi" w:hAnsiTheme="minorHAnsi" w:cstheme="minorHAnsi"/>
              </w:rPr>
              <w:t>253.305</w:t>
            </w:r>
          </w:p>
        </w:tc>
        <w:tc>
          <w:tcPr>
            <w:tcW w:w="2612" w:type="dxa"/>
            <w:vAlign w:val="center"/>
          </w:tcPr>
          <w:p>
            <w:pPr>
              <w:jc w:val="right"/>
              <w:rPr>
                <w:rFonts w:asciiTheme="minorHAnsi" w:hAnsiTheme="minorHAnsi" w:cstheme="minorHAnsi"/>
              </w:rPr>
            </w:pPr>
            <w:r>
              <w:rPr>
                <w:rFonts w:asciiTheme="minorHAnsi" w:hAnsiTheme="minorHAnsi" w:cstheme="minorHAnsi"/>
              </w:rPr>
              <w:t>65.330</w:t>
            </w:r>
          </w:p>
        </w:tc>
        <w:tc>
          <w:tcPr>
            <w:tcW w:w="2250" w:type="dxa"/>
            <w:vAlign w:val="center"/>
          </w:tcPr>
          <w:p>
            <w:pPr>
              <w:jc w:val="right"/>
              <w:rPr>
                <w:rFonts w:asciiTheme="minorHAnsi" w:hAnsiTheme="minorHAnsi" w:cstheme="minorHAnsi"/>
              </w:rPr>
            </w:pPr>
            <w:r>
              <w:rPr>
                <w:rFonts w:asciiTheme="minorHAnsi" w:hAnsiTheme="minorHAnsi" w:cstheme="minorHAnsi"/>
              </w:rPr>
              <w:t>25,79</w:t>
            </w:r>
          </w:p>
        </w:tc>
      </w:tr>
    </w:tbl>
    <w:p>
      <w:pPr>
        <w:jc w:val="both"/>
        <w:rPr>
          <w:rFonts w:asciiTheme="minorHAnsi" w:hAnsiTheme="minorHAnsi" w:cstheme="minorHAnsi"/>
          <w:i/>
          <w:lang w:val="sr-Cyrl-CS"/>
        </w:rPr>
      </w:pPr>
      <w:r>
        <w:rPr>
          <w:rFonts w:asciiTheme="minorHAnsi" w:hAnsiTheme="minorHAnsi" w:cstheme="minorHAnsi"/>
          <w:i/>
          <w:lang w:val="sr-Cyrl-CS"/>
        </w:rPr>
        <w:t>Извор: Републички завод за статистику</w:t>
      </w:r>
    </w:p>
    <w:p>
      <w:pPr>
        <w:jc w:val="both"/>
        <w:rPr>
          <w:rFonts w:asciiTheme="minorHAnsi" w:hAnsiTheme="minorHAnsi" w:cstheme="minorHAnsi"/>
          <w:lang w:val="sr-Cyrl-CS"/>
        </w:rPr>
      </w:pPr>
    </w:p>
    <w:p>
      <w:pPr>
        <w:jc w:val="both"/>
        <w:rPr>
          <w:rFonts w:asciiTheme="minorHAnsi" w:hAnsiTheme="minorHAnsi" w:cstheme="minorHAnsi"/>
          <w:lang w:val="sr-Cyrl-CS"/>
        </w:rPr>
      </w:pPr>
      <w:r>
        <w:rPr>
          <w:rFonts w:asciiTheme="minorHAnsi" w:hAnsiTheme="minorHAnsi" w:cstheme="minorHAnsi"/>
          <w:lang w:val="sr-Cyrl-CS"/>
        </w:rPr>
        <w:t xml:space="preserve">Према подацима о проценту учешћа броја запослених у појединим дјелатностима у укупном броју запослених на подручју Града Бања Лука (2012-2016), највећи број радника запослен је у области трговине, у јавној управи, одбрани и осигурању и у прерађивачкој индустрији. У укупној структури запослених, учешће прерађивачке индустрије је веома неповољно у цјелокупном анализираном периоду (од 13,32% у 2012. до 11,87% у 2016.). Поред наведених водећих дјелатности с аспекта запошљавања, у посматраном периоду повећавају своје учешће грађевинарство (са 4,1 на 5,16%) и саобраћај  (са 3,57% у 2015. на 7,97% у 2016. години).  Детаљан преглед броја запослених на подручју града Бањалуке према дјелатностима, у периоду од 2012. до 2016. године, те индекс кретања броја запослених према дјелатностима у посљедњој години анализираног петогодишњег периода, дат је у дужој верзији ситуационе анализе, у прилогу Стратегије. </w:t>
      </w:r>
    </w:p>
    <w:p>
      <w:pPr>
        <w:jc w:val="both"/>
        <w:rPr>
          <w:rFonts w:asciiTheme="minorHAnsi" w:hAnsiTheme="minorHAnsi" w:cstheme="minorHAnsi"/>
          <w:lang w:val="sr-Cyrl-CS"/>
        </w:rPr>
      </w:pPr>
    </w:p>
    <w:tbl>
      <w:tblPr>
        <w:tblStyle w:val="37"/>
        <w:tblW w:w="9360"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3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rPr>
          <w:jc w:val="center"/>
        </w:trPr>
        <w:tc>
          <w:tcPr>
            <w:tcW w:w="9360" w:type="dxa"/>
            <w:shd w:val="clear" w:color="auto" w:fill="C5E0B3" w:themeFill="accent6" w:themeFillTint="66"/>
          </w:tcPr>
          <w:p>
            <w:pPr>
              <w:jc w:val="both"/>
              <w:rPr>
                <w:i/>
                <w:lang w:val="sr-Cyrl-RS"/>
              </w:rPr>
            </w:pPr>
            <w:r>
              <w:rPr>
                <w:i/>
                <w:lang w:val="sr-Cyrl-RS"/>
              </w:rPr>
              <w:t>Из података за 2016. годину је евидентно да само 11,87% запослених привређује у области прерађивачке индустрије, док остатак запослених претежно обавља услужне послове или ради у јавном сектору. Једно од стратешких опредјељења града Бања Лука, стога, свакако треба да буде повећање броја запослених у прерађивачкој индустрији.</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360" w:type="dxa"/>
            <w:shd w:val="clear" w:color="auto" w:fill="C5E0B3" w:themeFill="accent6" w:themeFillTint="66"/>
          </w:tcPr>
          <w:p>
            <w:pPr>
              <w:rPr>
                <w:i/>
              </w:rPr>
            </w:pPr>
          </w:p>
        </w:tc>
      </w:tr>
    </w:tbl>
    <w:p>
      <w:pPr>
        <w:pStyle w:val="133"/>
        <w:spacing w:before="0" w:after="0" w:line="240" w:lineRule="auto"/>
        <w:ind w:firstLine="0"/>
        <w:rPr>
          <w:rFonts w:asciiTheme="minorHAnsi" w:hAnsiTheme="minorHAnsi" w:cstheme="minorHAnsi"/>
          <w:b/>
          <w:szCs w:val="22"/>
          <w:lang w:val="sr-Cyrl-CS"/>
        </w:rPr>
      </w:pPr>
    </w:p>
    <w:p>
      <w:pPr>
        <w:pStyle w:val="133"/>
        <w:spacing w:before="0" w:after="0" w:line="240" w:lineRule="auto"/>
        <w:ind w:firstLine="0"/>
        <w:rPr>
          <w:rFonts w:asciiTheme="minorHAnsi" w:hAnsiTheme="minorHAnsi" w:cstheme="minorHAnsi"/>
          <w:szCs w:val="22"/>
          <w:lang w:val="sr-Latn-CS"/>
        </w:rPr>
      </w:pPr>
      <w:r>
        <w:rPr>
          <w:rFonts w:asciiTheme="minorHAnsi" w:hAnsiTheme="minorHAnsi" w:cstheme="minorHAnsi"/>
          <w:b/>
          <w:szCs w:val="22"/>
          <w:lang w:val="sr-Cyrl-CS"/>
        </w:rPr>
        <w:t xml:space="preserve">Тржиште рада. </w:t>
      </w:r>
      <w:r>
        <w:rPr>
          <w:rFonts w:asciiTheme="minorHAnsi" w:hAnsiTheme="minorHAnsi" w:cstheme="minorHAnsi"/>
          <w:szCs w:val="22"/>
          <w:lang w:val="sr-Cyrl-CS"/>
        </w:rPr>
        <w:t>Према подацима Бироа за запошљавање Бања Луке, на дан 31.12.201</w:t>
      </w:r>
      <w:r>
        <w:rPr>
          <w:rFonts w:asciiTheme="minorHAnsi" w:hAnsiTheme="minorHAnsi" w:cstheme="minorHAnsi"/>
          <w:szCs w:val="22"/>
          <w:lang w:val="sr-Latn-CS"/>
        </w:rPr>
        <w:t>6</w:t>
      </w:r>
      <w:r>
        <w:rPr>
          <w:rFonts w:asciiTheme="minorHAnsi" w:hAnsiTheme="minorHAnsi" w:cstheme="minorHAnsi"/>
          <w:szCs w:val="22"/>
          <w:lang w:val="sr-Cyrl-CS"/>
        </w:rPr>
        <w:t xml:space="preserve">. године активну понуду радне снаге на подручју града чинило је </w:t>
      </w:r>
      <w:r>
        <w:rPr>
          <w:rFonts w:asciiTheme="minorHAnsi" w:hAnsiTheme="minorHAnsi" w:cstheme="minorHAnsi"/>
          <w:bCs/>
          <w:szCs w:val="22"/>
          <w:lang w:val="sr-Cyrl-CS"/>
        </w:rPr>
        <w:t xml:space="preserve">14.192 </w:t>
      </w:r>
      <w:r>
        <w:rPr>
          <w:rFonts w:asciiTheme="minorHAnsi" w:hAnsiTheme="minorHAnsi" w:cstheme="minorHAnsi"/>
          <w:szCs w:val="22"/>
          <w:lang w:val="sr-Cyrl-CS"/>
        </w:rPr>
        <w:t xml:space="preserve">незапослена лица. Према евиденцији Бироа, у периоду јануар-децембар 2016. године по основу запослења брисано је с евиденције 6.360 незапослених лица, а у истом периоду евидентирано је новопријављених 6.427 лица, која траже запослење. У структури укупног броја активне понуде радне снаге, незапослених женског пола је 52,8%, а мушкараца је 47,2%. У старосној структури незапослених лица, 60,5% чине незапослени животне доби од 30 до 55 година. Посматрајући квалификациону структуру активне понуде радне снаге, највеће учешће од 32,4% имају незапослена лица техничари средње стручне спреме, а затим слиједе незапослени квалификовани радници с учешћем од 29,4%. </w:t>
      </w:r>
    </w:p>
    <w:p>
      <w:pPr>
        <w:jc w:val="both"/>
        <w:rPr>
          <w:rFonts w:asciiTheme="minorHAnsi" w:hAnsiTheme="minorHAnsi" w:cstheme="minorHAnsi"/>
          <w:lang w:val="sr-Latn-CS"/>
        </w:rPr>
      </w:pPr>
    </w:p>
    <w:p>
      <w:pPr>
        <w:jc w:val="both"/>
        <w:rPr>
          <w:rFonts w:asciiTheme="minorHAnsi" w:hAnsiTheme="minorHAnsi" w:cstheme="minorHAnsi"/>
          <w:color w:val="FF0000"/>
          <w:lang w:val="sr-Latn-CS"/>
        </w:rPr>
      </w:pPr>
      <w:r>
        <w:rPr>
          <w:rFonts w:asciiTheme="minorHAnsi" w:hAnsiTheme="minorHAnsi" w:cstheme="minorHAnsi"/>
          <w:lang w:val="sr-Cyrl-CS"/>
        </w:rPr>
        <w:t xml:space="preserve">У периоду од 2012. до 2016. године, на подручју Бањалуке путем  Бироа за запошљавање евидентирано је од 18.315 незапослених лица (активна понуда радне снаге) у 2012. години, до 16.273 незапослена лица у 2016. години, с тенденцијом константног опадања броја незапослених у годинама посматраног периода. Учешће броја незапослених лица на подручју Бањалуке, у укупном броју незапослених на нивоу Републике Српске кретало се од 11,27% у 2016. години до 12,33% у 2014. години, што представља позитиван показатељ, уколико се у истом периоду посматра учешће броја становника и броја запослених Бањалуке у истим показатељима за ниво Републике Српске.  </w:t>
      </w:r>
    </w:p>
    <w:p>
      <w:pPr>
        <w:jc w:val="both"/>
        <w:rPr>
          <w:rFonts w:asciiTheme="minorHAnsi" w:hAnsiTheme="minorHAnsi" w:cstheme="minorHAnsi"/>
          <w:lang w:val="sr-Latn-CS"/>
        </w:rPr>
      </w:pPr>
    </w:p>
    <w:p>
      <w:pPr>
        <w:jc w:val="both"/>
        <w:rPr>
          <w:rFonts w:asciiTheme="minorHAnsi" w:hAnsiTheme="minorHAnsi" w:cstheme="minorHAnsi"/>
          <w:lang w:val="sr-Latn-CS"/>
        </w:rPr>
      </w:pPr>
      <w:r>
        <w:rPr>
          <w:rFonts w:asciiTheme="minorHAnsi" w:hAnsiTheme="minorHAnsi" w:cstheme="minorHAnsi"/>
          <w:lang w:val="sr-Cyrl-CS"/>
        </w:rPr>
        <w:t>Просјечне негативне стопе раста броја незапослених за посматрани петогодишњи период  износе од  -3,89% за ниво Републике Српске и -5,17% за кретање незапослених лица на подручју града Бањалуке. У периоду 2012-2016. године уочава се да учешће неквалификованих, полуквалификованих, квалификованих и висококвалификованих радника опада, учешће средње и више стручне спреме је сасвим уједначено у посматраном петогодишњем периоду, док из године у годину расте учешће високе стручне спреме, магистара и доктора наука. Наведена констатација је од посебног значаја за конципирање уписне политике и планова запошљавања, нарочито стога што је на бањалучком тржишту рада у дужем временском периоду изражен недостатак одређених профила занимања и заната.</w:t>
      </w:r>
    </w:p>
    <w:p>
      <w:pPr>
        <w:jc w:val="both"/>
        <w:rPr>
          <w:rFonts w:asciiTheme="minorHAnsi" w:hAnsiTheme="minorHAnsi" w:cstheme="minorHAnsi"/>
          <w:lang w:val="sr-Latn-CS"/>
        </w:rPr>
      </w:pPr>
    </w:p>
    <w:p>
      <w:pPr>
        <w:jc w:val="both"/>
        <w:rPr>
          <w:rFonts w:asciiTheme="minorHAnsi" w:hAnsiTheme="minorHAnsi" w:cstheme="minorHAnsi"/>
          <w:lang w:val="sr-Cyrl-CS"/>
        </w:rPr>
      </w:pPr>
      <w:r>
        <w:rPr>
          <w:rFonts w:asciiTheme="minorHAnsi" w:hAnsiTheme="minorHAnsi" w:cstheme="minorHAnsi"/>
          <w:lang w:val="sr-Cyrl-CS"/>
        </w:rPr>
        <w:t xml:space="preserve">С аспекта полне структуре незапослених лица на подручју Бања Луке, у периоду од 2012. до 2016. године, уочен је тренд опадања броја незапослених лица мушког пола, почев од 2012. године, уз истовремено повећање учешћа незапослених лица женског пола, тако да су у 2016. години незапослена лица мушког пола учествовала са 47,17%, а женског пола са 52,83%. </w:t>
      </w:r>
    </w:p>
    <w:p>
      <w:pPr>
        <w:jc w:val="both"/>
        <w:rPr>
          <w:rFonts w:asciiTheme="minorHAnsi" w:hAnsiTheme="minorHAnsi" w:cstheme="minorHAnsi"/>
          <w:lang w:val="sr-Cyrl-CS"/>
        </w:rPr>
      </w:pPr>
    </w:p>
    <w:p>
      <w:pPr>
        <w:jc w:val="both"/>
        <w:rPr>
          <w:rFonts w:asciiTheme="minorHAnsi" w:hAnsiTheme="minorHAnsi" w:cstheme="minorHAnsi"/>
          <w:b/>
          <w:lang w:val="sr-Cyrl-CS"/>
        </w:rPr>
      </w:pPr>
      <w:r>
        <w:rPr>
          <w:rFonts w:asciiTheme="minorHAnsi" w:hAnsiTheme="minorHAnsi" w:cstheme="minorHAnsi"/>
          <w:lang w:val="sr-Cyrl-CS"/>
        </w:rPr>
        <w:t>Старосна структура незапослених лица с подручја Бањалуке у периоду од 2012. до 2016. године показује изненађујуће податке о највећем учешћу, с тенденцијом повећања из године у годину, незапослених лица животне доби од 50 до 60 година (од 21,24 до 22,91%). Учешће незапослених животне доби од 24 до 30 година креће се од 15,83% до 18,22%. Учешће незапослених животне доби од 30 до 35 година креће се од 12,37% до 13,16%. Старосне категорије незапослених лица од 35-40 година, од 40-45 година и од 45-50 година партиципирају уједначено, с учешћем у петогодишњем периоду између 11 и 12% у укупном броју незапослених лица.</w:t>
      </w:r>
      <w:r>
        <w:rPr>
          <w:rFonts w:asciiTheme="minorHAnsi" w:hAnsiTheme="minorHAnsi" w:cstheme="minorHAnsi"/>
          <w:b/>
          <w:lang w:val="sr-Cyrl-CS"/>
        </w:rPr>
        <w:t xml:space="preserve"> </w:t>
      </w:r>
    </w:p>
    <w:p>
      <w:pPr>
        <w:jc w:val="both"/>
        <w:rPr>
          <w:rFonts w:asciiTheme="minorHAnsi" w:hAnsiTheme="minorHAnsi" w:cstheme="minorHAnsi"/>
          <w:lang w:val="sr-Cyrl-CS"/>
        </w:rPr>
      </w:pPr>
    </w:p>
    <w:p>
      <w:pPr>
        <w:jc w:val="both"/>
        <w:rPr>
          <w:rFonts w:asciiTheme="minorHAnsi" w:hAnsiTheme="minorHAnsi" w:cstheme="minorHAnsi"/>
          <w:lang w:val="sr-Cyrl-CS"/>
        </w:rPr>
      </w:pPr>
      <w:r>
        <w:rPr>
          <w:rFonts w:asciiTheme="minorHAnsi" w:hAnsiTheme="minorHAnsi" w:cstheme="minorHAnsi"/>
          <w:lang w:val="sr-Cyrl-CS"/>
        </w:rPr>
        <w:t xml:space="preserve">Стање незапослених лица према образовној, полној и старосној структури активне понуде радне снаге Бањалука у периоду од 2012. до 2016. године, као и учешће појединих структура у укупном броју незапослених лица на подручју града Бањалуке дато је у табели у дужој верзији ситуационе анализе.  </w:t>
      </w:r>
    </w:p>
    <w:p>
      <w:pPr>
        <w:jc w:val="both"/>
        <w:rPr>
          <w:rFonts w:asciiTheme="minorHAnsi" w:hAnsiTheme="minorHAnsi" w:cstheme="minorHAnsi"/>
          <w:lang w:val="sr-Latn-CS"/>
        </w:rPr>
      </w:pPr>
    </w:p>
    <w:p>
      <w:pPr>
        <w:jc w:val="both"/>
        <w:rPr>
          <w:rFonts w:asciiTheme="minorHAnsi" w:hAnsiTheme="minorHAnsi" w:cstheme="minorHAnsi"/>
          <w:lang w:val="sr-Cyrl-CS"/>
        </w:rPr>
      </w:pPr>
      <w:r>
        <w:rPr>
          <w:rFonts w:asciiTheme="minorHAnsi" w:hAnsiTheme="minorHAnsi" w:cstheme="minorHAnsi"/>
          <w:lang w:val="sr-Cyrl-CS"/>
        </w:rPr>
        <w:t>Рачунајући административну стопу незапослености као однос броја незапослених лица (активна понуда радне снаге) и збира запослених и незапослених лица, у сљедећем прегледу представљене су стопе незапослености у периоду 2012-2016. година на нивоу Републике Српске и града Бањалуке. Почев од 2012. године, стопе незапослености опадају и на нивоу Републике Српске  (од 39,18 до 33,20%) и града Бањалуке (од 23,29 до 17,85%), с тим да су исказане стопе за град Бањалуку знатно ниже, а тиме и повољније, у односу на стање незапослености на нивоу Републике Српске.</w:t>
      </w:r>
    </w:p>
    <w:p>
      <w:pPr>
        <w:jc w:val="both"/>
        <w:rPr>
          <w:rFonts w:asciiTheme="minorHAnsi" w:hAnsiTheme="minorHAnsi" w:cstheme="minorHAnsi"/>
          <w:lang w:val="sr-Cyrl-CS"/>
        </w:rPr>
      </w:pPr>
    </w:p>
    <w:tbl>
      <w:tblPr>
        <w:tblStyle w:val="36"/>
        <w:tblW w:w="9500" w:type="dxa"/>
        <w:jc w:val="center"/>
        <w:tblInd w:w="0" w:type="dxa"/>
        <w:tblLayout w:type="fixed"/>
        <w:tblCellMar>
          <w:top w:w="0" w:type="dxa"/>
          <w:left w:w="70" w:type="dxa"/>
          <w:bottom w:w="0" w:type="dxa"/>
          <w:right w:w="70" w:type="dxa"/>
        </w:tblCellMar>
      </w:tblPr>
      <w:tblGrid>
        <w:gridCol w:w="902"/>
        <w:gridCol w:w="1607"/>
        <w:gridCol w:w="1294"/>
        <w:gridCol w:w="1294"/>
        <w:gridCol w:w="1670"/>
        <w:gridCol w:w="1378"/>
        <w:gridCol w:w="1355"/>
      </w:tblGrid>
      <w:tr>
        <w:tblPrEx>
          <w:tblLayout w:type="fixed"/>
          <w:tblCellMar>
            <w:top w:w="0" w:type="dxa"/>
            <w:left w:w="70" w:type="dxa"/>
            <w:bottom w:w="0" w:type="dxa"/>
            <w:right w:w="70" w:type="dxa"/>
          </w:tblCellMar>
        </w:tblPrEx>
        <w:trPr>
          <w:trHeight w:val="300" w:hRule="atLeast"/>
          <w:jc w:val="center"/>
        </w:trPr>
        <w:tc>
          <w:tcPr>
            <w:tcW w:w="902" w:type="dxa"/>
            <w:vMerge w:val="restart"/>
            <w:tcBorders>
              <w:top w:val="single" w:color="auto" w:sz="4" w:space="0"/>
              <w:left w:val="single" w:color="auto" w:sz="4" w:space="0"/>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Година</w:t>
            </w:r>
          </w:p>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 </w:t>
            </w:r>
          </w:p>
        </w:tc>
        <w:tc>
          <w:tcPr>
            <w:tcW w:w="2901" w:type="dxa"/>
            <w:gridSpan w:val="2"/>
            <w:tcBorders>
              <w:top w:val="single" w:color="auto" w:sz="4" w:space="0"/>
              <w:left w:val="nil"/>
              <w:bottom w:val="single" w:color="auto" w:sz="4" w:space="0"/>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Број запослених</w:t>
            </w:r>
          </w:p>
        </w:tc>
        <w:tc>
          <w:tcPr>
            <w:tcW w:w="2964" w:type="dxa"/>
            <w:gridSpan w:val="2"/>
            <w:tcBorders>
              <w:top w:val="single" w:color="auto" w:sz="4" w:space="0"/>
              <w:left w:val="nil"/>
              <w:bottom w:val="single" w:color="auto" w:sz="4" w:space="0"/>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Број незапослених</w:t>
            </w:r>
          </w:p>
        </w:tc>
        <w:tc>
          <w:tcPr>
            <w:tcW w:w="2733" w:type="dxa"/>
            <w:gridSpan w:val="2"/>
            <w:tcBorders>
              <w:top w:val="single" w:color="auto" w:sz="4" w:space="0"/>
              <w:left w:val="nil"/>
              <w:bottom w:val="single" w:color="auto" w:sz="4" w:space="0"/>
              <w:right w:val="single" w:color="000000"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Стопе незапослености</w:t>
            </w:r>
          </w:p>
        </w:tc>
      </w:tr>
      <w:tr>
        <w:tblPrEx>
          <w:tblLayout w:type="fixed"/>
          <w:tblCellMar>
            <w:top w:w="0" w:type="dxa"/>
            <w:left w:w="70" w:type="dxa"/>
            <w:bottom w:w="0" w:type="dxa"/>
            <w:right w:w="70" w:type="dxa"/>
          </w:tblCellMar>
        </w:tblPrEx>
        <w:trPr>
          <w:trHeight w:val="570" w:hRule="atLeast"/>
          <w:jc w:val="center"/>
        </w:trPr>
        <w:tc>
          <w:tcPr>
            <w:tcW w:w="902" w:type="dxa"/>
            <w:vMerge w:val="continue"/>
            <w:tcBorders>
              <w:left w:val="single" w:color="auto" w:sz="4" w:space="0"/>
              <w:bottom w:val="single" w:color="auto" w:sz="4" w:space="0"/>
              <w:right w:val="single" w:color="auto" w:sz="4" w:space="0"/>
            </w:tcBorders>
            <w:shd w:val="clear" w:color="auto" w:fill="A8D08D" w:themeFill="accent6" w:themeFillTint="99"/>
            <w:vAlign w:val="center"/>
          </w:tcPr>
          <w:p>
            <w:pPr>
              <w:jc w:val="center"/>
              <w:rPr>
                <w:rFonts w:eastAsia="Times New Roman" w:asciiTheme="minorHAnsi" w:hAnsiTheme="minorHAnsi" w:cstheme="minorHAnsi"/>
                <w:b/>
                <w:bCs/>
                <w:color w:val="000000"/>
                <w:lang w:eastAsia="sr-Latn-CS"/>
              </w:rPr>
            </w:pPr>
          </w:p>
        </w:tc>
        <w:tc>
          <w:tcPr>
            <w:tcW w:w="1607" w:type="dxa"/>
            <w:tcBorders>
              <w:top w:val="nil"/>
              <w:left w:val="nil"/>
              <w:bottom w:val="single" w:color="auto" w:sz="4" w:space="0"/>
              <w:right w:val="single" w:color="auto" w:sz="4" w:space="0"/>
            </w:tcBorders>
            <w:shd w:val="clear" w:color="auto" w:fill="A8D08D" w:themeFill="accent6" w:themeFillTint="99"/>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Република Српска</w:t>
            </w:r>
          </w:p>
        </w:tc>
        <w:tc>
          <w:tcPr>
            <w:tcW w:w="1294" w:type="dxa"/>
            <w:tcBorders>
              <w:top w:val="nil"/>
              <w:left w:val="nil"/>
              <w:bottom w:val="single" w:color="auto" w:sz="4" w:space="0"/>
              <w:right w:val="single" w:color="auto" w:sz="4" w:space="0"/>
            </w:tcBorders>
            <w:shd w:val="clear" w:color="auto" w:fill="A8D08D" w:themeFill="accent6" w:themeFillTint="99"/>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Бањалука</w:t>
            </w:r>
          </w:p>
        </w:tc>
        <w:tc>
          <w:tcPr>
            <w:tcW w:w="1294" w:type="dxa"/>
            <w:tcBorders>
              <w:top w:val="nil"/>
              <w:left w:val="nil"/>
              <w:bottom w:val="single" w:color="auto" w:sz="4" w:space="0"/>
              <w:right w:val="single" w:color="auto" w:sz="4" w:space="0"/>
            </w:tcBorders>
            <w:shd w:val="clear" w:color="auto" w:fill="A8D08D" w:themeFill="accent6" w:themeFillTint="99"/>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Република Српска</w:t>
            </w:r>
          </w:p>
        </w:tc>
        <w:tc>
          <w:tcPr>
            <w:tcW w:w="1670" w:type="dxa"/>
            <w:tcBorders>
              <w:top w:val="nil"/>
              <w:left w:val="nil"/>
              <w:bottom w:val="single" w:color="auto" w:sz="4" w:space="0"/>
              <w:right w:val="single" w:color="auto" w:sz="4" w:space="0"/>
            </w:tcBorders>
            <w:shd w:val="clear" w:color="auto" w:fill="A8D08D" w:themeFill="accent6" w:themeFillTint="99"/>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Бањалука</w:t>
            </w:r>
          </w:p>
        </w:tc>
        <w:tc>
          <w:tcPr>
            <w:tcW w:w="1378" w:type="dxa"/>
            <w:tcBorders>
              <w:top w:val="nil"/>
              <w:left w:val="nil"/>
              <w:bottom w:val="single" w:color="auto" w:sz="4" w:space="0"/>
              <w:right w:val="single" w:color="auto" w:sz="4" w:space="0"/>
            </w:tcBorders>
            <w:shd w:val="clear" w:color="auto" w:fill="A8D08D" w:themeFill="accent6" w:themeFillTint="99"/>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Република Српска</w:t>
            </w:r>
          </w:p>
        </w:tc>
        <w:tc>
          <w:tcPr>
            <w:tcW w:w="1355" w:type="dxa"/>
            <w:tcBorders>
              <w:top w:val="nil"/>
              <w:left w:val="nil"/>
              <w:bottom w:val="single" w:color="auto" w:sz="4" w:space="0"/>
              <w:right w:val="single" w:color="auto" w:sz="4" w:space="0"/>
            </w:tcBorders>
            <w:shd w:val="clear" w:color="auto" w:fill="A8D08D" w:themeFill="accent6" w:themeFillTint="99"/>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Бањалука</w:t>
            </w:r>
          </w:p>
        </w:tc>
      </w:tr>
      <w:tr>
        <w:tblPrEx>
          <w:tblLayout w:type="fixed"/>
          <w:tblCellMar>
            <w:top w:w="0" w:type="dxa"/>
            <w:left w:w="70" w:type="dxa"/>
            <w:bottom w:w="0" w:type="dxa"/>
            <w:right w:w="70" w:type="dxa"/>
          </w:tblCellMar>
        </w:tblPrEx>
        <w:trPr>
          <w:trHeight w:val="300" w:hRule="atLeast"/>
          <w:jc w:val="center"/>
        </w:trPr>
        <w:tc>
          <w:tcPr>
            <w:tcW w:w="902"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2012</w:t>
            </w:r>
          </w:p>
        </w:tc>
        <w:tc>
          <w:tcPr>
            <w:tcW w:w="1607"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238.178</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60.320</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153.458</w:t>
            </w:r>
          </w:p>
        </w:tc>
        <w:tc>
          <w:tcPr>
            <w:tcW w:w="1670"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18.315</w:t>
            </w:r>
          </w:p>
        </w:tc>
        <w:tc>
          <w:tcPr>
            <w:tcW w:w="1378"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39,18</w:t>
            </w:r>
          </w:p>
        </w:tc>
        <w:tc>
          <w:tcPr>
            <w:tcW w:w="1355"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23,29</w:t>
            </w:r>
          </w:p>
        </w:tc>
      </w:tr>
      <w:tr>
        <w:tblPrEx>
          <w:tblLayout w:type="fixed"/>
          <w:tblCellMar>
            <w:top w:w="0" w:type="dxa"/>
            <w:left w:w="70" w:type="dxa"/>
            <w:bottom w:w="0" w:type="dxa"/>
            <w:right w:w="70" w:type="dxa"/>
          </w:tblCellMar>
        </w:tblPrEx>
        <w:trPr>
          <w:trHeight w:val="300" w:hRule="atLeast"/>
          <w:jc w:val="center"/>
        </w:trPr>
        <w:tc>
          <w:tcPr>
            <w:tcW w:w="902"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2013</w:t>
            </w:r>
          </w:p>
        </w:tc>
        <w:tc>
          <w:tcPr>
            <w:tcW w:w="1607"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238.640</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61.470</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149.284</w:t>
            </w:r>
          </w:p>
        </w:tc>
        <w:tc>
          <w:tcPr>
            <w:tcW w:w="1670"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18.205</w:t>
            </w:r>
          </w:p>
        </w:tc>
        <w:tc>
          <w:tcPr>
            <w:tcW w:w="1378"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38,48</w:t>
            </w:r>
          </w:p>
        </w:tc>
        <w:tc>
          <w:tcPr>
            <w:tcW w:w="1355"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22,85</w:t>
            </w:r>
          </w:p>
        </w:tc>
      </w:tr>
      <w:tr>
        <w:tblPrEx>
          <w:tblLayout w:type="fixed"/>
          <w:tblCellMar>
            <w:top w:w="0" w:type="dxa"/>
            <w:left w:w="70" w:type="dxa"/>
            <w:bottom w:w="0" w:type="dxa"/>
            <w:right w:w="70" w:type="dxa"/>
          </w:tblCellMar>
        </w:tblPrEx>
        <w:trPr>
          <w:trHeight w:val="300" w:hRule="atLeast"/>
          <w:jc w:val="center"/>
        </w:trPr>
        <w:tc>
          <w:tcPr>
            <w:tcW w:w="902"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2014</w:t>
            </w:r>
          </w:p>
        </w:tc>
        <w:tc>
          <w:tcPr>
            <w:tcW w:w="1607"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241.544</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61.820</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142.675</w:t>
            </w:r>
          </w:p>
        </w:tc>
        <w:tc>
          <w:tcPr>
            <w:tcW w:w="1670"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17.598</w:t>
            </w:r>
          </w:p>
        </w:tc>
        <w:tc>
          <w:tcPr>
            <w:tcW w:w="1378"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37,13</w:t>
            </w:r>
          </w:p>
        </w:tc>
        <w:tc>
          <w:tcPr>
            <w:tcW w:w="1355"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22,16</w:t>
            </w:r>
          </w:p>
        </w:tc>
      </w:tr>
      <w:tr>
        <w:tblPrEx>
          <w:tblLayout w:type="fixed"/>
          <w:tblCellMar>
            <w:top w:w="0" w:type="dxa"/>
            <w:left w:w="70" w:type="dxa"/>
            <w:bottom w:w="0" w:type="dxa"/>
            <w:right w:w="70" w:type="dxa"/>
          </w:tblCellMar>
        </w:tblPrEx>
        <w:trPr>
          <w:trHeight w:val="300" w:hRule="atLeast"/>
          <w:jc w:val="center"/>
        </w:trPr>
        <w:tc>
          <w:tcPr>
            <w:tcW w:w="902"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2015</w:t>
            </w:r>
          </w:p>
        </w:tc>
        <w:tc>
          <w:tcPr>
            <w:tcW w:w="1607"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245.975</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63.677</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135.585</w:t>
            </w:r>
          </w:p>
        </w:tc>
        <w:tc>
          <w:tcPr>
            <w:tcW w:w="1670"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16.273</w:t>
            </w:r>
          </w:p>
        </w:tc>
        <w:tc>
          <w:tcPr>
            <w:tcW w:w="1378"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35,53</w:t>
            </w:r>
          </w:p>
        </w:tc>
        <w:tc>
          <w:tcPr>
            <w:tcW w:w="1355"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20,35</w:t>
            </w:r>
          </w:p>
        </w:tc>
      </w:tr>
      <w:tr>
        <w:tblPrEx>
          <w:tblLayout w:type="fixed"/>
          <w:tblCellMar>
            <w:top w:w="0" w:type="dxa"/>
            <w:left w:w="70" w:type="dxa"/>
            <w:bottom w:w="0" w:type="dxa"/>
            <w:right w:w="70" w:type="dxa"/>
          </w:tblCellMar>
        </w:tblPrEx>
        <w:trPr>
          <w:trHeight w:val="300" w:hRule="atLeast"/>
          <w:jc w:val="center"/>
        </w:trPr>
        <w:tc>
          <w:tcPr>
            <w:tcW w:w="902"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2016</w:t>
            </w:r>
          </w:p>
        </w:tc>
        <w:tc>
          <w:tcPr>
            <w:tcW w:w="1607"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253.305</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65.330</w:t>
            </w:r>
          </w:p>
        </w:tc>
        <w:tc>
          <w:tcPr>
            <w:tcW w:w="1294"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125.906</w:t>
            </w:r>
          </w:p>
        </w:tc>
        <w:tc>
          <w:tcPr>
            <w:tcW w:w="1670"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14.192</w:t>
            </w:r>
          </w:p>
        </w:tc>
        <w:tc>
          <w:tcPr>
            <w:tcW w:w="1378"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33,20</w:t>
            </w:r>
          </w:p>
        </w:tc>
        <w:tc>
          <w:tcPr>
            <w:tcW w:w="1355"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eastAsia="sr-Latn-CS"/>
              </w:rPr>
              <w:t>17,85</w:t>
            </w:r>
          </w:p>
        </w:tc>
      </w:tr>
    </w:tbl>
    <w:p>
      <w:pPr>
        <w:rPr>
          <w:rFonts w:asciiTheme="minorHAnsi" w:hAnsiTheme="minorHAnsi" w:cstheme="minorHAnsi"/>
          <w:b/>
          <w:lang w:val="sr-Cyrl-CS"/>
        </w:rPr>
      </w:pPr>
      <w:r>
        <w:rPr>
          <w:rFonts w:asciiTheme="minorHAnsi" w:hAnsiTheme="minorHAnsi" w:cstheme="minorHAnsi"/>
          <w:i/>
          <w:lang w:val="sr-Cyrl-CS"/>
        </w:rPr>
        <w:t>Извор: Републички завод за статистику, Биро за запошљавање</w:t>
      </w:r>
    </w:p>
    <w:p>
      <w:pPr>
        <w:pStyle w:val="133"/>
        <w:spacing w:before="0" w:after="0" w:line="240" w:lineRule="auto"/>
        <w:ind w:firstLine="0"/>
        <w:rPr>
          <w:rFonts w:asciiTheme="minorHAnsi" w:hAnsiTheme="minorHAnsi" w:cstheme="minorHAnsi"/>
          <w:szCs w:val="22"/>
          <w:lang w:val="sr-Cyrl-CS"/>
        </w:rPr>
      </w:pPr>
    </w:p>
    <w:p>
      <w:pPr>
        <w:pStyle w:val="133"/>
        <w:spacing w:before="0" w:after="0" w:line="240" w:lineRule="auto"/>
        <w:ind w:firstLine="0"/>
        <w:jc w:val="center"/>
        <w:rPr>
          <w:rFonts w:asciiTheme="minorHAnsi" w:hAnsiTheme="minorHAnsi" w:cstheme="minorHAnsi"/>
          <w:szCs w:val="22"/>
          <w:lang w:val="sr-Cyrl-CS"/>
        </w:rPr>
      </w:pPr>
      <w:r>
        <w:rPr>
          <w:lang w:val="sr-Latn-CS" w:eastAsia="sr-Latn-CS"/>
        </w:rPr>
        <w:drawing>
          <wp:inline distT="0" distB="0" distL="0" distR="0">
            <wp:extent cx="4572000" cy="2527935"/>
            <wp:effectExtent l="0" t="0" r="0" b="57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rFonts w:asciiTheme="minorHAnsi" w:hAnsiTheme="minorHAnsi" w:cstheme="minorHAnsi"/>
          <w:b/>
          <w:lang w:val="sr-Latn-CS"/>
        </w:rPr>
      </w:pPr>
      <w:r>
        <w:rPr>
          <w:rFonts w:asciiTheme="minorHAnsi" w:hAnsiTheme="minorHAnsi" w:cstheme="minorHAnsi"/>
          <w:i/>
          <w:lang w:val="sr-Cyrl-CS"/>
        </w:rPr>
        <w:t xml:space="preserve">                     Извор: Републички завод за статистику, Биро за запошљавање</w:t>
      </w:r>
    </w:p>
    <w:p>
      <w:pPr>
        <w:pStyle w:val="133"/>
        <w:spacing w:before="0" w:after="0" w:line="240" w:lineRule="auto"/>
        <w:ind w:firstLine="0"/>
        <w:rPr>
          <w:rFonts w:asciiTheme="minorHAnsi" w:hAnsiTheme="minorHAnsi" w:cstheme="minorHAnsi"/>
          <w:b/>
          <w:szCs w:val="22"/>
          <w:lang w:val="sr-Cyrl-CS"/>
        </w:rPr>
      </w:pPr>
    </w:p>
    <w:p>
      <w:pPr>
        <w:pStyle w:val="133"/>
        <w:spacing w:before="0" w:after="0" w:line="240" w:lineRule="auto"/>
        <w:ind w:firstLine="0"/>
        <w:rPr>
          <w:rFonts w:asciiTheme="minorHAnsi" w:hAnsiTheme="minorHAnsi" w:cstheme="minorHAnsi"/>
          <w:szCs w:val="22"/>
          <w:lang w:val="sr-Cyrl-CS"/>
        </w:rPr>
      </w:pPr>
      <w:r>
        <w:rPr>
          <w:rFonts w:asciiTheme="minorHAnsi" w:hAnsiTheme="minorHAnsi" w:cstheme="minorHAnsi"/>
          <w:b/>
          <w:szCs w:val="22"/>
          <w:lang w:val="sr-Cyrl-CS"/>
        </w:rPr>
        <w:t xml:space="preserve">Пензионери. </w:t>
      </w:r>
      <w:r>
        <w:rPr>
          <w:rFonts w:asciiTheme="minorHAnsi" w:hAnsiTheme="minorHAnsi" w:cstheme="minorHAnsi"/>
          <w:szCs w:val="22"/>
          <w:lang w:val="sr-Cyrl-CS"/>
        </w:rPr>
        <w:t>У сљедећем табеларном прегледу представљени су подаци о броју пензионера на нивоу Републике Српске и града Бањалуке, те учешће броја бањалучких пензионера у укупном броју пензионера Републике Српске у периоду од 2012. до 2016. године:</w:t>
      </w:r>
    </w:p>
    <w:p>
      <w:pPr>
        <w:pStyle w:val="133"/>
        <w:spacing w:before="0" w:after="0" w:line="240" w:lineRule="auto"/>
        <w:ind w:firstLine="0"/>
        <w:rPr>
          <w:rFonts w:asciiTheme="minorHAnsi" w:hAnsiTheme="minorHAnsi" w:cstheme="minorHAnsi"/>
          <w:szCs w:val="22"/>
          <w:lang w:val="sr-Cyrl-CS"/>
        </w:rPr>
      </w:pPr>
    </w:p>
    <w:tbl>
      <w:tblPr>
        <w:tblStyle w:val="36"/>
        <w:tblW w:w="9500" w:type="dxa"/>
        <w:jc w:val="center"/>
        <w:tblInd w:w="0" w:type="dxa"/>
        <w:tblLayout w:type="fixed"/>
        <w:tblCellMar>
          <w:top w:w="0" w:type="dxa"/>
          <w:left w:w="70" w:type="dxa"/>
          <w:bottom w:w="0" w:type="dxa"/>
          <w:right w:w="70" w:type="dxa"/>
        </w:tblCellMar>
      </w:tblPr>
      <w:tblGrid>
        <w:gridCol w:w="1387"/>
        <w:gridCol w:w="2326"/>
        <w:gridCol w:w="1761"/>
        <w:gridCol w:w="2742"/>
        <w:gridCol w:w="1284"/>
      </w:tblGrid>
      <w:tr>
        <w:tblPrEx>
          <w:tblLayout w:type="fixed"/>
          <w:tblCellMar>
            <w:top w:w="0" w:type="dxa"/>
            <w:left w:w="70" w:type="dxa"/>
            <w:bottom w:w="0" w:type="dxa"/>
            <w:right w:w="70" w:type="dxa"/>
          </w:tblCellMar>
        </w:tblPrEx>
        <w:trPr>
          <w:trHeight w:val="323" w:hRule="atLeast"/>
          <w:jc w:val="center"/>
        </w:trPr>
        <w:tc>
          <w:tcPr>
            <w:tcW w:w="1387" w:type="dxa"/>
            <w:vMerge w:val="restart"/>
            <w:tcBorders>
              <w:top w:val="single" w:color="auto" w:sz="4" w:space="0"/>
              <w:left w:val="single" w:color="auto" w:sz="4" w:space="0"/>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 xml:space="preserve">Година </w:t>
            </w:r>
          </w:p>
        </w:tc>
        <w:tc>
          <w:tcPr>
            <w:tcW w:w="4087" w:type="dxa"/>
            <w:gridSpan w:val="2"/>
            <w:tcBorders>
              <w:top w:val="single" w:color="auto" w:sz="4" w:space="0"/>
              <w:left w:val="nil"/>
              <w:bottom w:val="single" w:color="auto" w:sz="4" w:space="0"/>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val="sr-Cyrl-CS" w:eastAsia="sr-Latn-CS"/>
              </w:rPr>
            </w:pPr>
            <w:r>
              <w:rPr>
                <w:rFonts w:eastAsia="Times New Roman" w:asciiTheme="minorHAnsi" w:hAnsiTheme="minorHAnsi" w:cstheme="minorHAnsi"/>
                <w:b/>
                <w:bCs/>
                <w:color w:val="000000"/>
                <w:lang w:val="sr-Cyrl-CS" w:eastAsia="sr-Latn-CS"/>
              </w:rPr>
              <w:t>Број пензионера</w:t>
            </w:r>
          </w:p>
        </w:tc>
        <w:tc>
          <w:tcPr>
            <w:tcW w:w="2742" w:type="dxa"/>
            <w:vMerge w:val="restart"/>
            <w:tcBorders>
              <w:top w:val="single" w:color="auto" w:sz="4" w:space="0"/>
              <w:left w:val="nil"/>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val="sr-Cyrl-CS" w:eastAsia="sr-Latn-CS"/>
              </w:rPr>
            </w:pPr>
            <w:r>
              <w:rPr>
                <w:rFonts w:eastAsia="Times New Roman" w:asciiTheme="minorHAnsi" w:hAnsiTheme="minorHAnsi" w:cstheme="minorHAnsi"/>
                <w:b/>
                <w:bCs/>
                <w:color w:val="000000"/>
                <w:lang w:val="sr-Cyrl-CS" w:eastAsia="sr-Latn-CS"/>
              </w:rPr>
              <w:t>Ланчани индекс Бањалука</w:t>
            </w:r>
          </w:p>
        </w:tc>
        <w:tc>
          <w:tcPr>
            <w:tcW w:w="1284" w:type="dxa"/>
            <w:vMerge w:val="restart"/>
            <w:tcBorders>
              <w:top w:val="single" w:color="auto" w:sz="4" w:space="0"/>
              <w:left w:val="nil"/>
              <w:right w:val="single" w:color="auto" w:sz="4" w:space="0"/>
            </w:tcBorders>
            <w:shd w:val="clear" w:color="auto" w:fill="A8D08D" w:themeFill="accent6" w:themeFillTint="99"/>
          </w:tcPr>
          <w:p>
            <w:pPr>
              <w:jc w:val="center"/>
              <w:rPr>
                <w:rFonts w:eastAsia="Times New Roman" w:asciiTheme="minorHAnsi" w:hAnsiTheme="minorHAnsi" w:cstheme="minorHAnsi"/>
                <w:b/>
                <w:bCs/>
                <w:color w:val="000000"/>
                <w:lang w:val="sr-Cyrl-CS" w:eastAsia="sr-Latn-CS"/>
              </w:rPr>
            </w:pPr>
            <w:r>
              <w:rPr>
                <w:rFonts w:eastAsia="Times New Roman" w:asciiTheme="minorHAnsi" w:hAnsiTheme="minorHAnsi" w:cstheme="minorHAnsi"/>
                <w:b/>
                <w:bCs/>
                <w:color w:val="000000"/>
                <w:lang w:val="sr-Cyrl-CS" w:eastAsia="sr-Latn-CS"/>
              </w:rPr>
              <w:t>Учешће у РС у %</w:t>
            </w:r>
          </w:p>
        </w:tc>
      </w:tr>
      <w:tr>
        <w:tblPrEx>
          <w:tblLayout w:type="fixed"/>
          <w:tblCellMar>
            <w:top w:w="0" w:type="dxa"/>
            <w:left w:w="70" w:type="dxa"/>
            <w:bottom w:w="0" w:type="dxa"/>
            <w:right w:w="70" w:type="dxa"/>
          </w:tblCellMar>
        </w:tblPrEx>
        <w:trPr>
          <w:trHeight w:val="300" w:hRule="atLeast"/>
          <w:jc w:val="center"/>
        </w:trPr>
        <w:tc>
          <w:tcPr>
            <w:tcW w:w="1387" w:type="dxa"/>
            <w:vMerge w:val="continue"/>
            <w:tcBorders>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bCs/>
                <w:color w:val="000000"/>
                <w:lang w:eastAsia="sr-Latn-CS"/>
              </w:rPr>
            </w:pPr>
          </w:p>
        </w:tc>
        <w:tc>
          <w:tcPr>
            <w:tcW w:w="2326" w:type="dxa"/>
            <w:tcBorders>
              <w:top w:val="single" w:color="auto" w:sz="4" w:space="0"/>
              <w:left w:val="nil"/>
              <w:bottom w:val="single" w:color="auto" w:sz="4" w:space="0"/>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Република Српска</w:t>
            </w:r>
          </w:p>
        </w:tc>
        <w:tc>
          <w:tcPr>
            <w:tcW w:w="1761" w:type="dxa"/>
            <w:tcBorders>
              <w:top w:val="single" w:color="auto" w:sz="4" w:space="0"/>
              <w:left w:val="nil"/>
              <w:bottom w:val="single" w:color="auto" w:sz="4" w:space="0"/>
              <w:right w:val="single" w:color="auto" w:sz="4" w:space="0"/>
            </w:tcBorders>
            <w:shd w:val="clear" w:color="auto" w:fill="A8D08D" w:themeFill="accent6" w:themeFillTint="99"/>
            <w:noWrap/>
            <w:vAlign w:val="center"/>
          </w:tcPr>
          <w:p>
            <w:pPr>
              <w:jc w:val="center"/>
              <w:rPr>
                <w:rFonts w:eastAsia="Times New Roman" w:asciiTheme="minorHAnsi" w:hAnsiTheme="minorHAnsi" w:cstheme="minorHAnsi"/>
                <w:b/>
                <w:bCs/>
                <w:color w:val="000000"/>
                <w:lang w:eastAsia="sr-Latn-CS"/>
              </w:rPr>
            </w:pPr>
            <w:r>
              <w:rPr>
                <w:rFonts w:eastAsia="Times New Roman" w:asciiTheme="minorHAnsi" w:hAnsiTheme="minorHAnsi" w:cstheme="minorHAnsi"/>
                <w:b/>
                <w:bCs/>
                <w:color w:val="000000"/>
                <w:lang w:eastAsia="sr-Latn-CS"/>
              </w:rPr>
              <w:t>Бања</w:t>
            </w:r>
            <w:r>
              <w:rPr>
                <w:rFonts w:eastAsia="Times New Roman" w:asciiTheme="minorHAnsi" w:hAnsiTheme="minorHAnsi" w:cstheme="minorHAnsi"/>
                <w:b/>
                <w:bCs/>
                <w:color w:val="000000"/>
                <w:lang w:val="sr-Cyrl-RS" w:eastAsia="sr-Latn-CS"/>
              </w:rPr>
              <w:t xml:space="preserve"> Л</w:t>
            </w:r>
            <w:r>
              <w:rPr>
                <w:rFonts w:eastAsia="Times New Roman" w:asciiTheme="minorHAnsi" w:hAnsiTheme="minorHAnsi" w:cstheme="minorHAnsi"/>
                <w:b/>
                <w:bCs/>
                <w:color w:val="000000"/>
                <w:lang w:eastAsia="sr-Latn-CS"/>
              </w:rPr>
              <w:t>ука</w:t>
            </w:r>
          </w:p>
        </w:tc>
        <w:tc>
          <w:tcPr>
            <w:tcW w:w="2742" w:type="dxa"/>
            <w:vMerge w:val="continue"/>
            <w:tcBorders>
              <w:left w:val="nil"/>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bCs/>
                <w:color w:val="000000"/>
                <w:lang w:val="sr-Cyrl-CS" w:eastAsia="sr-Latn-CS"/>
              </w:rPr>
            </w:pPr>
          </w:p>
        </w:tc>
        <w:tc>
          <w:tcPr>
            <w:tcW w:w="1284" w:type="dxa"/>
            <w:vMerge w:val="continue"/>
            <w:tcBorders>
              <w:left w:val="nil"/>
              <w:bottom w:val="single" w:color="auto" w:sz="4" w:space="0"/>
              <w:right w:val="single" w:color="auto" w:sz="4" w:space="0"/>
            </w:tcBorders>
          </w:tcPr>
          <w:p>
            <w:pPr>
              <w:jc w:val="center"/>
              <w:rPr>
                <w:rFonts w:eastAsia="Times New Roman" w:asciiTheme="minorHAnsi" w:hAnsiTheme="minorHAnsi" w:cstheme="minorHAnsi"/>
                <w:b/>
                <w:bCs/>
                <w:color w:val="000000"/>
                <w:lang w:val="sr-Cyrl-CS" w:eastAsia="sr-Latn-CS"/>
              </w:rPr>
            </w:pPr>
          </w:p>
        </w:tc>
      </w:tr>
      <w:tr>
        <w:tblPrEx>
          <w:tblLayout w:type="fixed"/>
          <w:tblCellMar>
            <w:top w:w="0" w:type="dxa"/>
            <w:left w:w="70" w:type="dxa"/>
            <w:bottom w:w="0" w:type="dxa"/>
            <w:right w:w="70" w:type="dxa"/>
          </w:tblCellMar>
        </w:tblPrEx>
        <w:trPr>
          <w:trHeight w:val="300" w:hRule="atLeast"/>
          <w:jc w:val="center"/>
        </w:trPr>
        <w:tc>
          <w:tcPr>
            <w:tcW w:w="1387"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2012</w:t>
            </w:r>
          </w:p>
        </w:tc>
        <w:tc>
          <w:tcPr>
            <w:tcW w:w="2326"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238.576</w:t>
            </w:r>
          </w:p>
        </w:tc>
        <w:tc>
          <w:tcPr>
            <w:tcW w:w="1761"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36.476</w:t>
            </w:r>
          </w:p>
        </w:tc>
        <w:tc>
          <w:tcPr>
            <w:tcW w:w="2742"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w:t>
            </w:r>
          </w:p>
        </w:tc>
        <w:tc>
          <w:tcPr>
            <w:tcW w:w="1284" w:type="dxa"/>
            <w:tcBorders>
              <w:top w:val="nil"/>
              <w:left w:val="nil"/>
              <w:bottom w:val="single" w:color="auto" w:sz="4" w:space="0"/>
              <w:right w:val="single" w:color="auto" w:sz="4" w:space="0"/>
            </w:tcBorders>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15,3</w:t>
            </w:r>
          </w:p>
        </w:tc>
      </w:tr>
      <w:tr>
        <w:tblPrEx>
          <w:tblLayout w:type="fixed"/>
          <w:tblCellMar>
            <w:top w:w="0" w:type="dxa"/>
            <w:left w:w="70" w:type="dxa"/>
            <w:bottom w:w="0" w:type="dxa"/>
            <w:right w:w="70" w:type="dxa"/>
          </w:tblCellMar>
        </w:tblPrEx>
        <w:trPr>
          <w:trHeight w:val="300" w:hRule="atLeast"/>
          <w:jc w:val="center"/>
        </w:trPr>
        <w:tc>
          <w:tcPr>
            <w:tcW w:w="1387"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2013</w:t>
            </w:r>
          </w:p>
        </w:tc>
        <w:tc>
          <w:tcPr>
            <w:tcW w:w="2326"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244.684</w:t>
            </w:r>
          </w:p>
        </w:tc>
        <w:tc>
          <w:tcPr>
            <w:tcW w:w="1761"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37.189</w:t>
            </w:r>
          </w:p>
        </w:tc>
        <w:tc>
          <w:tcPr>
            <w:tcW w:w="2742"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102,0</w:t>
            </w:r>
          </w:p>
        </w:tc>
        <w:tc>
          <w:tcPr>
            <w:tcW w:w="1284" w:type="dxa"/>
            <w:tcBorders>
              <w:top w:val="nil"/>
              <w:left w:val="nil"/>
              <w:bottom w:val="single" w:color="auto" w:sz="4" w:space="0"/>
              <w:right w:val="single" w:color="auto" w:sz="4" w:space="0"/>
            </w:tcBorders>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15,2</w:t>
            </w:r>
          </w:p>
        </w:tc>
      </w:tr>
      <w:tr>
        <w:tblPrEx>
          <w:tblLayout w:type="fixed"/>
          <w:tblCellMar>
            <w:top w:w="0" w:type="dxa"/>
            <w:left w:w="70" w:type="dxa"/>
            <w:bottom w:w="0" w:type="dxa"/>
            <w:right w:w="70" w:type="dxa"/>
          </w:tblCellMar>
        </w:tblPrEx>
        <w:trPr>
          <w:trHeight w:val="300" w:hRule="atLeast"/>
          <w:jc w:val="center"/>
        </w:trPr>
        <w:tc>
          <w:tcPr>
            <w:tcW w:w="1387"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2014</w:t>
            </w:r>
          </w:p>
        </w:tc>
        <w:tc>
          <w:tcPr>
            <w:tcW w:w="2326"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249.279</w:t>
            </w:r>
          </w:p>
        </w:tc>
        <w:tc>
          <w:tcPr>
            <w:tcW w:w="1761"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37.903</w:t>
            </w:r>
          </w:p>
        </w:tc>
        <w:tc>
          <w:tcPr>
            <w:tcW w:w="2742"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101,9</w:t>
            </w:r>
          </w:p>
        </w:tc>
        <w:tc>
          <w:tcPr>
            <w:tcW w:w="1284" w:type="dxa"/>
            <w:tcBorders>
              <w:top w:val="nil"/>
              <w:left w:val="nil"/>
              <w:bottom w:val="single" w:color="auto" w:sz="4" w:space="0"/>
              <w:right w:val="single" w:color="auto" w:sz="4" w:space="0"/>
            </w:tcBorders>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 xml:space="preserve">15,2 </w:t>
            </w:r>
          </w:p>
        </w:tc>
      </w:tr>
      <w:tr>
        <w:tblPrEx>
          <w:tblLayout w:type="fixed"/>
          <w:tblCellMar>
            <w:top w:w="0" w:type="dxa"/>
            <w:left w:w="70" w:type="dxa"/>
            <w:bottom w:w="0" w:type="dxa"/>
            <w:right w:w="70" w:type="dxa"/>
          </w:tblCellMar>
        </w:tblPrEx>
        <w:trPr>
          <w:trHeight w:val="300" w:hRule="atLeast"/>
          <w:jc w:val="center"/>
        </w:trPr>
        <w:tc>
          <w:tcPr>
            <w:tcW w:w="1387"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2015</w:t>
            </w:r>
          </w:p>
        </w:tc>
        <w:tc>
          <w:tcPr>
            <w:tcW w:w="2326"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252.213</w:t>
            </w:r>
          </w:p>
        </w:tc>
        <w:tc>
          <w:tcPr>
            <w:tcW w:w="1761"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38.712</w:t>
            </w:r>
          </w:p>
        </w:tc>
        <w:tc>
          <w:tcPr>
            <w:tcW w:w="2742"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102,1</w:t>
            </w:r>
          </w:p>
        </w:tc>
        <w:tc>
          <w:tcPr>
            <w:tcW w:w="1284" w:type="dxa"/>
            <w:tcBorders>
              <w:top w:val="nil"/>
              <w:left w:val="nil"/>
              <w:bottom w:val="single" w:color="auto" w:sz="4" w:space="0"/>
              <w:right w:val="single" w:color="auto" w:sz="4" w:space="0"/>
            </w:tcBorders>
          </w:tcPr>
          <w:p>
            <w:pPr>
              <w:jc w:val="right"/>
              <w:rPr>
                <w:rFonts w:eastAsia="Times New Roman" w:asciiTheme="minorHAnsi" w:hAnsiTheme="minorHAnsi" w:cstheme="minorHAnsi"/>
                <w:color w:val="000000"/>
                <w:lang w:eastAsia="sr-Latn-CS"/>
              </w:rPr>
            </w:pPr>
            <w:r>
              <w:rPr>
                <w:rFonts w:eastAsia="Times New Roman" w:asciiTheme="minorHAnsi" w:hAnsiTheme="minorHAnsi" w:cstheme="minorHAnsi"/>
                <w:color w:val="000000"/>
                <w:lang w:val="sr-Cyrl-CS" w:eastAsia="sr-Latn-CS"/>
              </w:rPr>
              <w:t>15,3</w:t>
            </w:r>
          </w:p>
        </w:tc>
      </w:tr>
      <w:tr>
        <w:tblPrEx>
          <w:tblLayout w:type="fixed"/>
          <w:tblCellMar>
            <w:top w:w="0" w:type="dxa"/>
            <w:left w:w="70" w:type="dxa"/>
            <w:bottom w:w="0" w:type="dxa"/>
            <w:right w:w="70" w:type="dxa"/>
          </w:tblCellMar>
        </w:tblPrEx>
        <w:trPr>
          <w:trHeight w:val="300" w:hRule="atLeast"/>
          <w:jc w:val="center"/>
        </w:trPr>
        <w:tc>
          <w:tcPr>
            <w:tcW w:w="1387" w:type="dxa"/>
            <w:tcBorders>
              <w:top w:val="nil"/>
              <w:left w:val="single" w:color="auto" w:sz="4" w:space="0"/>
              <w:bottom w:val="single" w:color="auto" w:sz="4" w:space="0"/>
              <w:right w:val="single" w:color="auto" w:sz="4" w:space="0"/>
            </w:tcBorders>
            <w:shd w:val="clear" w:color="auto" w:fill="auto"/>
            <w:noWrap/>
            <w:vAlign w:val="bottom"/>
          </w:tcPr>
          <w:p>
            <w:pPr>
              <w:jc w:val="center"/>
              <w:rPr>
                <w:rFonts w:eastAsia="Times New Roman" w:asciiTheme="minorHAnsi" w:hAnsiTheme="minorHAnsi" w:cstheme="minorHAnsi"/>
                <w:b/>
                <w:color w:val="000000"/>
                <w:lang w:eastAsia="sr-Latn-CS"/>
              </w:rPr>
            </w:pPr>
            <w:r>
              <w:rPr>
                <w:rFonts w:eastAsia="Times New Roman" w:asciiTheme="minorHAnsi" w:hAnsiTheme="minorHAnsi" w:cstheme="minorHAnsi"/>
                <w:b/>
                <w:color w:val="000000"/>
                <w:lang w:eastAsia="sr-Latn-CS"/>
              </w:rPr>
              <w:t>2016</w:t>
            </w:r>
          </w:p>
        </w:tc>
        <w:tc>
          <w:tcPr>
            <w:tcW w:w="2326"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257.609</w:t>
            </w:r>
          </w:p>
        </w:tc>
        <w:tc>
          <w:tcPr>
            <w:tcW w:w="1761"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39.134</w:t>
            </w:r>
          </w:p>
        </w:tc>
        <w:tc>
          <w:tcPr>
            <w:tcW w:w="2742" w:type="dxa"/>
            <w:tcBorders>
              <w:top w:val="nil"/>
              <w:left w:val="nil"/>
              <w:bottom w:val="single" w:color="auto" w:sz="4" w:space="0"/>
              <w:right w:val="single" w:color="auto" w:sz="4" w:space="0"/>
            </w:tcBorders>
            <w:shd w:val="clear" w:color="auto" w:fill="auto"/>
            <w:noWrap/>
            <w:vAlign w:val="bottom"/>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101,1</w:t>
            </w:r>
          </w:p>
        </w:tc>
        <w:tc>
          <w:tcPr>
            <w:tcW w:w="1284" w:type="dxa"/>
            <w:tcBorders>
              <w:top w:val="nil"/>
              <w:left w:val="nil"/>
              <w:bottom w:val="single" w:color="auto" w:sz="4" w:space="0"/>
              <w:right w:val="single" w:color="auto" w:sz="4" w:space="0"/>
            </w:tcBorders>
          </w:tcPr>
          <w:p>
            <w:pPr>
              <w:jc w:val="right"/>
              <w:rPr>
                <w:rFonts w:eastAsia="Times New Roman" w:asciiTheme="minorHAnsi" w:hAnsiTheme="minorHAnsi" w:cstheme="minorHAnsi"/>
                <w:color w:val="000000"/>
                <w:lang w:val="sr-Cyrl-CS" w:eastAsia="sr-Latn-CS"/>
              </w:rPr>
            </w:pPr>
            <w:r>
              <w:rPr>
                <w:rFonts w:eastAsia="Times New Roman" w:asciiTheme="minorHAnsi" w:hAnsiTheme="minorHAnsi" w:cstheme="minorHAnsi"/>
                <w:color w:val="000000"/>
                <w:lang w:val="sr-Cyrl-CS" w:eastAsia="sr-Latn-CS"/>
              </w:rPr>
              <w:t>15,2</w:t>
            </w:r>
          </w:p>
        </w:tc>
      </w:tr>
    </w:tbl>
    <w:p>
      <w:pPr>
        <w:pStyle w:val="133"/>
        <w:spacing w:before="0" w:after="0" w:line="240" w:lineRule="auto"/>
        <w:ind w:firstLine="0"/>
        <w:rPr>
          <w:rFonts w:asciiTheme="minorHAnsi" w:hAnsiTheme="minorHAnsi" w:cstheme="minorHAnsi"/>
          <w:szCs w:val="22"/>
          <w:lang w:val="sr-Cyrl-CS"/>
        </w:rPr>
      </w:pPr>
    </w:p>
    <w:p>
      <w:pPr>
        <w:pStyle w:val="133"/>
        <w:spacing w:before="0" w:after="0" w:line="240" w:lineRule="auto"/>
        <w:ind w:firstLine="0"/>
        <w:rPr>
          <w:rFonts w:asciiTheme="minorHAnsi" w:hAnsiTheme="minorHAnsi" w:cstheme="minorHAnsi"/>
          <w:szCs w:val="22"/>
          <w:lang w:val="sr-Cyrl-CS"/>
        </w:rPr>
      </w:pPr>
      <w:r>
        <w:rPr>
          <w:rFonts w:asciiTheme="minorHAnsi" w:hAnsiTheme="minorHAnsi" w:cstheme="minorHAnsi"/>
          <w:szCs w:val="22"/>
          <w:lang w:val="sr-Cyrl-CS"/>
        </w:rPr>
        <w:t xml:space="preserve">У периоду од 2012. до 2016. године број пензионера на подручју града Бањалуке растао је по стопи од 1,1 до 2,1%, а учешће броја бањалучких пензионера у укупном броју пензионера Републике Српске потпуно је уједначено и креће се од 15,2 до 15,3% у посматраном петогодишњем периоду. </w:t>
      </w:r>
    </w:p>
    <w:p>
      <w:pPr>
        <w:pStyle w:val="133"/>
        <w:spacing w:before="0" w:after="0" w:line="240" w:lineRule="auto"/>
        <w:ind w:firstLine="0"/>
        <w:rPr>
          <w:rFonts w:asciiTheme="minorHAnsi" w:hAnsiTheme="minorHAnsi" w:cstheme="minorHAnsi"/>
          <w:szCs w:val="22"/>
          <w:lang w:val="sr-Cyrl-CS"/>
        </w:rPr>
      </w:pPr>
    </w:p>
    <w:p>
      <w:pPr>
        <w:pStyle w:val="4"/>
        <w:rPr>
          <w:b w:val="0"/>
          <w:lang w:val="hr-HR"/>
        </w:rPr>
      </w:pPr>
      <w:bookmarkStart w:id="35" w:name="_Toc526170588"/>
      <w:r>
        <w:rPr>
          <w:lang w:val="hr-HR"/>
        </w:rPr>
        <w:t>IV.1.5. Преглед</w:t>
      </w:r>
      <w:r>
        <w:rPr>
          <w:lang w:val="sr-Cyrl-RS"/>
        </w:rPr>
        <w:t xml:space="preserve"> </w:t>
      </w:r>
      <w:r>
        <w:rPr>
          <w:lang w:val="hr-HR"/>
        </w:rPr>
        <w:t>стања</w:t>
      </w:r>
      <w:r>
        <w:rPr>
          <w:lang w:val="sr-Cyrl-RS"/>
        </w:rPr>
        <w:t xml:space="preserve"> </w:t>
      </w:r>
      <w:r>
        <w:rPr>
          <w:lang w:val="hr-HR"/>
        </w:rPr>
        <w:t>и</w:t>
      </w:r>
      <w:r>
        <w:rPr>
          <w:lang w:val="sr-Cyrl-RS"/>
        </w:rPr>
        <w:t xml:space="preserve"> </w:t>
      </w:r>
      <w:r>
        <w:rPr>
          <w:lang w:val="hr-HR"/>
        </w:rPr>
        <w:t>кретања</w:t>
      </w:r>
      <w:r>
        <w:rPr>
          <w:lang w:val="sr-Cyrl-RS"/>
        </w:rPr>
        <w:t xml:space="preserve"> </w:t>
      </w:r>
      <w:r>
        <w:rPr>
          <w:lang w:val="hr-HR"/>
        </w:rPr>
        <w:t>у</w:t>
      </w:r>
      <w:r>
        <w:rPr>
          <w:lang w:val="sr-Cyrl-RS"/>
        </w:rPr>
        <w:t xml:space="preserve"> </w:t>
      </w:r>
      <w:r>
        <w:rPr>
          <w:lang w:val="hr-HR"/>
        </w:rPr>
        <w:t>области</w:t>
      </w:r>
      <w:r>
        <w:rPr>
          <w:lang w:val="sr-Cyrl-RS"/>
        </w:rPr>
        <w:t xml:space="preserve"> </w:t>
      </w:r>
      <w:r>
        <w:rPr>
          <w:lang w:val="hr-HR"/>
        </w:rPr>
        <w:t>друштвеног</w:t>
      </w:r>
      <w:r>
        <w:rPr>
          <w:lang w:val="sr-Cyrl-RS"/>
        </w:rPr>
        <w:t xml:space="preserve"> </w:t>
      </w:r>
      <w:r>
        <w:rPr>
          <w:lang w:val="hr-HR"/>
        </w:rPr>
        <w:t>развоја</w:t>
      </w:r>
      <w:bookmarkEnd w:id="35"/>
    </w:p>
    <w:p>
      <w:pPr>
        <w:pStyle w:val="5"/>
      </w:pPr>
      <w:bookmarkStart w:id="36" w:name="_Toc508060559"/>
      <w:bookmarkStart w:id="37" w:name="_Toc526170589"/>
      <w:bookmarkStart w:id="38" w:name="_Toc497473041"/>
    </w:p>
    <w:p>
      <w:pPr>
        <w:pStyle w:val="5"/>
      </w:pPr>
      <w:r>
        <w:t>IV.1.5.1. Образовање</w:t>
      </w:r>
      <w:bookmarkEnd w:id="36"/>
      <w:bookmarkEnd w:id="37"/>
      <w:bookmarkEnd w:id="38"/>
    </w:p>
    <w:p>
      <w:pPr>
        <w:pStyle w:val="13"/>
        <w:spacing w:before="120" w:after="120"/>
        <w:jc w:val="both"/>
        <w:rPr>
          <w:rFonts w:eastAsia="Times New Roman"/>
          <w:b/>
          <w:bCs/>
          <w:i/>
          <w:kern w:val="32"/>
          <w:sz w:val="22"/>
          <w:szCs w:val="22"/>
        </w:rPr>
      </w:pPr>
    </w:p>
    <w:p>
      <w:pPr>
        <w:pStyle w:val="13"/>
        <w:spacing w:before="120" w:after="120"/>
        <w:jc w:val="both"/>
        <w:rPr>
          <w:rFonts w:eastAsia="Times New Roman"/>
          <w:b/>
          <w:bCs/>
          <w:i/>
          <w:kern w:val="32"/>
          <w:sz w:val="22"/>
          <w:szCs w:val="22"/>
          <w:lang w:val="sr-Cyrl-RS"/>
        </w:rPr>
      </w:pPr>
      <w:r>
        <w:rPr>
          <w:rFonts w:eastAsia="Times New Roman"/>
          <w:b/>
          <w:bCs/>
          <w:i/>
          <w:kern w:val="32"/>
          <w:sz w:val="22"/>
          <w:szCs w:val="22"/>
          <w:lang w:val="sr-Cyrl-RS"/>
        </w:rPr>
        <w:t xml:space="preserve">         </w:t>
      </w:r>
      <w:r>
        <w:rPr>
          <w:rFonts w:eastAsia="Times New Roman"/>
          <w:b/>
          <w:bCs/>
          <w:i/>
          <w:kern w:val="32"/>
          <w:sz w:val="22"/>
          <w:szCs w:val="22"/>
        </w:rPr>
        <w:t>Предшколско образовање</w:t>
      </w:r>
    </w:p>
    <w:p>
      <w:pPr>
        <w:pStyle w:val="13"/>
        <w:spacing w:before="120" w:after="120"/>
        <w:jc w:val="both"/>
        <w:rPr>
          <w:rFonts w:cs="Calibri"/>
          <w:sz w:val="22"/>
          <w:szCs w:val="22"/>
        </w:rPr>
      </w:pPr>
      <w:r>
        <w:rPr>
          <w:rFonts w:cs="Calibri"/>
          <w:sz w:val="22"/>
          <w:szCs w:val="22"/>
        </w:rPr>
        <w:t>Предшколско образовање је, у складу са Законом о предшколском васпитању и образовању</w:t>
      </w:r>
      <w:r>
        <w:rPr>
          <w:rFonts w:cs="Calibri"/>
          <w:sz w:val="22"/>
          <w:szCs w:val="22"/>
          <w:lang w:val="sr-Cyrl-RS"/>
        </w:rPr>
        <w:t xml:space="preserve"> Републици Српској</w:t>
      </w:r>
      <w:r>
        <w:rPr>
          <w:rFonts w:cs="Calibri"/>
          <w:sz w:val="22"/>
          <w:szCs w:val="22"/>
        </w:rPr>
        <w:t xml:space="preserve">, у надлежности локалне самоуправе, која има прописану обавезу да </w:t>
      </w:r>
      <w:r>
        <w:rPr>
          <w:sz w:val="22"/>
          <w:szCs w:val="22"/>
          <w:lang w:val="sr-Cyrl-BA"/>
        </w:rPr>
        <w:t>објезбеђује</w:t>
      </w:r>
      <w:r>
        <w:rPr>
          <w:rFonts w:cs="Calibri"/>
          <w:sz w:val="22"/>
          <w:szCs w:val="22"/>
        </w:rPr>
        <w:t xml:space="preserve"> услове за боравак дјеце у предшколским установама.  </w:t>
      </w:r>
      <w:r>
        <w:rPr>
          <w:rFonts w:cs="Calibri"/>
          <w:color w:val="333333"/>
          <w:sz w:val="22"/>
          <w:szCs w:val="22"/>
          <w:shd w:val="clear" w:color="auto" w:fill="FFFFFF"/>
        </w:rPr>
        <w:t xml:space="preserve">Стратегијом развоја образовања Републике Српске </w:t>
      </w:r>
      <w:r>
        <w:rPr>
          <w:rFonts w:cs="Calibri"/>
          <w:color w:val="333333"/>
          <w:sz w:val="22"/>
          <w:szCs w:val="22"/>
          <w:shd w:val="clear" w:color="auto" w:fill="FFFFFF"/>
          <w:lang w:val="sr-Cyrl-RS"/>
        </w:rPr>
        <w:t xml:space="preserve">за период 2016-2021. године, </w:t>
      </w:r>
      <w:r>
        <w:rPr>
          <w:rFonts w:cs="Calibri"/>
          <w:color w:val="333333"/>
          <w:sz w:val="22"/>
          <w:szCs w:val="22"/>
          <w:shd w:val="clear" w:color="auto" w:fill="FFFFFF"/>
        </w:rPr>
        <w:t>дефинисани су циљеви који теже повећању обухата дјеце узраста од 3 до 6 година предшколским образов</w:t>
      </w:r>
      <w:r>
        <w:rPr>
          <w:rFonts w:cs="Calibri"/>
          <w:color w:val="333333"/>
          <w:sz w:val="22"/>
          <w:szCs w:val="22"/>
          <w:shd w:val="clear" w:color="auto" w:fill="FFFFFF"/>
          <w:lang w:val="sr-Cyrl-RS"/>
        </w:rPr>
        <w:t>а</w:t>
      </w:r>
      <w:r>
        <w:rPr>
          <w:rFonts w:cs="Calibri"/>
          <w:color w:val="333333"/>
          <w:sz w:val="22"/>
          <w:szCs w:val="22"/>
          <w:shd w:val="clear" w:color="auto" w:fill="FFFFFF"/>
        </w:rPr>
        <w:t xml:space="preserve">њем. </w:t>
      </w:r>
      <w:r>
        <w:rPr>
          <w:rFonts w:cs="Calibri"/>
          <w:sz w:val="22"/>
          <w:szCs w:val="22"/>
        </w:rPr>
        <w:t xml:space="preserve">Град </w:t>
      </w:r>
      <w:r>
        <w:rPr>
          <w:rFonts w:eastAsia="Times New Roman"/>
          <w:bCs/>
          <w:kern w:val="32"/>
          <w:sz w:val="22"/>
          <w:szCs w:val="22"/>
          <w:lang w:val="sr-Cyrl-BA"/>
        </w:rPr>
        <w:t>Бања</w:t>
      </w:r>
      <w:r>
        <w:rPr>
          <w:rFonts w:cs="Calibri"/>
          <w:sz w:val="22"/>
          <w:szCs w:val="22"/>
        </w:rPr>
        <w:t xml:space="preserve"> Лука </w:t>
      </w:r>
      <w:r>
        <w:rPr>
          <w:rFonts w:cs="Calibri"/>
          <w:sz w:val="22"/>
          <w:szCs w:val="22"/>
          <w:lang w:val="sr-Cyrl-RS"/>
        </w:rPr>
        <w:t>нема</w:t>
      </w:r>
      <w:r>
        <w:rPr>
          <w:rFonts w:cs="Calibri"/>
          <w:sz w:val="22"/>
          <w:szCs w:val="22"/>
        </w:rPr>
        <w:t xml:space="preserve"> усвој</w:t>
      </w:r>
      <w:r>
        <w:rPr>
          <w:rFonts w:cs="Calibri"/>
          <w:sz w:val="22"/>
          <w:szCs w:val="22"/>
          <w:lang w:val="sr-Cyrl-RS"/>
        </w:rPr>
        <w:t>ену</w:t>
      </w:r>
      <w:r>
        <w:rPr>
          <w:rFonts w:cs="Calibri"/>
          <w:sz w:val="22"/>
          <w:szCs w:val="22"/>
        </w:rPr>
        <w:t xml:space="preserve"> Стратегију развоја предшколског образовања</w:t>
      </w:r>
      <w:r>
        <w:rPr>
          <w:rFonts w:cs="Calibri"/>
          <w:sz w:val="22"/>
          <w:szCs w:val="22"/>
          <w:lang w:val="sr-Cyrl-RS"/>
        </w:rPr>
        <w:t xml:space="preserve">, али је важећом Стратегијом развоја Града 2007-2019. године кроз неколико стратешких циљева дат значај унапређењу предшколског образовања. </w:t>
      </w:r>
      <w:r>
        <w:rPr>
          <w:rFonts w:eastAsia="Times New Roman"/>
          <w:bCs/>
          <w:kern w:val="32"/>
          <w:sz w:val="22"/>
          <w:szCs w:val="22"/>
        </w:rPr>
        <w:t>Одјељење за образовање, здравство, омладину и спорт</w:t>
      </w:r>
      <w:r>
        <w:rPr>
          <w:rFonts w:eastAsia="Times New Roman"/>
          <w:bCs/>
          <w:kern w:val="32"/>
          <w:sz w:val="22"/>
          <w:szCs w:val="22"/>
          <w:lang w:val="sr-Cyrl-RS"/>
        </w:rPr>
        <w:t xml:space="preserve">, </w:t>
      </w:r>
      <w:r>
        <w:rPr>
          <w:rFonts w:eastAsia="Times New Roman"/>
          <w:bCs/>
          <w:kern w:val="32"/>
          <w:sz w:val="22"/>
          <w:szCs w:val="22"/>
        </w:rPr>
        <w:t>надлежно је за послове предшколског образовања.</w:t>
      </w:r>
      <w:r>
        <w:rPr>
          <w:rFonts w:eastAsia="Times New Roman"/>
          <w:bCs/>
          <w:kern w:val="32"/>
        </w:rPr>
        <w:t xml:space="preserve"> </w:t>
      </w:r>
    </w:p>
    <w:p>
      <w:pPr>
        <w:spacing w:before="120" w:line="276" w:lineRule="auto"/>
        <w:contextualSpacing/>
        <w:jc w:val="both"/>
        <w:rPr>
          <w:rFonts w:cs="Calibri"/>
          <w:lang w:val="sr-Cyrl-BA"/>
        </w:rPr>
      </w:pPr>
      <w:r>
        <w:rPr>
          <w:rFonts w:cs="Calibri"/>
          <w:lang w:val="sr-Cyrl-BA"/>
        </w:rPr>
        <w:t xml:space="preserve">На територији града налази се 57 мјесних заједница, а у 18 мјесних заједница смјештено је укупно 49 вртића/објеката јавног и приватног сектора. </w:t>
      </w:r>
      <w:r>
        <w:rPr>
          <w:rFonts w:eastAsia="Times New Roman" w:cs="Calibri"/>
          <w:lang w:val="sr-Cyrl-CS"/>
        </w:rPr>
        <w:t xml:space="preserve">Проблем смјештаја дјеце на подручју појединих мјесних заједница, као што су  Старчевица, Обилићево, Центар, Борик,  Лазарево, Лауш, Кочићев вијенац, Росуље итд. је посебно изражен. </w:t>
      </w:r>
    </w:p>
    <w:p>
      <w:pPr>
        <w:pStyle w:val="13"/>
        <w:spacing w:before="120" w:after="120"/>
        <w:jc w:val="both"/>
        <w:rPr>
          <w:rFonts w:eastAsia="Times New Roman" w:cs="Calibri"/>
          <w:sz w:val="22"/>
          <w:szCs w:val="22"/>
        </w:rPr>
      </w:pPr>
      <w:r>
        <w:rPr>
          <w:rFonts w:eastAsia="Times New Roman" w:cs="Calibri"/>
          <w:sz w:val="22"/>
          <w:szCs w:val="22"/>
          <w:lang w:val="sr-Cyrl-BA"/>
        </w:rPr>
        <w:t>Јавна установа Центар за предшколско васпитање и образовање Бања Лука</w:t>
      </w:r>
      <w:r>
        <w:rPr>
          <w:rFonts w:eastAsia="Times New Roman" w:cs="Calibri"/>
          <w:b/>
          <w:sz w:val="22"/>
          <w:szCs w:val="22"/>
          <w:lang w:val="sr-Cyrl-BA"/>
        </w:rPr>
        <w:t xml:space="preserve"> </w:t>
      </w:r>
      <w:r>
        <w:rPr>
          <w:rFonts w:eastAsia="Times New Roman" w:cs="Calibri"/>
          <w:sz w:val="22"/>
          <w:szCs w:val="22"/>
          <w:lang w:val="sr-Cyrl-BA"/>
        </w:rPr>
        <w:t xml:space="preserve">у свом саставу има 22 вртића у којима је смјештено око 2.200 дјеце, узраста од једне до шест година. </w:t>
      </w:r>
      <w:r>
        <w:rPr>
          <w:rFonts w:eastAsia="Times New Roman" w:cs="Calibri"/>
          <w:sz w:val="22"/>
          <w:szCs w:val="22"/>
          <w:lang w:val="sr-Cyrl-RS"/>
        </w:rPr>
        <w:t xml:space="preserve"> </w:t>
      </w:r>
      <w:r>
        <w:rPr>
          <w:rFonts w:eastAsia="Times New Roman" w:cs="Calibri"/>
          <w:sz w:val="22"/>
          <w:szCs w:val="22"/>
        </w:rPr>
        <w:t xml:space="preserve">У Бања Луци функционишу и 32 приватне установе (вртићи и клубови за децу) за предшколско васпитање и образовање, које имају дозволу Министарства просвете и културе. </w:t>
      </w:r>
      <w:bookmarkStart w:id="39" w:name="_Hlk504068350"/>
      <w:r>
        <w:rPr>
          <w:rFonts w:eastAsia="Times New Roman" w:cs="Calibri"/>
          <w:sz w:val="22"/>
          <w:szCs w:val="22"/>
        </w:rPr>
        <w:t>Од 32 приватне установе, 24 су вртићи, 8 клубови за децу. Око 1000 д</w:t>
      </w:r>
      <w:r>
        <w:rPr>
          <w:rFonts w:eastAsia="Times New Roman" w:cs="Calibri"/>
          <w:sz w:val="22"/>
          <w:szCs w:val="22"/>
          <w:lang w:val="sr-Cyrl-RS"/>
        </w:rPr>
        <w:t>ј</w:t>
      </w:r>
      <w:r>
        <w:rPr>
          <w:rFonts w:eastAsia="Times New Roman" w:cs="Calibri"/>
          <w:sz w:val="22"/>
          <w:szCs w:val="22"/>
        </w:rPr>
        <w:t>еце похађа приватне вртиће.</w:t>
      </w:r>
    </w:p>
    <w:p>
      <w:pPr>
        <w:jc w:val="both"/>
        <w:rPr>
          <w:rFonts w:cs="Calibri"/>
        </w:rPr>
      </w:pPr>
      <w:r>
        <w:rPr>
          <w:rFonts w:eastAsia="Times New Roman" w:cs="Calibri"/>
          <w:lang w:val="sr-Cyrl-RS"/>
        </w:rPr>
        <w:t xml:space="preserve">Укупан број запослених у сектору предшколског образовања износи 514. </w:t>
      </w:r>
      <w:r>
        <w:rPr>
          <w:rFonts w:cs="Calibri"/>
        </w:rPr>
        <w:t>Због великог број дјеце која  чекају на упис у бањалучке вртиће, већина група у Центру ради са повећаним капацитетом у односу на норме прописане законом за 20% што је у складу са Одлуком оснивача о повећаном броју дјеце у групама</w:t>
      </w:r>
      <w:r>
        <w:rPr>
          <w:rFonts w:cs="Calibri"/>
          <w:lang w:val="sr-Cyrl-RS"/>
        </w:rPr>
        <w:t>,</w:t>
      </w:r>
      <w:r>
        <w:rPr>
          <w:rFonts w:cs="Calibri"/>
        </w:rPr>
        <w:t xml:space="preserve"> доне</w:t>
      </w:r>
      <w:r>
        <w:rPr>
          <w:rFonts w:cs="Calibri"/>
          <w:lang w:val="sr-Cyrl-RS"/>
        </w:rPr>
        <w:t>с</w:t>
      </w:r>
      <w:r>
        <w:rPr>
          <w:rFonts w:cs="Calibri"/>
        </w:rPr>
        <w:t>еном на основу члана 31. става 9 Закона о предшколском васпитању и образовању</w:t>
      </w:r>
      <w:r>
        <w:rPr>
          <w:rStyle w:val="31"/>
          <w:rFonts w:cs="Calibri"/>
        </w:rPr>
        <w:footnoteReference w:id="8"/>
      </w:r>
      <w:r>
        <w:rPr>
          <w:rFonts w:cs="Calibri"/>
        </w:rPr>
        <w:t xml:space="preserve"> и члана 69. Статута Града Бања Лука</w:t>
      </w:r>
      <w:r>
        <w:rPr>
          <w:rStyle w:val="31"/>
          <w:rFonts w:cs="Calibri"/>
        </w:rPr>
        <w:footnoteReference w:id="9"/>
      </w:r>
      <w:r>
        <w:rPr>
          <w:rFonts w:cs="Calibri"/>
          <w:lang w:val="sr-Cyrl-RS"/>
        </w:rPr>
        <w:t xml:space="preserve"> </w:t>
      </w:r>
      <w:r>
        <w:rPr>
          <w:rFonts w:cs="Calibri"/>
        </w:rPr>
        <w:t xml:space="preserve">и Одлука оснивача о повећаном броју дјеце из 2008. </w:t>
      </w:r>
      <w:bookmarkEnd w:id="39"/>
    </w:p>
    <w:p>
      <w:pPr>
        <w:jc w:val="both"/>
        <w:rPr>
          <w:rFonts w:cs="Calibri"/>
        </w:rPr>
      </w:pPr>
    </w:p>
    <w:p>
      <w:pPr>
        <w:pStyle w:val="13"/>
        <w:spacing w:after="120"/>
        <w:jc w:val="both"/>
        <w:rPr>
          <w:rFonts w:eastAsia="Times New Roman" w:cs="Calibri"/>
          <w:sz w:val="22"/>
          <w:szCs w:val="22"/>
          <w:lang w:val="sr-Cyrl-RS"/>
        </w:rPr>
      </w:pPr>
      <w:r>
        <w:rPr>
          <w:rFonts w:eastAsia="Times New Roman" w:cs="Calibri"/>
          <w:sz w:val="22"/>
          <w:szCs w:val="22"/>
        </w:rPr>
        <w:t xml:space="preserve">Акционим планом </w:t>
      </w:r>
      <w:r>
        <w:rPr>
          <w:rFonts w:eastAsia="Times New Roman" w:cs="Calibri"/>
          <w:sz w:val="22"/>
          <w:szCs w:val="22"/>
          <w:lang w:val="sr-Cyrl-RS"/>
        </w:rPr>
        <w:t xml:space="preserve">за дјецу града Бања Лука за период </w:t>
      </w:r>
      <w:r>
        <w:rPr>
          <w:rFonts w:eastAsia="Times New Roman" w:cs="Calibri"/>
          <w:sz w:val="22"/>
          <w:szCs w:val="22"/>
        </w:rPr>
        <w:t>2016-2020.</w:t>
      </w:r>
      <w:r>
        <w:rPr>
          <w:rFonts w:eastAsia="Times New Roman" w:cs="Calibri"/>
          <w:sz w:val="22"/>
          <w:szCs w:val="22"/>
          <w:lang w:val="sr-Cyrl-RS"/>
        </w:rPr>
        <w:t xml:space="preserve"> године</w:t>
      </w:r>
      <w:r>
        <w:rPr>
          <w:rStyle w:val="31"/>
          <w:rFonts w:eastAsia="Times New Roman" w:cs="Calibri"/>
          <w:b/>
          <w:sz w:val="22"/>
          <w:szCs w:val="22"/>
          <w:lang w:val="sr-Cyrl-RS"/>
        </w:rPr>
        <w:footnoteReference w:id="10"/>
      </w:r>
      <w:r>
        <w:rPr>
          <w:rFonts w:eastAsia="Times New Roman" w:cs="Calibri"/>
          <w:sz w:val="22"/>
          <w:szCs w:val="22"/>
        </w:rPr>
        <w:t xml:space="preserve"> је предвиђено успостављање  моделa јавно – приватног партнерства са приватним вртићима и адаптација школског простора у простор за предшколске групе</w:t>
      </w:r>
      <w:r>
        <w:rPr>
          <w:rFonts w:eastAsia="Times New Roman" w:cs="Calibri"/>
          <w:sz w:val="22"/>
          <w:szCs w:val="22"/>
          <w:lang w:val="sr-Cyrl-RS"/>
        </w:rPr>
        <w:t xml:space="preserve"> (</w:t>
      </w:r>
      <w:r>
        <w:rPr>
          <w:rFonts w:eastAsia="Times New Roman" w:cs="Calibri"/>
          <w:sz w:val="22"/>
          <w:szCs w:val="22"/>
          <w:lang w:val="sr-Cyrl-BA"/>
        </w:rPr>
        <w:t xml:space="preserve">нпр. </w:t>
      </w:r>
      <w:r>
        <w:rPr>
          <w:rFonts w:eastAsia="Times New Roman" w:cs="Calibri"/>
          <w:sz w:val="22"/>
          <w:szCs w:val="22"/>
          <w:lang w:val="sr-Cyrl-CS"/>
        </w:rPr>
        <w:t>простор</w:t>
      </w:r>
      <w:r>
        <w:rPr>
          <w:rFonts w:eastAsia="Times New Roman" w:cs="Calibri"/>
          <w:sz w:val="22"/>
          <w:szCs w:val="22"/>
          <w:lang w:val="sr-Cyrl-BA"/>
        </w:rPr>
        <w:t xml:space="preserve"> у ОШ „Свети Сава“ је пренамјењен за простор вртића)</w:t>
      </w:r>
      <w:r>
        <w:rPr>
          <w:rFonts w:eastAsia="Times New Roman" w:cs="Calibri"/>
          <w:sz w:val="22"/>
          <w:szCs w:val="22"/>
        </w:rPr>
        <w:t xml:space="preserve">, </w:t>
      </w:r>
      <w:r>
        <w:rPr>
          <w:rFonts w:eastAsia="Times New Roman" w:cs="Calibri"/>
          <w:sz w:val="22"/>
          <w:szCs w:val="22"/>
          <w:lang w:val="sr-Cyrl-BA"/>
        </w:rPr>
        <w:t>те адаптација пословних простора у просторе вртића (три пословна простора су адаптирана у простор вртића и још су три простора у припреми).</w:t>
      </w:r>
      <w:r>
        <w:rPr>
          <w:rFonts w:eastAsia="Times New Roman" w:cs="Calibri"/>
          <w:sz w:val="22"/>
          <w:szCs w:val="22"/>
          <w:lang w:val="sr-Cyrl-RS"/>
        </w:rPr>
        <w:t xml:space="preserve"> У току је разматрање могућих</w:t>
      </w:r>
      <w:r>
        <w:rPr>
          <w:rFonts w:eastAsia="Times New Roman" w:cs="Calibri"/>
          <w:sz w:val="22"/>
          <w:szCs w:val="22"/>
        </w:rPr>
        <w:t xml:space="preserve">  модел</w:t>
      </w:r>
      <w:r>
        <w:rPr>
          <w:rFonts w:eastAsia="Times New Roman" w:cs="Calibri"/>
          <w:sz w:val="22"/>
          <w:szCs w:val="22"/>
          <w:lang w:val="sr-Cyrl-BA"/>
        </w:rPr>
        <w:t>а</w:t>
      </w:r>
      <w:r>
        <w:rPr>
          <w:rFonts w:eastAsia="Times New Roman" w:cs="Calibri"/>
          <w:sz w:val="22"/>
          <w:szCs w:val="22"/>
        </w:rPr>
        <w:t xml:space="preserve"> јавно – приватног партнерства</w:t>
      </w:r>
      <w:r>
        <w:rPr>
          <w:rFonts w:eastAsia="Times New Roman" w:cs="Calibri"/>
          <w:sz w:val="22"/>
          <w:szCs w:val="22"/>
          <w:lang w:val="sr-Cyrl-RS"/>
        </w:rPr>
        <w:t xml:space="preserve"> у овој области.</w:t>
      </w:r>
    </w:p>
    <w:p>
      <w:pPr>
        <w:pStyle w:val="13"/>
        <w:spacing w:after="120"/>
        <w:jc w:val="both"/>
        <w:rPr>
          <w:rFonts w:eastAsia="Times New Roman" w:cs="Calibri"/>
          <w:sz w:val="22"/>
          <w:szCs w:val="22"/>
          <w:lang w:val="sr-Cyrl-CS"/>
        </w:rPr>
      </w:pPr>
      <w:r>
        <w:rPr>
          <w:rFonts w:cs="Calibri"/>
          <w:sz w:val="22"/>
          <w:szCs w:val="22"/>
          <w:lang w:val="sr-Cyrl-BA"/>
        </w:rPr>
        <w:t>Снимљено стање објеката дјечијих вртића, који се налазе у саставу јавне установе, указује на потребу за опсежним инфраструктурним интервенцијама у једном броју објеката. У цјеловитој верзији ситуационе анализе приказано је стање објеката дјечијих вртића који се налазе у саставу ЈУ са генералним приказом стања инфраструктуре и потребама за унапређење капацитета.</w:t>
      </w:r>
    </w:p>
    <w:p>
      <w:pPr>
        <w:jc w:val="both"/>
        <w:rPr>
          <w:rFonts w:cs="Calibri"/>
        </w:rPr>
      </w:pPr>
      <w:r>
        <w:rPr>
          <w:rFonts w:cs="Calibri"/>
          <w:b/>
          <w:i/>
        </w:rPr>
        <w:t>Инклузивно</w:t>
      </w:r>
      <w:r>
        <w:rPr>
          <w:rFonts w:cs="Calibri"/>
          <w:b/>
          <w:i/>
          <w:lang w:val="sr-Cyrl-BA"/>
        </w:rPr>
        <w:t xml:space="preserve"> </w:t>
      </w:r>
      <w:r>
        <w:rPr>
          <w:rFonts w:cs="Calibri"/>
          <w:b/>
          <w:i/>
        </w:rPr>
        <w:t>образовање</w:t>
      </w:r>
      <w:r>
        <w:rPr>
          <w:rFonts w:cs="Calibri"/>
          <w:i/>
          <w:lang w:val="sr-Cyrl-RS"/>
        </w:rPr>
        <w:t>.</w:t>
      </w:r>
      <w:r>
        <w:rPr>
          <w:rFonts w:cs="Calibri"/>
          <w:b/>
          <w:i/>
          <w:lang w:val="sr-Cyrl-RS"/>
        </w:rPr>
        <w:t xml:space="preserve"> </w:t>
      </w:r>
      <w:r>
        <w:rPr>
          <w:rFonts w:cs="Calibri"/>
          <w:lang w:val="sr-Cyrl-RS"/>
        </w:rPr>
        <w:t>У</w:t>
      </w:r>
      <w:r>
        <w:rPr>
          <w:rFonts w:cs="Calibri"/>
          <w:lang w:val="sr-Cyrl-BA"/>
        </w:rPr>
        <w:t xml:space="preserve"> </w:t>
      </w:r>
      <w:r>
        <w:rPr>
          <w:rFonts w:cs="Calibri"/>
        </w:rPr>
        <w:t>предшколским</w:t>
      </w:r>
      <w:r>
        <w:rPr>
          <w:rFonts w:cs="Calibri"/>
          <w:lang w:val="sr-Cyrl-BA"/>
        </w:rPr>
        <w:t xml:space="preserve"> </w:t>
      </w:r>
      <w:r>
        <w:rPr>
          <w:rFonts w:cs="Calibri"/>
        </w:rPr>
        <w:t>установама</w:t>
      </w:r>
      <w:r>
        <w:rPr>
          <w:rFonts w:cs="Calibri"/>
          <w:lang w:val="sr-Cyrl-RS"/>
        </w:rPr>
        <w:t>, инклузивно образовање</w:t>
      </w:r>
      <w:r>
        <w:rPr>
          <w:rFonts w:cs="Calibri"/>
          <w:lang w:val="sr-Cyrl-BA"/>
        </w:rPr>
        <w:t xml:space="preserve"> </w:t>
      </w:r>
      <w:r>
        <w:rPr>
          <w:rFonts w:cs="Calibri"/>
        </w:rPr>
        <w:t>не</w:t>
      </w:r>
      <w:r>
        <w:rPr>
          <w:rFonts w:cs="Calibri"/>
          <w:lang w:val="sr-Cyrl-BA"/>
        </w:rPr>
        <w:t xml:space="preserve"> </w:t>
      </w:r>
      <w:r>
        <w:rPr>
          <w:rFonts w:cs="Calibri"/>
        </w:rPr>
        <w:t>функционише</w:t>
      </w:r>
      <w:r>
        <w:rPr>
          <w:rFonts w:cs="Calibri"/>
          <w:lang w:val="sr-Cyrl-BA"/>
        </w:rPr>
        <w:t xml:space="preserve"> </w:t>
      </w:r>
      <w:r>
        <w:rPr>
          <w:rFonts w:cs="Calibri"/>
        </w:rPr>
        <w:t>на</w:t>
      </w:r>
      <w:r>
        <w:rPr>
          <w:rFonts w:cs="Calibri"/>
          <w:lang w:val="sr-Cyrl-BA"/>
        </w:rPr>
        <w:t xml:space="preserve"> </w:t>
      </w:r>
      <w:r>
        <w:rPr>
          <w:rFonts w:cs="Calibri"/>
        </w:rPr>
        <w:t>ефик</w:t>
      </w:r>
      <w:r>
        <w:rPr>
          <w:rFonts w:cs="Calibri"/>
          <w:lang w:val="sr-Cyrl-RS"/>
        </w:rPr>
        <w:t>а</w:t>
      </w:r>
      <w:r>
        <w:rPr>
          <w:rFonts w:cs="Calibri"/>
        </w:rPr>
        <w:t>са</w:t>
      </w:r>
      <w:r>
        <w:rPr>
          <w:rFonts w:cs="Calibri"/>
          <w:lang w:val="sr-Cyrl-RS"/>
        </w:rPr>
        <w:t>н</w:t>
      </w:r>
      <w:r>
        <w:rPr>
          <w:rFonts w:cs="Calibri"/>
          <w:lang w:val="sr-Cyrl-BA"/>
        </w:rPr>
        <w:t xml:space="preserve"> </w:t>
      </w:r>
      <w:r>
        <w:rPr>
          <w:rFonts w:cs="Calibri"/>
        </w:rPr>
        <w:t>начин</w:t>
      </w:r>
      <w:r>
        <w:rPr>
          <w:rFonts w:cs="Calibri"/>
          <w:lang w:val="sr-Cyrl-BA"/>
        </w:rPr>
        <w:t xml:space="preserve"> </w:t>
      </w:r>
      <w:r>
        <w:rPr>
          <w:rFonts w:cs="Calibri"/>
        </w:rPr>
        <w:t>услијед</w:t>
      </w:r>
      <w:r>
        <w:rPr>
          <w:rFonts w:cs="Calibri"/>
          <w:lang w:val="sr-Cyrl-RS"/>
        </w:rPr>
        <w:t xml:space="preserve"> нејасано</w:t>
      </w:r>
      <w:r>
        <w:rPr>
          <w:rFonts w:cs="Calibri"/>
        </w:rPr>
        <w:t xml:space="preserve"> </w:t>
      </w:r>
      <w:r>
        <w:rPr>
          <w:rFonts w:cs="Calibri"/>
          <w:lang w:val="sr-Cyrl-RS"/>
        </w:rPr>
        <w:t>дефинисаног</w:t>
      </w:r>
      <w:r>
        <w:rPr>
          <w:rFonts w:cs="Calibri"/>
        </w:rPr>
        <w:t xml:space="preserve"> </w:t>
      </w:r>
      <w:r>
        <w:rPr>
          <w:rFonts w:cs="Calibri"/>
          <w:lang w:val="sr-Cyrl-RS"/>
        </w:rPr>
        <w:t>законског</w:t>
      </w:r>
      <w:r>
        <w:rPr>
          <w:rFonts w:cs="Calibri"/>
        </w:rPr>
        <w:t xml:space="preserve"> </w:t>
      </w:r>
      <w:r>
        <w:rPr>
          <w:rFonts w:cs="Calibri"/>
          <w:lang w:val="sr-Cyrl-RS"/>
        </w:rPr>
        <w:t>оквира</w:t>
      </w:r>
      <w:r>
        <w:rPr>
          <w:rFonts w:cs="Calibri"/>
        </w:rPr>
        <w:t xml:space="preserve"> (</w:t>
      </w:r>
      <w:r>
        <w:rPr>
          <w:rFonts w:cs="Calibri"/>
          <w:lang w:val="sr-Cyrl-RS"/>
        </w:rPr>
        <w:t>нпр</w:t>
      </w:r>
      <w:r>
        <w:rPr>
          <w:rFonts w:cs="Calibri"/>
        </w:rPr>
        <w:t>.</w:t>
      </w:r>
      <w:r>
        <w:rPr>
          <w:rFonts w:cs="Calibri"/>
          <w:lang w:val="sr-Cyrl-RS"/>
        </w:rPr>
        <w:t xml:space="preserve"> није</w:t>
      </w:r>
      <w:r>
        <w:rPr>
          <w:rFonts w:cs="Calibri"/>
        </w:rPr>
        <w:t xml:space="preserve"> </w:t>
      </w:r>
      <w:r>
        <w:rPr>
          <w:rFonts w:cs="Calibri"/>
          <w:lang w:val="sr-Cyrl-RS"/>
        </w:rPr>
        <w:t>прецизирано</w:t>
      </w:r>
      <w:r>
        <w:rPr>
          <w:rFonts w:cs="Calibri"/>
        </w:rPr>
        <w:t xml:space="preserve"> </w:t>
      </w:r>
      <w:r>
        <w:rPr>
          <w:rFonts w:cs="Calibri"/>
          <w:lang w:val="sr-Cyrl-RS"/>
        </w:rPr>
        <w:t>ко</w:t>
      </w:r>
      <w:r>
        <w:rPr>
          <w:rFonts w:cs="Calibri"/>
        </w:rPr>
        <w:t xml:space="preserve"> </w:t>
      </w:r>
      <w:r>
        <w:rPr>
          <w:rFonts w:cs="Calibri"/>
          <w:lang w:val="sr-Cyrl-RS"/>
        </w:rPr>
        <w:t>финансира</w:t>
      </w:r>
      <w:r>
        <w:rPr>
          <w:rFonts w:cs="Calibri"/>
        </w:rPr>
        <w:t xml:space="preserve"> </w:t>
      </w:r>
      <w:r>
        <w:rPr>
          <w:rFonts w:cs="Calibri"/>
          <w:lang w:val="sr-Cyrl-RS"/>
        </w:rPr>
        <w:t>и</w:t>
      </w:r>
      <w:r>
        <w:rPr>
          <w:rFonts w:cs="Calibri"/>
        </w:rPr>
        <w:t xml:space="preserve"> </w:t>
      </w:r>
      <w:r>
        <w:rPr>
          <w:rFonts w:cs="Calibri"/>
          <w:lang w:val="sr-Cyrl-RS"/>
        </w:rPr>
        <w:t>на</w:t>
      </w:r>
      <w:r>
        <w:rPr>
          <w:rFonts w:cs="Calibri"/>
        </w:rPr>
        <w:t xml:space="preserve"> </w:t>
      </w:r>
      <w:r>
        <w:rPr>
          <w:rFonts w:cs="Calibri"/>
          <w:lang w:val="sr-Cyrl-RS"/>
        </w:rPr>
        <w:t>који</w:t>
      </w:r>
      <w:r>
        <w:rPr>
          <w:rFonts w:cs="Calibri"/>
        </w:rPr>
        <w:t xml:space="preserve"> </w:t>
      </w:r>
      <w:r>
        <w:rPr>
          <w:rFonts w:cs="Calibri"/>
          <w:lang w:val="sr-Cyrl-RS"/>
        </w:rPr>
        <w:t>начин</w:t>
      </w:r>
      <w:r>
        <w:rPr>
          <w:rFonts w:cs="Calibri"/>
        </w:rPr>
        <w:t xml:space="preserve"> </w:t>
      </w:r>
      <w:r>
        <w:rPr>
          <w:rFonts w:cs="Calibri"/>
          <w:lang w:val="sr-Cyrl-RS"/>
        </w:rPr>
        <w:t>се</w:t>
      </w:r>
      <w:r>
        <w:rPr>
          <w:rFonts w:cs="Calibri"/>
        </w:rPr>
        <w:t xml:space="preserve"> </w:t>
      </w:r>
      <w:r>
        <w:rPr>
          <w:rFonts w:cs="Calibri"/>
          <w:lang w:val="sr-Cyrl-RS"/>
        </w:rPr>
        <w:t>ангажују</w:t>
      </w:r>
      <w:r>
        <w:rPr>
          <w:rFonts w:cs="Calibri"/>
        </w:rPr>
        <w:t xml:space="preserve"> </w:t>
      </w:r>
      <w:r>
        <w:rPr>
          <w:rFonts w:cs="Calibri"/>
          <w:lang w:val="sr-Cyrl-RS"/>
        </w:rPr>
        <w:t>асистенти</w:t>
      </w:r>
      <w:r>
        <w:rPr>
          <w:rFonts w:cs="Calibri"/>
        </w:rPr>
        <w:t xml:space="preserve"> </w:t>
      </w:r>
      <w:r>
        <w:rPr>
          <w:rFonts w:cs="Calibri"/>
          <w:lang w:val="sr-Cyrl-RS"/>
        </w:rPr>
        <w:t>за</w:t>
      </w:r>
      <w:r>
        <w:rPr>
          <w:rFonts w:cs="Calibri"/>
        </w:rPr>
        <w:t xml:space="preserve"> </w:t>
      </w:r>
      <w:r>
        <w:rPr>
          <w:rFonts w:cs="Calibri"/>
          <w:lang w:val="sr-Cyrl-RS"/>
        </w:rPr>
        <w:t>инклузију</w:t>
      </w:r>
      <w:r>
        <w:rPr>
          <w:rFonts w:cs="Calibri"/>
        </w:rPr>
        <w:t xml:space="preserve">), </w:t>
      </w:r>
      <w:r>
        <w:rPr>
          <w:rFonts w:cs="Calibri"/>
          <w:lang w:val="sr-Cyrl-RS"/>
        </w:rPr>
        <w:t>н</w:t>
      </w:r>
      <w:r>
        <w:rPr>
          <w:rFonts w:cs="Calibri"/>
        </w:rPr>
        <w:t>емогућност</w:t>
      </w:r>
      <w:r>
        <w:rPr>
          <w:rFonts w:cs="Calibri"/>
          <w:lang w:val="sr-Cyrl-RS"/>
        </w:rPr>
        <w:t xml:space="preserve">и </w:t>
      </w:r>
      <w:r>
        <w:rPr>
          <w:rFonts w:cs="Calibri"/>
        </w:rPr>
        <w:t>поштовања одредби Закона о предшколском образовању и васпитању (члан 32, тачка</w:t>
      </w:r>
      <w:r>
        <w:rPr>
          <w:rFonts w:cs="Calibri"/>
          <w:lang w:val="sr-Cyrl-RS"/>
        </w:rPr>
        <w:t xml:space="preserve"> </w:t>
      </w:r>
      <w:r>
        <w:rPr>
          <w:rFonts w:cs="Calibri"/>
        </w:rPr>
        <w:t>4.), због великог броја деце у васпитним групама</w:t>
      </w:r>
      <w:r>
        <w:rPr>
          <w:rFonts w:cs="Calibri"/>
          <w:lang w:val="sr-Cyrl-RS"/>
        </w:rPr>
        <w:t>, као и због недостатка процедуре</w:t>
      </w:r>
      <w:r>
        <w:rPr>
          <w:rFonts w:cs="Calibri"/>
        </w:rPr>
        <w:t xml:space="preserve"> </w:t>
      </w:r>
      <w:r>
        <w:rPr>
          <w:rFonts w:cs="Calibri"/>
          <w:lang w:val="sr-Cyrl-RS"/>
        </w:rPr>
        <w:t>за</w:t>
      </w:r>
      <w:r>
        <w:rPr>
          <w:rFonts w:cs="Calibri"/>
        </w:rPr>
        <w:t xml:space="preserve"> </w:t>
      </w:r>
      <w:r>
        <w:rPr>
          <w:rFonts w:cs="Calibri"/>
          <w:lang w:val="sr-Cyrl-RS"/>
        </w:rPr>
        <w:t>писање</w:t>
      </w:r>
      <w:r>
        <w:rPr>
          <w:rFonts w:cs="Calibri"/>
        </w:rPr>
        <w:t xml:space="preserve"> </w:t>
      </w:r>
      <w:r>
        <w:rPr>
          <w:rFonts w:cs="Calibri"/>
          <w:lang w:val="sr-Cyrl-RS"/>
        </w:rPr>
        <w:t>индивидуалних</w:t>
      </w:r>
      <w:r>
        <w:rPr>
          <w:rFonts w:cs="Calibri"/>
        </w:rPr>
        <w:t xml:space="preserve"> </w:t>
      </w:r>
      <w:r>
        <w:rPr>
          <w:rFonts w:cs="Calibri"/>
          <w:lang w:val="sr-Cyrl-RS"/>
        </w:rPr>
        <w:t>образовних</w:t>
      </w:r>
      <w:r>
        <w:rPr>
          <w:rFonts w:cs="Calibri"/>
        </w:rPr>
        <w:t xml:space="preserve"> </w:t>
      </w:r>
      <w:r>
        <w:rPr>
          <w:rFonts w:cs="Calibri"/>
          <w:lang w:val="sr-Cyrl-RS"/>
        </w:rPr>
        <w:t>планова</w:t>
      </w:r>
      <w:r>
        <w:rPr>
          <w:rFonts w:cs="Calibri"/>
        </w:rPr>
        <w:t xml:space="preserve"> </w:t>
      </w:r>
      <w:r>
        <w:rPr>
          <w:rFonts w:cs="Calibri"/>
          <w:lang w:val="sr-Cyrl-RS"/>
        </w:rPr>
        <w:t>која</w:t>
      </w:r>
      <w:r>
        <w:rPr>
          <w:rFonts w:cs="Calibri"/>
        </w:rPr>
        <w:t xml:space="preserve"> </w:t>
      </w:r>
      <w:r>
        <w:rPr>
          <w:rFonts w:cs="Calibri"/>
          <w:lang w:val="sr-Cyrl-RS"/>
        </w:rPr>
        <w:t>није</w:t>
      </w:r>
      <w:r>
        <w:rPr>
          <w:rFonts w:cs="Calibri"/>
        </w:rPr>
        <w:t xml:space="preserve"> </w:t>
      </w:r>
      <w:r>
        <w:rPr>
          <w:rFonts w:cs="Calibri"/>
          <w:lang w:val="sr-Cyrl-RS"/>
        </w:rPr>
        <w:t>законски</w:t>
      </w:r>
      <w:r>
        <w:rPr>
          <w:rFonts w:cs="Calibri"/>
        </w:rPr>
        <w:t xml:space="preserve">  </w:t>
      </w:r>
      <w:r>
        <w:rPr>
          <w:rFonts w:cs="Calibri"/>
          <w:lang w:val="sr-Cyrl-RS"/>
        </w:rPr>
        <w:t>дефинисана</w:t>
      </w:r>
      <w:r>
        <w:rPr>
          <w:rFonts w:cs="Calibri"/>
        </w:rPr>
        <w:t>.</w:t>
      </w:r>
    </w:p>
    <w:p>
      <w:pPr>
        <w:ind w:left="1080"/>
        <w:rPr>
          <w:rFonts w:cs="Calibri"/>
          <w:b/>
          <w:lang w:val="sr-Cyrl-RS"/>
        </w:rPr>
      </w:pPr>
    </w:p>
    <w:p>
      <w:pPr>
        <w:rPr>
          <w:rFonts w:cs="Calibri"/>
          <w:b/>
        </w:rPr>
      </w:pPr>
      <w:r>
        <w:rPr>
          <w:rFonts w:cs="Calibri"/>
          <w:b/>
          <w:i/>
        </w:rPr>
        <w:t>Финансирање предшколског образовања</w:t>
      </w:r>
      <w:r>
        <w:rPr>
          <w:rFonts w:cs="Calibri"/>
          <w:b/>
          <w:i/>
          <w:lang w:val="sr-Cyrl-RS"/>
        </w:rPr>
        <w:t>.</w:t>
      </w:r>
      <w:r>
        <w:rPr>
          <w:rFonts w:cs="Calibri"/>
          <w:b/>
          <w:lang w:val="sr-Cyrl-RS"/>
        </w:rPr>
        <w:t xml:space="preserve"> </w:t>
      </w:r>
      <w:r>
        <w:rPr>
          <w:rFonts w:cs="Calibri"/>
          <w:lang w:val="sr-Cyrl-BA"/>
        </w:rPr>
        <w:t>Законом о предшколском васпитању и образовању</w:t>
      </w:r>
      <w:r>
        <w:rPr>
          <w:rStyle w:val="31"/>
          <w:rFonts w:cs="Calibri"/>
          <w:lang w:val="sr-Cyrl-BA"/>
        </w:rPr>
        <w:footnoteReference w:id="11"/>
      </w:r>
      <w:r>
        <w:rPr>
          <w:rFonts w:cs="Calibri"/>
          <w:lang w:val="sr-Cyrl-BA"/>
        </w:rPr>
        <w:t xml:space="preserve">  је дефинисано да средства за обављање дјелатности предшколске установе обезбјеђује оснивач</w:t>
      </w:r>
      <w:r>
        <w:rPr>
          <w:rFonts w:cs="Calibri"/>
          <w:lang w:val="sr-Cyrl-RS"/>
        </w:rPr>
        <w:t xml:space="preserve">. </w:t>
      </w:r>
    </w:p>
    <w:p>
      <w:pPr>
        <w:rPr>
          <w:rFonts w:cs="Calibri"/>
          <w:lang w:val="sr-Cyrl-BA"/>
        </w:rPr>
      </w:pPr>
    </w:p>
    <w:p>
      <w:pPr>
        <w:jc w:val="center"/>
        <w:rPr>
          <w:rFonts w:eastAsia="Times New Roman" w:cs="Calibri"/>
          <w:i/>
          <w:sz w:val="18"/>
          <w:szCs w:val="18"/>
          <w:lang w:val="sr-Cyrl-RS"/>
        </w:rPr>
      </w:pPr>
      <w:r>
        <w:rPr>
          <w:lang w:val="sr-Latn-CS" w:eastAsia="sr-Latn-CS"/>
        </w:rPr>
        <w:drawing>
          <wp:inline distT="0" distB="0" distL="0" distR="0">
            <wp:extent cx="5762625" cy="22193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rPr>
          <w:rFonts w:cs="Calibri"/>
          <w:lang w:val="sr-Cyrl-BA"/>
        </w:rPr>
      </w:pPr>
      <w:r>
        <w:rPr>
          <w:rFonts w:eastAsia="Times New Roman" w:cs="Calibri"/>
          <w:i/>
          <w:sz w:val="18"/>
          <w:szCs w:val="18"/>
          <w:lang w:val="sr-Cyrl-RS"/>
        </w:rPr>
        <w:t xml:space="preserve">   Извор: Извјештај </w:t>
      </w:r>
      <w:r>
        <w:rPr>
          <w:rFonts w:eastAsia="Times New Roman" w:cs="Calibri"/>
          <w:i/>
          <w:sz w:val="18"/>
          <w:szCs w:val="18"/>
          <w:lang w:val="sr-Cyrl-BA"/>
        </w:rPr>
        <w:t>ЈУ Центар за предшколско васпитање и образовање Бања Лука</w:t>
      </w:r>
    </w:p>
    <w:p>
      <w:pPr>
        <w:jc w:val="both"/>
        <w:rPr>
          <w:rFonts w:cs="Calibri"/>
        </w:rPr>
      </w:pPr>
    </w:p>
    <w:p>
      <w:pPr>
        <w:jc w:val="both"/>
        <w:rPr>
          <w:rFonts w:cs="Calibri"/>
          <w:lang w:val="sr-Latn-CS"/>
        </w:rPr>
      </w:pPr>
      <w:r>
        <w:rPr>
          <w:rFonts w:cs="Calibri"/>
          <w:lang w:val="sr-Cyrl-BA"/>
        </w:rPr>
        <w:t>У структури извора финансирања ЈУ Центар, доминантно је учешће средстава града које у посматраном периоду износи просечно  61,97%, без значајније промене тренда. Економска цијена боравка дјетета у вртићу у 2016. години износила је 364,61 КМ и релативно је стабилна у односу на претходне године. 53% од укупног броја корисника плаћа субвенционисану цијену. У 2016. години у вртићима је боравило у просјеку 2.134 дјеце. У идеалном случају да је свих 2.134 родитеља плаћало пуну цијену боравка дјетета у вртићу од 165,00 КМ Центар би имао властити приход од 4.227.300, КМ.  Међутим, због диференциране цијене коштања боравка дјеце у вртићу и умањења прихода услед кориштења попуста, годишњег одмора за дјецу, Центар је остварио у 2016. години властите приходе у износу од 3.323.427,00 КМ (или 78,6% од идеалних прихода). Наведену разлику је финансирао град Бања Лука.</w:t>
      </w:r>
      <w:r>
        <w:rPr>
          <w:rFonts w:cs="Calibri"/>
        </w:rPr>
        <w:t xml:space="preserve"> </w:t>
      </w:r>
    </w:p>
    <w:p>
      <w:pPr>
        <w:jc w:val="both"/>
        <w:rPr>
          <w:rFonts w:cs="Calibri"/>
          <w:lang w:val="sr-Cyrl-BA"/>
        </w:rPr>
      </w:pPr>
    </w:p>
    <w:p>
      <w:pPr>
        <w:jc w:val="both"/>
        <w:rPr>
          <w:rFonts w:cs="Calibri"/>
          <w:lang w:val="sr-Cyrl-BA"/>
        </w:rPr>
      </w:pPr>
      <w:r>
        <w:rPr>
          <w:rFonts w:cs="Calibri"/>
          <w:lang w:val="sr-Cyrl-BA"/>
        </w:rPr>
        <w:t xml:space="preserve">Од 2015. године, Програм за дјецу, годину пред полазак у школу реализују основне школе и ЈУ „Центар за предшколско васпитање и образовање“ у сарадњи са Министарством просвјете и културе РС, у 29 основних школа на територији града Бања Лука, у тромјесечном трајању, почев од марта мјесеца. </w:t>
      </w:r>
    </w:p>
    <w:p>
      <w:pPr>
        <w:jc w:val="both"/>
        <w:rPr>
          <w:rFonts w:cs="Calibri"/>
          <w:lang w:val="sr-Cyrl-BA"/>
        </w:rPr>
      </w:pPr>
      <w:r>
        <w:rPr>
          <w:rFonts w:cs="Calibri"/>
          <w:lang w:val="sr-Cyrl-BA"/>
        </w:rPr>
        <w:tab/>
      </w:r>
    </w:p>
    <w:tbl>
      <w:tblPr>
        <w:tblStyle w:val="36"/>
        <w:tblW w:w="936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8D08D" w:themeFill="accent6" w:themeFillTint="99"/>
        <w:tblLayout w:type="fixed"/>
        <w:tblCellMar>
          <w:top w:w="0" w:type="dxa"/>
          <w:left w:w="108" w:type="dxa"/>
          <w:bottom w:w="0" w:type="dxa"/>
          <w:right w:w="108" w:type="dxa"/>
        </w:tblCellMar>
      </w:tblPr>
      <w:tblGrid>
        <w:gridCol w:w="93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0" w:type="dxa"/>
            <w:shd w:val="clear" w:color="auto" w:fill="C5E0B3" w:themeFill="accent6" w:themeFillTint="66"/>
          </w:tcPr>
          <w:p>
            <w:pPr>
              <w:jc w:val="both"/>
              <w:rPr>
                <w:rFonts w:cs="Calibri"/>
                <w:i/>
                <w:lang w:val="sr-Cyrl-RS"/>
              </w:rPr>
            </w:pPr>
            <w:r>
              <w:rPr>
                <w:rFonts w:cs="Calibri"/>
                <w:i/>
              </w:rPr>
              <w:t>Предшколске установе у граду Бања Лука воде компетентни људски ресурси и постоји развијена образовна инфраструктура.</w:t>
            </w:r>
            <w:r>
              <w:rPr>
                <w:rFonts w:cs="Calibri"/>
                <w:i/>
                <w:lang w:val="sr-Cyrl-RS"/>
              </w:rPr>
              <w:t xml:space="preserve"> </w:t>
            </w:r>
            <w:r>
              <w:rPr>
                <w:rFonts w:cs="Calibri"/>
                <w:i/>
              </w:rPr>
              <w:t xml:space="preserve">Сви вртићи раде у складу са програмом рада који доноси Министарство просвјете и културе РС. Међутим, </w:t>
            </w:r>
            <w:r>
              <w:rPr>
                <w:rFonts w:cs="Calibri"/>
                <w:i/>
                <w:lang w:val="sr-Cyrl-RS"/>
              </w:rPr>
              <w:t xml:space="preserve">предшколски систем се суочава и са изазовима: недовољни инфраструткурни капацитети и </w:t>
            </w:r>
            <w:r>
              <w:rPr>
                <w:rFonts w:cs="Calibri"/>
                <w:i/>
              </w:rPr>
              <w:t>старост</w:t>
            </w:r>
            <w:r>
              <w:rPr>
                <w:rFonts w:cs="Calibri"/>
                <w:i/>
                <w:lang w:val="sr-Cyrl-RS"/>
              </w:rPr>
              <w:t xml:space="preserve"> постојећих</w:t>
            </w:r>
            <w:r>
              <w:rPr>
                <w:rFonts w:cs="Calibri"/>
                <w:i/>
              </w:rPr>
              <w:t xml:space="preserve"> објеката</w:t>
            </w:r>
            <w:r>
              <w:rPr>
                <w:rFonts w:cs="Calibri"/>
                <w:i/>
                <w:lang w:val="sr-Cyrl-RS"/>
              </w:rPr>
              <w:t>; с</w:t>
            </w:r>
            <w:r>
              <w:rPr>
                <w:rFonts w:cs="Calibri"/>
                <w:i/>
              </w:rPr>
              <w:t>тањ</w:t>
            </w:r>
            <w:r>
              <w:rPr>
                <w:rFonts w:cs="Calibri"/>
                <w:i/>
                <w:lang w:val="sr-Cyrl-RS"/>
              </w:rPr>
              <w:t>е</w:t>
            </w:r>
            <w:r>
              <w:rPr>
                <w:rFonts w:cs="Calibri"/>
                <w:i/>
              </w:rPr>
              <w:t xml:space="preserve"> и опремљеност објеката</w:t>
            </w:r>
            <w:r>
              <w:rPr>
                <w:rFonts w:cs="Calibri"/>
                <w:i/>
                <w:lang w:val="sr-Cyrl-RS"/>
              </w:rPr>
              <w:t xml:space="preserve"> које </w:t>
            </w:r>
            <w:r>
              <w:rPr>
                <w:rFonts w:cs="Calibri"/>
                <w:i/>
              </w:rPr>
              <w:t>д</w:t>
            </w:r>
            <w:r>
              <w:rPr>
                <w:rFonts w:cs="Calibri"/>
                <w:i/>
                <w:lang w:val="sr-Cyrl-RS"/>
              </w:rPr>
              <w:t>ј</w:t>
            </w:r>
            <w:r>
              <w:rPr>
                <w:rFonts w:cs="Calibri"/>
                <w:i/>
              </w:rPr>
              <w:t>елимично одступа од Правилника</w:t>
            </w:r>
            <w:r>
              <w:rPr>
                <w:rFonts w:cs="Calibri"/>
                <w:i/>
                <w:lang w:val="sr-Cyrl-RS"/>
              </w:rPr>
              <w:t xml:space="preserve"> </w:t>
            </w:r>
            <w:r>
              <w:rPr>
                <w:rFonts w:cs="Calibri"/>
                <w:i/>
              </w:rPr>
              <w:t>о стандардима и нормативу за област предшколског васпитања и образовања</w:t>
            </w:r>
            <w:r>
              <w:rPr>
                <w:rStyle w:val="31"/>
                <w:rFonts w:cs="Calibri"/>
                <w:i/>
              </w:rPr>
              <w:footnoteReference w:id="12"/>
            </w:r>
            <w:r>
              <w:rPr>
                <w:rFonts w:cs="Calibri"/>
                <w:i/>
                <w:lang w:val="sr-Cyrl-RS"/>
              </w:rPr>
              <w:t xml:space="preserve">, а све ово  </w:t>
            </w:r>
            <w:r>
              <w:rPr>
                <w:rFonts w:cs="Calibri"/>
                <w:i/>
              </w:rPr>
              <w:t>захтј</w:t>
            </w:r>
            <w:r>
              <w:rPr>
                <w:rFonts w:cs="Calibri"/>
                <w:i/>
                <w:lang w:val="sr-Cyrl-RS"/>
              </w:rPr>
              <w:t>ева</w:t>
            </w:r>
            <w:r>
              <w:rPr>
                <w:rFonts w:cs="Calibri"/>
                <w:i/>
              </w:rPr>
              <w:t xml:space="preserve"> знатна улагања која превазилазе буџет локалне самоуправе</w:t>
            </w:r>
            <w:r>
              <w:rPr>
                <w:rFonts w:cs="Calibri"/>
                <w:i/>
                <w:lang w:val="sr-Cyrl-RS"/>
              </w:rPr>
              <w:t>. Такође, постоји потреба за већом доступности предшколског образовања и васпитања у руралним подручјима, која је ниска. Иако постојећа законска рјешења теже успостављању високих стандарда у образовном систему,</w:t>
            </w:r>
            <w:r>
              <w:rPr>
                <w:rFonts w:cs="Calibri"/>
                <w:i/>
                <w:lang w:val="sr-Latn-CS"/>
              </w:rPr>
              <w:t xml:space="preserve"> </w:t>
            </w:r>
            <w:r>
              <w:rPr>
                <w:rFonts w:cs="Calibri"/>
                <w:i/>
                <w:lang w:val="sr-Cyrl-RS"/>
              </w:rPr>
              <w:t xml:space="preserve">посљедица ових изазова је недовољан обухват дјеце предшколског узраста програмима образовања и васпитања.  </w:t>
            </w:r>
          </w:p>
          <w:p>
            <w:pPr>
              <w:jc w:val="both"/>
              <w:rPr>
                <w:rFonts w:cs="Calibri"/>
                <w:i/>
                <w:lang w:val="sr-Latn-RS"/>
              </w:rPr>
            </w:pPr>
            <w:r>
              <w:rPr>
                <w:rFonts w:cs="Calibri"/>
                <w:i/>
              </w:rPr>
              <w:t>У наредном периоду неопходан је већи фокус на реализацију инклузивног образовања и васпитања што је у овом тренутку отежано због нејасно дефинисаног законског оквира.</w:t>
            </w:r>
            <w:r>
              <w:rPr>
                <w:rFonts w:cs="Calibri"/>
                <w:i/>
                <w:lang w:val="sr-Cyrl-RS"/>
              </w:rPr>
              <w:t xml:space="preserve"> Иако Стратегија образовања Републике Српске сагледава проблеме предшколског васпитања и образовања, неопходан је јасно дефинисан стратешки оквир на локалном нивоу као </w:t>
            </w:r>
            <w:r>
              <w:rPr>
                <w:rFonts w:cs="Calibri"/>
                <w:i/>
              </w:rPr>
              <w:t>добра полазна основа за даљи развој ове области</w:t>
            </w:r>
            <w:r>
              <w:rPr>
                <w:rFonts w:cs="Calibri"/>
                <w:i/>
                <w:lang w:val="sr-Cyrl-RS"/>
              </w:rPr>
              <w:t>.</w:t>
            </w:r>
          </w:p>
        </w:tc>
      </w:tr>
    </w:tbl>
    <w:p>
      <w:pPr>
        <w:rPr>
          <w:rFonts w:cs="Calibri"/>
          <w:b/>
          <w:lang w:val="sr-Cyrl-RS"/>
        </w:rPr>
      </w:pPr>
    </w:p>
    <w:p>
      <w:pPr>
        <w:tabs>
          <w:tab w:val="left" w:pos="1506"/>
        </w:tabs>
        <w:ind w:firstLine="360"/>
        <w:rPr>
          <w:rFonts w:eastAsia="Times New Roman"/>
          <w:b/>
          <w:bCs/>
          <w:i/>
          <w:kern w:val="32"/>
        </w:rPr>
      </w:pPr>
      <w:r>
        <w:rPr>
          <w:rFonts w:eastAsia="Times New Roman"/>
          <w:b/>
          <w:bCs/>
          <w:i/>
          <w:kern w:val="32"/>
        </w:rPr>
        <w:t>Основно образовање</w:t>
      </w:r>
    </w:p>
    <w:p>
      <w:pPr>
        <w:spacing w:before="120" w:line="276" w:lineRule="auto"/>
        <w:contextualSpacing/>
        <w:jc w:val="both"/>
        <w:rPr>
          <w:rFonts w:cs="Calibri"/>
          <w:b/>
        </w:rPr>
      </w:pPr>
    </w:p>
    <w:p>
      <w:pPr>
        <w:spacing w:before="120" w:line="276" w:lineRule="auto"/>
        <w:contextualSpacing/>
        <w:jc w:val="both"/>
        <w:rPr>
          <w:rFonts w:eastAsia="Times New Roman" w:cs="Calibri"/>
          <w:lang w:val="sr-Cyrl-BA"/>
        </w:rPr>
      </w:pPr>
      <w:r>
        <w:rPr>
          <w:rFonts w:cs="Calibri"/>
        </w:rPr>
        <w:t xml:space="preserve">Основно образовање </w:t>
      </w:r>
      <w:r>
        <w:rPr>
          <w:rFonts w:cs="Calibri"/>
          <w:lang w:val="sr-Cyrl-RS"/>
        </w:rPr>
        <w:t xml:space="preserve">је </w:t>
      </w:r>
      <w:r>
        <w:rPr>
          <w:rFonts w:cs="Calibri"/>
        </w:rPr>
        <w:t xml:space="preserve">у надлежности је Министарства просвјете и културе Републике Српске, и реализује се у складу са плановима и програмима прописаним Законом о </w:t>
      </w:r>
      <w:bookmarkStart w:id="40" w:name="_Hlk503467782"/>
      <w:r>
        <w:rPr>
          <w:rFonts w:cs="Calibri"/>
        </w:rPr>
        <w:t>основном васпитању и образовању.</w:t>
      </w:r>
      <w:r>
        <w:rPr>
          <w:rStyle w:val="31"/>
          <w:rFonts w:cs="Calibri"/>
        </w:rPr>
        <w:footnoteReference w:id="13"/>
      </w:r>
      <w:r>
        <w:rPr>
          <w:rFonts w:cs="Calibri"/>
          <w:lang w:val="sr-Cyrl-RS"/>
        </w:rPr>
        <w:t xml:space="preserve"> </w:t>
      </w:r>
      <w:r>
        <w:rPr>
          <w:rFonts w:eastAsia="Times New Roman" w:cs="Calibri"/>
          <w:lang w:val="sr-Cyrl-BA"/>
        </w:rPr>
        <w:t xml:space="preserve">Чланом 168 овог Закона, дефинисано је обезбјеђење средстава за основно образовање: средства за рад школе коју оснива Република обезбјеђују се из: 1) буџета републике, 2) буџета јединице локалне самоуправе на чијем подручју се школа налази 3) других извора. </w:t>
      </w:r>
      <w:r>
        <w:rPr>
          <w:rFonts w:cs="Calibri"/>
          <w:lang w:val="sr-Cyrl-BA"/>
        </w:rPr>
        <w:t>Влада обезбјеђује: „средства школама за плате и накнаде запослених у складу са важећим прописима, изградњу, опремање и инвестиционо одржавање, трошкове материјалног пословања, стручно усавршавање запослених, п</w:t>
      </w:r>
      <w:r>
        <w:rPr>
          <w:rFonts w:eastAsia="Times New Roman" w:cs="Calibri"/>
          <w:lang w:val="sr-Cyrl-BA"/>
        </w:rPr>
        <w:t xml:space="preserve">римања запослених по основу превоза на посао, уколико је удаљеност до школе више од четири километра, финасирање трошкова превоза ученика који до школе путују са удаљености веће од четири километра и друга лична примања, Републичко такмичење и такмичење ученика вишег ранга на основу сагласности Министарства“. </w:t>
      </w:r>
    </w:p>
    <w:p>
      <w:pPr>
        <w:spacing w:before="120" w:line="276" w:lineRule="auto"/>
        <w:contextualSpacing/>
        <w:jc w:val="both"/>
        <w:rPr>
          <w:rFonts w:eastAsia="Times New Roman" w:cs="Calibri"/>
          <w:lang w:val="sr-Cyrl-BA"/>
        </w:rPr>
      </w:pPr>
    </w:p>
    <w:p>
      <w:pPr>
        <w:spacing w:before="120" w:line="276" w:lineRule="auto"/>
        <w:contextualSpacing/>
        <w:jc w:val="both"/>
        <w:rPr>
          <w:rFonts w:eastAsia="Times New Roman" w:cs="Calibri"/>
          <w:lang w:val="sr-Latn-CS"/>
        </w:rPr>
      </w:pPr>
      <w:r>
        <w:rPr>
          <w:rFonts w:eastAsia="Times New Roman" w:cs="Calibri"/>
          <w:lang w:val="sr-Cyrl-BA"/>
        </w:rPr>
        <w:t>Јединице локалне самоуправе на чијем се подручју налази сједиште школе објебјеђује средства за такмичење ученика на општинском нивоу и трошкове учешћа ученика са подручја општине на регионалном нивоу. Јединица локалне самоуправе на чијем се подручју налази сједиште школе може обезбједити дио средстава за: изградњу, опремање и инвестиционо одржавање и трошкове материјалног пословања.Такође, предвиђено је да средства за финасирање асистента из члана 84. став 5. овог закона могу да се обезбједе из: 1) буџета Републике,2) буџета јединице локалне самоуптаве, 3) средства родитеља и 4) из других извора.</w:t>
      </w:r>
      <w:r>
        <w:rPr>
          <w:rFonts w:eastAsia="Times New Roman" w:cs="Calibri"/>
          <w:lang w:val="sr-Latn-CS"/>
        </w:rPr>
        <w:t xml:space="preserve"> </w:t>
      </w:r>
    </w:p>
    <w:p>
      <w:pPr>
        <w:spacing w:before="120" w:line="276" w:lineRule="auto"/>
        <w:contextualSpacing/>
        <w:jc w:val="both"/>
        <w:rPr>
          <w:rFonts w:eastAsia="Times New Roman" w:cs="Calibri"/>
          <w:lang w:val="sr-Cyrl-BA"/>
        </w:rPr>
      </w:pPr>
      <w:r>
        <w:rPr>
          <w:rFonts w:cs="Calibri"/>
          <w:lang w:val="sr-Cyrl-BA"/>
        </w:rPr>
        <w:t>Приоритетни циљеви локалне самоуправе у односу на д</w:t>
      </w:r>
      <w:r>
        <w:rPr>
          <w:rFonts w:cs="Calibri"/>
          <w:lang w:val="sr-Cyrl-RS"/>
        </w:rPr>
        <w:t>ј</w:t>
      </w:r>
      <w:r>
        <w:rPr>
          <w:rFonts w:cs="Calibri"/>
          <w:lang w:val="sr-Cyrl-BA"/>
        </w:rPr>
        <w:t>ецу основношколског узраста</w:t>
      </w:r>
      <w:r>
        <w:rPr>
          <w:rFonts w:cs="Calibri"/>
          <w:lang w:val="sr-Cyrl-RS"/>
        </w:rPr>
        <w:t xml:space="preserve">, дефинисани су </w:t>
      </w:r>
      <w:bookmarkStart w:id="41" w:name="_Hlk504074866"/>
      <w:r>
        <w:rPr>
          <w:rFonts w:eastAsia="Times New Roman" w:cs="Calibri"/>
          <w:lang w:val="sr-Cyrl-BA"/>
        </w:rPr>
        <w:t>Акционом</w:t>
      </w:r>
      <w:r>
        <w:rPr>
          <w:rFonts w:cs="Calibri"/>
          <w:lang w:val="sr-Cyrl-BA"/>
        </w:rPr>
        <w:t xml:space="preserve"> плану за дјецу града Бања Лук</w:t>
      </w:r>
      <w:r>
        <w:rPr>
          <w:rFonts w:cs="Calibri"/>
          <w:lang w:val="sr-Cyrl-RS"/>
        </w:rPr>
        <w:t xml:space="preserve">е за период 2016-2020. </w:t>
      </w:r>
      <w:bookmarkEnd w:id="41"/>
      <w:r>
        <w:rPr>
          <w:rFonts w:cs="Calibri"/>
          <w:lang w:val="sr-Cyrl-RS"/>
        </w:rPr>
        <w:t xml:space="preserve">године. Акциони план заснива се на </w:t>
      </w:r>
      <w:r>
        <w:t>глобалн</w:t>
      </w:r>
      <w:r>
        <w:rPr>
          <w:lang w:val="sr-Cyrl-RS"/>
        </w:rPr>
        <w:t>ој</w:t>
      </w:r>
      <w:r>
        <w:t xml:space="preserve"> иницијатив</w:t>
      </w:r>
      <w:r>
        <w:rPr>
          <w:lang w:val="sr-Cyrl-RS"/>
        </w:rPr>
        <w:t>и</w:t>
      </w:r>
      <w:r>
        <w:t xml:space="preserve"> за постизање стандарда за </w:t>
      </w:r>
      <w:r>
        <w:rPr>
          <w:i/>
        </w:rPr>
        <w:t>Градове – пријатеље дјеце</w:t>
      </w:r>
      <w:r>
        <w:rPr>
          <w:i/>
          <w:lang w:val="sr-Cyrl-RS"/>
        </w:rPr>
        <w:t>.</w:t>
      </w:r>
    </w:p>
    <w:bookmarkEnd w:id="40"/>
    <w:p>
      <w:pPr>
        <w:rPr>
          <w:rFonts w:cs="Calibri"/>
          <w:b/>
        </w:rPr>
      </w:pPr>
    </w:p>
    <w:p>
      <w:pPr>
        <w:spacing w:before="120" w:line="276" w:lineRule="auto"/>
        <w:contextualSpacing/>
        <w:jc w:val="both"/>
        <w:rPr>
          <w:rFonts w:cs="Calibri"/>
          <w:lang w:val="sr-Cyrl-RS"/>
        </w:rPr>
      </w:pPr>
      <w:r>
        <w:rPr>
          <w:rFonts w:cs="Calibri"/>
          <w:b/>
        </w:rPr>
        <w:t xml:space="preserve">Институционални, инфраструктурни </w:t>
      </w:r>
      <w:r>
        <w:rPr>
          <w:rFonts w:cs="Calibri"/>
          <w:b/>
          <w:lang w:val="sr-Cyrl-RS"/>
        </w:rPr>
        <w:t>и капацитети људских ресурса</w:t>
      </w:r>
      <w:r>
        <w:rPr>
          <w:rFonts w:cs="Calibri"/>
          <w:b/>
        </w:rPr>
        <w:t xml:space="preserve">. </w:t>
      </w:r>
      <w:r>
        <w:rPr>
          <w:rFonts w:cs="Calibri"/>
          <w:lang w:val="sr-Cyrl-BA"/>
        </w:rPr>
        <w:t xml:space="preserve">На територији града </w:t>
      </w:r>
      <w:r>
        <w:rPr>
          <w:rFonts w:eastAsia="Times New Roman" w:cs="Calibri"/>
          <w:lang w:val="sr-Cyrl-BA"/>
        </w:rPr>
        <w:t>Бања Лука</w:t>
      </w:r>
      <w:r>
        <w:rPr>
          <w:rFonts w:cs="Calibri"/>
          <w:lang w:val="sr-Cyrl-BA"/>
        </w:rPr>
        <w:t xml:space="preserve"> ради 29 основних школа и 26 подручних школа чији је оснивач Влада РС и једна приватна основна школа „Прва балетска школа“.  </w:t>
      </w:r>
      <w:r>
        <w:rPr>
          <w:rFonts w:cs="Calibri"/>
        </w:rPr>
        <w:t>Због мањег броја ученика</w:t>
      </w:r>
      <w:r>
        <w:rPr>
          <w:rFonts w:cs="Calibri"/>
          <w:lang w:val="sr-Cyrl-RS"/>
        </w:rPr>
        <w:t>,</w:t>
      </w:r>
      <w:r>
        <w:rPr>
          <w:rFonts w:cs="Calibri"/>
        </w:rPr>
        <w:t xml:space="preserve"> а у складу са Законом</w:t>
      </w:r>
      <w:r>
        <w:rPr>
          <w:rFonts w:cs="Calibri"/>
          <w:lang w:val="sr-Cyrl-RS"/>
        </w:rPr>
        <w:t>,</w:t>
      </w:r>
      <w:r>
        <w:rPr>
          <w:rFonts w:cs="Calibri"/>
        </w:rPr>
        <w:t xml:space="preserve"> затворено је неколико подручних школа. </w:t>
      </w:r>
      <w:r>
        <w:rPr>
          <w:rFonts w:cs="Calibri"/>
          <w:color w:val="000000"/>
          <w:w w:val="102"/>
          <w:lang w:val="sr-Cyrl-RS"/>
        </w:rPr>
        <w:t>Највећи број школа је изграђен или реновиран у првој половини седамдесетих година двадесетог вијека, после земљотреса 1969. године.</w:t>
      </w:r>
      <w:r>
        <w:rPr>
          <w:rFonts w:cs="Calibri"/>
          <w:b/>
          <w:lang w:val="sr-Cyrl-RS"/>
        </w:rPr>
        <w:t xml:space="preserve">  </w:t>
      </w:r>
      <w:r>
        <w:rPr>
          <w:rFonts w:cs="Calibri"/>
          <w:lang w:val="sr-Cyrl-RS"/>
        </w:rPr>
        <w:t xml:space="preserve">Само двије школе имају архитектонска прилагођавања за ученике са сметњама у развоју или инвалидитетом. </w:t>
      </w:r>
      <w:r>
        <w:rPr>
          <w:rFonts w:cs="Calibri"/>
          <w:lang w:val="sr-Cyrl-BA"/>
        </w:rPr>
        <w:t>У основним школама гдје је било интереса организован је продужени боравак. У 2015. години, у 14 основних школа, организован је продужени боравак, а 2016. године у 12 основних школа. Реализација наставе физичког васпитања у централним и појединим подручним школама одвија се у фискултурним салама. Фискултурне сале посједује 28 централних основних школа, као и неке подручне школе.</w:t>
      </w:r>
    </w:p>
    <w:p>
      <w:pPr>
        <w:rPr>
          <w:rFonts w:cs="Calibri"/>
          <w:lang w:val="sr-Cyrl-BA"/>
        </w:rPr>
      </w:pPr>
    </w:p>
    <w:p>
      <w:pPr>
        <w:spacing w:line="276" w:lineRule="auto"/>
        <w:jc w:val="both"/>
        <w:rPr>
          <w:rFonts w:cs="Calibri"/>
          <w:lang w:val="sr-Cyrl-RS"/>
        </w:rPr>
      </w:pPr>
      <w:r>
        <w:rPr>
          <w:rFonts w:eastAsia="Times New Roman" w:cs="Calibri"/>
          <w:lang w:val="sr-Cyrl-BA"/>
        </w:rPr>
        <w:t>Тренд кретања броја ученика у основним школама је стабилан</w:t>
      </w:r>
      <w:r>
        <w:rPr>
          <w:rFonts w:eastAsia="Times New Roman" w:cs="Calibri"/>
        </w:rPr>
        <w:t>.</w:t>
      </w:r>
      <w:r>
        <w:rPr>
          <w:rFonts w:eastAsia="Times New Roman" w:cs="Calibri"/>
          <w:lang w:val="sr-Cyrl-RS"/>
        </w:rPr>
        <w:t xml:space="preserve"> Број</w:t>
      </w:r>
      <w:r>
        <w:rPr>
          <w:rFonts w:eastAsia="Times New Roman" w:cs="Calibri"/>
          <w:lang w:val="sr-Cyrl-BA"/>
        </w:rPr>
        <w:t xml:space="preserve"> </w:t>
      </w:r>
      <w:r>
        <w:rPr>
          <w:rFonts w:eastAsia="Times New Roman" w:cs="Calibri"/>
          <w:lang w:val="sr-Cyrl-RS"/>
        </w:rPr>
        <w:t>ученика</w:t>
      </w:r>
      <w:r>
        <w:rPr>
          <w:rFonts w:eastAsia="Times New Roman" w:cs="Calibri"/>
          <w:lang w:val="sr-Cyrl-BA"/>
        </w:rPr>
        <w:t xml:space="preserve"> </w:t>
      </w:r>
      <w:r>
        <w:rPr>
          <w:rFonts w:eastAsia="Times New Roman" w:cs="Calibri"/>
          <w:lang w:val="sr-Cyrl-RS"/>
        </w:rPr>
        <w:t>завршног</w:t>
      </w:r>
      <w:r>
        <w:rPr>
          <w:rFonts w:eastAsia="Times New Roman" w:cs="Calibri"/>
          <w:lang w:val="sr-Cyrl-BA"/>
        </w:rPr>
        <w:t xml:space="preserve"> </w:t>
      </w:r>
      <w:r>
        <w:rPr>
          <w:rFonts w:eastAsia="Times New Roman" w:cs="Calibri"/>
          <w:lang w:val="sr-Cyrl-RS"/>
        </w:rPr>
        <w:t>разреда</w:t>
      </w:r>
      <w:r>
        <w:rPr>
          <w:rFonts w:eastAsia="Times New Roman" w:cs="Calibri"/>
          <w:lang w:val="sr-Cyrl-BA"/>
        </w:rPr>
        <w:t xml:space="preserve"> </w:t>
      </w:r>
      <w:r>
        <w:rPr>
          <w:rFonts w:eastAsia="Times New Roman" w:cs="Calibri"/>
          <w:lang w:val="sr-Cyrl-RS"/>
        </w:rPr>
        <w:t>је</w:t>
      </w:r>
      <w:r>
        <w:rPr>
          <w:rFonts w:eastAsia="Times New Roman" w:cs="Calibri"/>
          <w:lang w:val="sr-Cyrl-BA"/>
        </w:rPr>
        <w:t xml:space="preserve"> </w:t>
      </w:r>
      <w:r>
        <w:rPr>
          <w:rFonts w:eastAsia="Times New Roman" w:cs="Calibri"/>
          <w:lang w:val="sr-Cyrl-RS"/>
        </w:rPr>
        <w:t>у</w:t>
      </w:r>
      <w:r>
        <w:rPr>
          <w:rFonts w:eastAsia="Times New Roman" w:cs="Calibri"/>
          <w:lang w:val="sr-Cyrl-BA"/>
        </w:rPr>
        <w:t xml:space="preserve"> </w:t>
      </w:r>
      <w:r>
        <w:rPr>
          <w:rFonts w:eastAsia="Times New Roman" w:cs="Calibri"/>
          <w:lang w:val="sr-Cyrl-RS"/>
        </w:rPr>
        <w:t>лаганом</w:t>
      </w:r>
      <w:r>
        <w:rPr>
          <w:rFonts w:eastAsia="Times New Roman" w:cs="Calibri"/>
          <w:lang w:val="sr-Cyrl-BA"/>
        </w:rPr>
        <w:t xml:space="preserve"> </w:t>
      </w:r>
      <w:r>
        <w:rPr>
          <w:rFonts w:eastAsia="Times New Roman" w:cs="Calibri"/>
          <w:lang w:val="sr-Cyrl-RS"/>
        </w:rPr>
        <w:t>порасту</w:t>
      </w:r>
      <w:r>
        <w:rPr>
          <w:rFonts w:eastAsia="Times New Roman" w:cs="Calibri"/>
          <w:lang w:val="sr-Cyrl-BA"/>
        </w:rPr>
        <w:t xml:space="preserve"> </w:t>
      </w:r>
      <w:r>
        <w:rPr>
          <w:rFonts w:eastAsia="Times New Roman" w:cs="Calibri"/>
          <w:lang w:val="sr-Cyrl-RS"/>
        </w:rPr>
        <w:t>током</w:t>
      </w:r>
      <w:r>
        <w:rPr>
          <w:rFonts w:eastAsia="Times New Roman" w:cs="Calibri"/>
          <w:lang w:val="sr-Cyrl-BA"/>
        </w:rPr>
        <w:t xml:space="preserve"> </w:t>
      </w:r>
      <w:r>
        <w:rPr>
          <w:rFonts w:eastAsia="Times New Roman" w:cs="Calibri"/>
          <w:lang w:val="sr-Cyrl-RS"/>
        </w:rPr>
        <w:t>последњих</w:t>
      </w:r>
      <w:r>
        <w:rPr>
          <w:rFonts w:eastAsia="Times New Roman" w:cs="Calibri"/>
          <w:lang w:val="sr-Cyrl-BA"/>
        </w:rPr>
        <w:t xml:space="preserve"> </w:t>
      </w:r>
      <w:r>
        <w:rPr>
          <w:rFonts w:eastAsia="Times New Roman" w:cs="Calibri"/>
          <w:lang w:val="sr-Cyrl-RS"/>
        </w:rPr>
        <w:t>пет</w:t>
      </w:r>
      <w:r>
        <w:rPr>
          <w:rFonts w:eastAsia="Times New Roman" w:cs="Calibri"/>
          <w:lang w:val="sr-Cyrl-BA"/>
        </w:rPr>
        <w:t xml:space="preserve"> </w:t>
      </w:r>
      <w:r>
        <w:rPr>
          <w:rFonts w:eastAsia="Times New Roman" w:cs="Calibri"/>
          <w:lang w:val="sr-Cyrl-RS"/>
        </w:rPr>
        <w:t>година</w:t>
      </w:r>
      <w:r>
        <w:rPr>
          <w:rFonts w:eastAsia="Times New Roman" w:cs="Calibri"/>
        </w:rPr>
        <w:t xml:space="preserve">. </w:t>
      </w:r>
      <w:r>
        <w:rPr>
          <w:rFonts w:eastAsia="Times New Roman" w:cs="Calibri"/>
          <w:lang w:val="en-US"/>
        </w:rPr>
        <w:t>Демографски</w:t>
      </w:r>
      <w:r>
        <w:rPr>
          <w:rFonts w:eastAsia="Times New Roman" w:cs="Calibri"/>
          <w:lang w:val="sr-Cyrl-BA"/>
        </w:rPr>
        <w:t xml:space="preserve"> </w:t>
      </w:r>
      <w:r>
        <w:rPr>
          <w:rFonts w:eastAsia="Times New Roman" w:cs="Calibri"/>
          <w:lang w:val="en-US"/>
        </w:rPr>
        <w:t>показатељи</w:t>
      </w:r>
      <w:r>
        <w:rPr>
          <w:rFonts w:eastAsia="Times New Roman" w:cs="Calibri"/>
          <w:lang w:val="sr-Cyrl-BA"/>
        </w:rPr>
        <w:t xml:space="preserve"> </w:t>
      </w:r>
      <w:r>
        <w:rPr>
          <w:rFonts w:eastAsia="Times New Roman" w:cs="Calibri"/>
          <w:lang w:val="en-US"/>
        </w:rPr>
        <w:t>говоре</w:t>
      </w:r>
      <w:r>
        <w:rPr>
          <w:rFonts w:eastAsia="Times New Roman" w:cs="Calibri"/>
          <w:lang w:val="sr-Cyrl-BA"/>
        </w:rPr>
        <w:t xml:space="preserve"> </w:t>
      </w:r>
      <w:r>
        <w:rPr>
          <w:rFonts w:eastAsia="Times New Roman" w:cs="Calibri"/>
          <w:lang w:val="en-US"/>
        </w:rPr>
        <w:t>о</w:t>
      </w:r>
      <w:r>
        <w:rPr>
          <w:rFonts w:eastAsia="Times New Roman" w:cs="Calibri"/>
          <w:lang w:val="sr-Cyrl-BA"/>
        </w:rPr>
        <w:t xml:space="preserve"> </w:t>
      </w:r>
      <w:r>
        <w:rPr>
          <w:rFonts w:eastAsia="Times New Roman" w:cs="Calibri"/>
          <w:lang w:val="en-US"/>
        </w:rPr>
        <w:t>стабилном</w:t>
      </w:r>
      <w:r>
        <w:rPr>
          <w:rFonts w:eastAsia="Times New Roman" w:cs="Calibri"/>
          <w:lang w:val="sr-Cyrl-BA"/>
        </w:rPr>
        <w:t xml:space="preserve"> </w:t>
      </w:r>
      <w:r>
        <w:rPr>
          <w:rFonts w:eastAsia="Times New Roman" w:cs="Calibri"/>
          <w:lang w:val="en-US"/>
        </w:rPr>
        <w:t>приливу</w:t>
      </w:r>
      <w:r>
        <w:rPr>
          <w:rFonts w:eastAsia="Times New Roman" w:cs="Calibri"/>
          <w:lang w:val="sr-Cyrl-BA"/>
        </w:rPr>
        <w:t xml:space="preserve"> </w:t>
      </w:r>
      <w:r>
        <w:rPr>
          <w:rFonts w:eastAsia="Times New Roman" w:cs="Calibri"/>
          <w:lang w:val="en-US"/>
        </w:rPr>
        <w:t>деце</w:t>
      </w:r>
      <w:r>
        <w:rPr>
          <w:rFonts w:eastAsia="Times New Roman" w:cs="Calibri"/>
          <w:lang w:val="sr-Cyrl-BA"/>
        </w:rPr>
        <w:t xml:space="preserve"> </w:t>
      </w:r>
      <w:r>
        <w:rPr>
          <w:rFonts w:eastAsia="Times New Roman" w:cs="Calibri"/>
          <w:lang w:val="en-US"/>
        </w:rPr>
        <w:t>у</w:t>
      </w:r>
      <w:r>
        <w:rPr>
          <w:rFonts w:eastAsia="Times New Roman" w:cs="Calibri"/>
          <w:lang w:val="sr-Cyrl-BA"/>
        </w:rPr>
        <w:t xml:space="preserve"> </w:t>
      </w:r>
      <w:r>
        <w:rPr>
          <w:rFonts w:eastAsia="Times New Roman" w:cs="Calibri"/>
          <w:lang w:val="en-US"/>
        </w:rPr>
        <w:t>основне</w:t>
      </w:r>
      <w:r>
        <w:rPr>
          <w:rFonts w:eastAsia="Times New Roman" w:cs="Calibri"/>
          <w:lang w:val="sr-Cyrl-BA"/>
        </w:rPr>
        <w:t xml:space="preserve"> </w:t>
      </w:r>
      <w:r>
        <w:rPr>
          <w:rFonts w:eastAsia="Times New Roman" w:cs="Calibri"/>
          <w:lang w:val="en-US"/>
        </w:rPr>
        <w:t>школе</w:t>
      </w:r>
      <w:r>
        <w:rPr>
          <w:rFonts w:eastAsia="Times New Roman" w:cs="Calibri"/>
          <w:lang w:val="sr-Cyrl-BA"/>
        </w:rPr>
        <w:t xml:space="preserve"> </w:t>
      </w:r>
      <w:r>
        <w:rPr>
          <w:rFonts w:eastAsia="Times New Roman" w:cs="Calibri"/>
          <w:lang w:val="en-US"/>
        </w:rPr>
        <w:t>и</w:t>
      </w:r>
      <w:r>
        <w:rPr>
          <w:rFonts w:eastAsia="Times New Roman" w:cs="Calibri"/>
          <w:lang w:val="sr-Cyrl-BA"/>
        </w:rPr>
        <w:t xml:space="preserve"> </w:t>
      </w:r>
      <w:r>
        <w:rPr>
          <w:rFonts w:eastAsia="Times New Roman" w:cs="Calibri"/>
          <w:lang w:val="en-US"/>
        </w:rPr>
        <w:t>у</w:t>
      </w:r>
      <w:r>
        <w:rPr>
          <w:rFonts w:eastAsia="Times New Roman" w:cs="Calibri"/>
          <w:lang w:val="sr-Cyrl-BA"/>
        </w:rPr>
        <w:t xml:space="preserve"> </w:t>
      </w:r>
      <w:r>
        <w:rPr>
          <w:rFonts w:eastAsia="Times New Roman" w:cs="Calibri"/>
          <w:lang w:val="en-US"/>
        </w:rPr>
        <w:t>наредних</w:t>
      </w:r>
      <w:r>
        <w:rPr>
          <w:rFonts w:eastAsia="Times New Roman" w:cs="Calibri"/>
          <w:lang w:val="sr-Cyrl-BA"/>
        </w:rPr>
        <w:t xml:space="preserve"> </w:t>
      </w:r>
      <w:r>
        <w:rPr>
          <w:rFonts w:eastAsia="Times New Roman" w:cs="Calibri"/>
          <w:lang w:val="en-US"/>
        </w:rPr>
        <w:t>пет</w:t>
      </w:r>
      <w:r>
        <w:rPr>
          <w:rFonts w:eastAsia="Times New Roman" w:cs="Calibri"/>
          <w:lang w:val="sr-Cyrl-BA"/>
        </w:rPr>
        <w:t xml:space="preserve"> </w:t>
      </w:r>
      <w:r>
        <w:rPr>
          <w:rFonts w:eastAsia="Times New Roman" w:cs="Calibri"/>
          <w:lang w:val="en-US"/>
        </w:rPr>
        <w:t>година</w:t>
      </w:r>
      <w:r>
        <w:rPr>
          <w:rFonts w:eastAsia="Times New Roman" w:cs="Calibri"/>
        </w:rPr>
        <w:t xml:space="preserve">. </w:t>
      </w:r>
      <w:r>
        <w:rPr>
          <w:rFonts w:eastAsia="Times New Roman" w:cs="Calibri"/>
          <w:lang w:val="en-US"/>
        </w:rPr>
        <w:t>У</w:t>
      </w:r>
      <w:r>
        <w:rPr>
          <w:rFonts w:eastAsia="Times New Roman" w:cs="Calibri"/>
          <w:lang w:val="sr-Cyrl-BA"/>
        </w:rPr>
        <w:t xml:space="preserve"> </w:t>
      </w:r>
      <w:r>
        <w:rPr>
          <w:rFonts w:eastAsia="Times New Roman" w:cs="Calibri"/>
          <w:lang w:val="en-US"/>
        </w:rPr>
        <w:t>складу</w:t>
      </w:r>
      <w:r>
        <w:rPr>
          <w:rFonts w:eastAsia="Times New Roman" w:cs="Calibri"/>
          <w:lang w:val="sr-Cyrl-BA"/>
        </w:rPr>
        <w:t xml:space="preserve"> </w:t>
      </w:r>
      <w:r>
        <w:rPr>
          <w:rFonts w:eastAsia="Times New Roman" w:cs="Calibri"/>
          <w:lang w:val="en-US"/>
        </w:rPr>
        <w:t>са</w:t>
      </w:r>
      <w:r>
        <w:rPr>
          <w:rFonts w:eastAsia="Times New Roman" w:cs="Calibri"/>
          <w:lang w:val="sr-Cyrl-BA"/>
        </w:rPr>
        <w:t xml:space="preserve"> </w:t>
      </w:r>
      <w:r>
        <w:rPr>
          <w:rFonts w:eastAsia="Times New Roman" w:cs="Calibri"/>
          <w:lang w:val="en-US"/>
        </w:rPr>
        <w:t>тим</w:t>
      </w:r>
      <w:r>
        <w:rPr>
          <w:rFonts w:eastAsia="Times New Roman" w:cs="Calibri"/>
        </w:rPr>
        <w:t xml:space="preserve">, </w:t>
      </w:r>
      <w:r>
        <w:rPr>
          <w:rFonts w:eastAsia="Times New Roman" w:cs="Calibri"/>
          <w:lang w:val="en-US"/>
        </w:rPr>
        <w:t>Од</w:t>
      </w:r>
      <w:r>
        <w:rPr>
          <w:rFonts w:eastAsia="Times New Roman" w:cs="Calibri"/>
          <w:lang w:val="sr-Cyrl-RS"/>
        </w:rPr>
        <w:t>ј</w:t>
      </w:r>
      <w:r>
        <w:rPr>
          <w:rFonts w:eastAsia="Times New Roman" w:cs="Calibri"/>
          <w:lang w:val="en-US"/>
        </w:rPr>
        <w:t>ељење</w:t>
      </w:r>
      <w:r>
        <w:rPr>
          <w:rFonts w:eastAsia="Times New Roman" w:cs="Calibri"/>
          <w:lang w:val="sr-Cyrl-BA"/>
        </w:rPr>
        <w:t xml:space="preserve"> за образовање, здравство, омладину и спорт </w:t>
      </w:r>
      <w:r>
        <w:rPr>
          <w:rFonts w:eastAsia="Times New Roman" w:cs="Calibri"/>
          <w:lang w:val="en-US"/>
        </w:rPr>
        <w:t>је</w:t>
      </w:r>
      <w:r>
        <w:rPr>
          <w:rFonts w:eastAsia="Times New Roman" w:cs="Calibri"/>
          <w:lang w:val="sr-Cyrl-BA"/>
        </w:rPr>
        <w:t xml:space="preserve"> </w:t>
      </w:r>
      <w:r>
        <w:rPr>
          <w:rFonts w:eastAsia="Times New Roman" w:cs="Calibri"/>
          <w:lang w:val="en-US"/>
        </w:rPr>
        <w:t>носилац</w:t>
      </w:r>
      <w:r>
        <w:rPr>
          <w:rFonts w:eastAsia="Times New Roman" w:cs="Calibri"/>
          <w:lang w:val="sr-Cyrl-BA"/>
        </w:rPr>
        <w:t xml:space="preserve">  </w:t>
      </w:r>
      <w:r>
        <w:rPr>
          <w:rFonts w:eastAsia="Times New Roman" w:cs="Calibri"/>
          <w:lang w:val="en-US"/>
        </w:rPr>
        <w:t>активности</w:t>
      </w:r>
      <w:r>
        <w:rPr>
          <w:rFonts w:eastAsia="Times New Roman" w:cs="Calibri"/>
          <w:lang w:val="sr-Cyrl-BA"/>
        </w:rPr>
        <w:t xml:space="preserve"> </w:t>
      </w:r>
      <w:r>
        <w:rPr>
          <w:rFonts w:eastAsia="Times New Roman" w:cs="Calibri"/>
          <w:lang w:val="en-US"/>
        </w:rPr>
        <w:t>заговарања</w:t>
      </w:r>
      <w:r>
        <w:rPr>
          <w:rFonts w:eastAsia="Times New Roman" w:cs="Calibri"/>
          <w:lang w:val="sr-Cyrl-BA"/>
        </w:rPr>
        <w:t xml:space="preserve"> </w:t>
      </w:r>
      <w:r>
        <w:rPr>
          <w:rFonts w:eastAsia="Times New Roman" w:cs="Calibri"/>
          <w:lang w:val="en-US"/>
        </w:rPr>
        <w:t>изградње</w:t>
      </w:r>
      <w:r>
        <w:rPr>
          <w:rFonts w:eastAsia="Times New Roman" w:cs="Calibri"/>
          <w:lang w:val="sr-Cyrl-BA"/>
        </w:rPr>
        <w:t xml:space="preserve"> </w:t>
      </w:r>
      <w:r>
        <w:rPr>
          <w:rFonts w:eastAsia="Times New Roman" w:cs="Calibri"/>
          <w:lang w:val="en-US"/>
        </w:rPr>
        <w:t>школа</w:t>
      </w:r>
      <w:r>
        <w:rPr>
          <w:rFonts w:eastAsia="Times New Roman" w:cs="Calibri"/>
          <w:lang w:val="sr-Cyrl-BA"/>
        </w:rPr>
        <w:t xml:space="preserve"> </w:t>
      </w:r>
      <w:r>
        <w:rPr>
          <w:rFonts w:eastAsia="Times New Roman" w:cs="Calibri"/>
          <w:lang w:val="en-US"/>
        </w:rPr>
        <w:t>у</w:t>
      </w:r>
      <w:r>
        <w:rPr>
          <w:rFonts w:eastAsia="Times New Roman" w:cs="Calibri"/>
          <w:lang w:val="sr-Cyrl-BA"/>
        </w:rPr>
        <w:t xml:space="preserve"> </w:t>
      </w:r>
      <w:r>
        <w:rPr>
          <w:rFonts w:eastAsia="Times New Roman" w:cs="Calibri"/>
          <w:lang w:val="en-US"/>
        </w:rPr>
        <w:t>насељима</w:t>
      </w:r>
      <w:r>
        <w:rPr>
          <w:rFonts w:eastAsia="Times New Roman" w:cs="Calibri"/>
          <w:lang w:val="sr-Cyrl-BA"/>
        </w:rPr>
        <w:t xml:space="preserve"> </w:t>
      </w:r>
      <w:r>
        <w:rPr>
          <w:rFonts w:eastAsia="Times New Roman" w:cs="Calibri"/>
          <w:lang w:val="en-US"/>
        </w:rPr>
        <w:t>Ада</w:t>
      </w:r>
      <w:r>
        <w:rPr>
          <w:rFonts w:eastAsia="Times New Roman" w:cs="Calibri"/>
          <w:lang w:val="sr-Cyrl-BA"/>
        </w:rPr>
        <w:t xml:space="preserve"> </w:t>
      </w:r>
      <w:r>
        <w:rPr>
          <w:rFonts w:eastAsia="Times New Roman" w:cs="Calibri"/>
          <w:lang w:val="en-US"/>
        </w:rPr>
        <w:t>и</w:t>
      </w:r>
      <w:r>
        <w:rPr>
          <w:rFonts w:eastAsia="Times New Roman" w:cs="Calibri"/>
          <w:lang w:val="sr-Cyrl-BA"/>
        </w:rPr>
        <w:t xml:space="preserve">ли Старчевица </w:t>
      </w:r>
      <w:r>
        <w:rPr>
          <w:rFonts w:eastAsia="Times New Roman" w:cs="Calibri"/>
          <w:lang w:val="en-US"/>
        </w:rPr>
        <w:t>до</w:t>
      </w:r>
      <w:r>
        <w:rPr>
          <w:rFonts w:eastAsia="Times New Roman" w:cs="Calibri"/>
        </w:rPr>
        <w:t xml:space="preserve"> 2020.</w:t>
      </w:r>
      <w:r>
        <w:rPr>
          <w:rFonts w:eastAsia="Times New Roman" w:cs="Calibri"/>
          <w:lang w:val="sr-Cyrl-RS"/>
        </w:rPr>
        <w:t xml:space="preserve"> године. </w:t>
      </w:r>
      <w:r>
        <w:rPr>
          <w:rFonts w:cs="Calibri"/>
        </w:rPr>
        <w:t xml:space="preserve">Велика је разлика у броју ученика у </w:t>
      </w:r>
      <w:r>
        <w:rPr>
          <w:rFonts w:cs="Calibri"/>
          <w:lang w:val="sr-Cyrl-RS"/>
        </w:rPr>
        <w:t>основним школама</w:t>
      </w:r>
      <w:r>
        <w:rPr>
          <w:rFonts w:cs="Calibri"/>
        </w:rPr>
        <w:t xml:space="preserve"> на територији Града</w:t>
      </w:r>
      <w:r>
        <w:rPr>
          <w:rFonts w:cs="Calibri"/>
          <w:lang w:val="sr-Cyrl-RS"/>
        </w:rPr>
        <w:t xml:space="preserve">. Најбројнија је ОШ „Бранко Радичевић“ са 1746 ученика. Евидентан је проблем смањења броја ученика у руралном подручју. Ако се настави тенденција смањења броја ученика у руралном подручју, за очекивати је затварање појединих подручних школа, а неке централне школе ће изгубити тај статус и постати подручне школе најближим централним школама. </w:t>
      </w:r>
    </w:p>
    <w:p>
      <w:pPr>
        <w:jc w:val="both"/>
        <w:rPr>
          <w:rFonts w:cs="Calibri"/>
          <w:i/>
          <w:color w:val="000000"/>
          <w:w w:val="102"/>
          <w:lang w:val="sr-Cyrl-RS"/>
        </w:rPr>
      </w:pPr>
      <w:r>
        <w:rPr>
          <w:rFonts w:cs="Calibri"/>
          <w:u w:val="single"/>
          <w:lang w:val="sr-Latn-CS" w:eastAsia="sr-Latn-CS"/>
        </w:rPr>
        <w:drawing>
          <wp:anchor distT="0" distB="0" distL="114300" distR="114300" simplePos="0" relativeHeight="251672576" behindDoc="1" locked="0" layoutInCell="1" allowOverlap="1">
            <wp:simplePos x="0" y="0"/>
            <wp:positionH relativeFrom="margin">
              <wp:posOffset>752475</wp:posOffset>
            </wp:positionH>
            <wp:positionV relativeFrom="paragraph">
              <wp:posOffset>73025</wp:posOffset>
            </wp:positionV>
            <wp:extent cx="4743450" cy="1914525"/>
            <wp:effectExtent l="0" t="0" r="0" b="9525"/>
            <wp:wrapTight wrapText="bothSides">
              <wp:wrapPolygon>
                <wp:start x="0" y="0"/>
                <wp:lineTo x="0" y="21493"/>
                <wp:lineTo x="21513" y="21493"/>
                <wp:lineTo x="21513"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cs="Calibri"/>
          <w:i/>
          <w:color w:val="000000"/>
          <w:w w:val="102"/>
          <w:lang w:val="sr-Cyrl-RS"/>
        </w:rPr>
        <w:t xml:space="preserve">  </w:t>
      </w: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i/>
          <w:color w:val="000000"/>
          <w:w w:val="102"/>
          <w:lang w:val="sr-Cyrl-RS"/>
        </w:rPr>
      </w:pPr>
    </w:p>
    <w:p>
      <w:pPr>
        <w:jc w:val="both"/>
        <w:rPr>
          <w:rFonts w:cs="Calibri"/>
          <w:lang w:val="sr-Cyrl-RS"/>
        </w:rPr>
      </w:pPr>
      <w:r>
        <w:rPr>
          <w:rFonts w:cs="Calibri"/>
          <w:i/>
          <w:color w:val="000000"/>
          <w:w w:val="102"/>
          <w:sz w:val="18"/>
          <w:lang w:val="sr-Cyrl-RS"/>
        </w:rPr>
        <w:t xml:space="preserve">                             Извор: Годишњи извјептаји основних школа</w:t>
      </w:r>
    </w:p>
    <w:p>
      <w:pPr>
        <w:jc w:val="both"/>
        <w:rPr>
          <w:rFonts w:cs="Calibri"/>
          <w:lang w:val="sr-Cyrl-RS"/>
        </w:rPr>
      </w:pPr>
    </w:p>
    <w:p>
      <w:pPr>
        <w:spacing w:line="276" w:lineRule="auto"/>
        <w:jc w:val="both"/>
        <w:rPr>
          <w:rFonts w:cs="Calibri"/>
          <w:lang w:val="sr-Cyrl-BA"/>
        </w:rPr>
      </w:pPr>
      <w:r>
        <w:rPr>
          <w:rFonts w:eastAsia="Times New Roman" w:cs="Calibri"/>
          <w:b/>
          <w:lang w:val="sr-Cyrl-RS"/>
        </w:rPr>
        <w:t xml:space="preserve">Инклузивно образовање. </w:t>
      </w:r>
      <w:r>
        <w:rPr>
          <w:rFonts w:cs="Calibri"/>
          <w:lang w:val="sr-Cyrl-RS"/>
        </w:rPr>
        <w:t xml:space="preserve">За </w:t>
      </w:r>
      <w:r>
        <w:rPr>
          <w:color w:val="3C3032"/>
          <w:shd w:val="clear" w:color="auto" w:fill="FFFFFF"/>
          <w:lang w:val="sr-Cyrl-RS"/>
        </w:rPr>
        <w:t xml:space="preserve">дјецу са сметњама у развоју, основно образовање се спроводи и у центру „Заштити ме“ и </w:t>
      </w:r>
      <w:r>
        <w:rPr>
          <w:lang w:val="sr-Cyrl-RS"/>
        </w:rPr>
        <w:t xml:space="preserve">Центру за образовање, васпитање и рехабилитацију слуха и говора, који образује децу са оштећењем слуха. </w:t>
      </w:r>
      <w:r>
        <w:rPr>
          <w:rFonts w:cs="Calibri"/>
          <w:lang w:val="sr-Cyrl-BA"/>
        </w:rPr>
        <w:t>За дјецу са потешкоћама у развоју, уз рјешења Центра за социјални рад  о категоризацији, а уз одобрење Министарства просвјете и културе, обезбјеђен је асистент у настави. У школској 2016/2017. години, у основном образовању, према оцјени стручне Комисије учествује 299 (196М/103Ж) ученика са сметњама у развоју.</w:t>
      </w:r>
    </w:p>
    <w:p>
      <w:pPr>
        <w:jc w:val="both"/>
        <w:rPr>
          <w:rFonts w:eastAsia="Times New Roman" w:cs="Calibri"/>
          <w:b/>
          <w:lang w:val="sr-Cyrl-RS"/>
        </w:rPr>
      </w:pPr>
    </w:p>
    <w:p>
      <w:pPr>
        <w:spacing w:before="120" w:line="276" w:lineRule="auto"/>
        <w:contextualSpacing/>
        <w:jc w:val="both"/>
        <w:rPr>
          <w:rFonts w:eastAsia="Times New Roman" w:cs="Calibri"/>
          <w:lang w:val="sr-Cyrl-RS"/>
        </w:rPr>
      </w:pPr>
      <w:r>
        <w:rPr>
          <w:rFonts w:eastAsia="Times New Roman" w:cs="Calibri"/>
          <w:b/>
          <w:lang w:val="sr-Cyrl-BA"/>
        </w:rPr>
        <w:t xml:space="preserve">Финансијски ресурси. </w:t>
      </w:r>
      <w:r>
        <w:rPr>
          <w:rFonts w:eastAsia="Times New Roman" w:cs="Calibri"/>
          <w:lang w:val="sr-Cyrl-RS"/>
        </w:rPr>
        <w:t>Тренд издвајања финансијских средстава за основно образовање из буџета Града у последњих 5 година, указује да је у 2017. години издвојено 100% више средстава за санацију објеката основног образовања него у претходној години. Ова средства у посматраном периоду, била су на симболичном нивоу.</w:t>
      </w:r>
    </w:p>
    <w:p>
      <w:pPr>
        <w:tabs>
          <w:tab w:val="left" w:pos="1280"/>
        </w:tabs>
        <w:spacing w:before="120" w:line="276" w:lineRule="auto"/>
        <w:contextualSpacing/>
        <w:jc w:val="both"/>
        <w:rPr>
          <w:rFonts w:eastAsia="Times New Roman" w:cs="Calibri"/>
          <w:b/>
          <w:lang w:val="sr-Cyrl-BA"/>
        </w:rPr>
      </w:pPr>
    </w:p>
    <w:p>
      <w:pPr>
        <w:spacing w:before="120" w:line="276" w:lineRule="auto"/>
        <w:contextualSpacing/>
        <w:jc w:val="both"/>
        <w:rPr>
          <w:rFonts w:eastAsia="Times New Roman" w:cs="Calibri"/>
          <w:b/>
          <w:lang w:val="sr-Cyrl-RS"/>
        </w:rPr>
      </w:pPr>
      <w:r>
        <w:rPr>
          <w:lang w:val="sr-Latn-CS" w:eastAsia="sr-Latn-CS"/>
        </w:rPr>
        <w:drawing>
          <wp:anchor distT="0" distB="0" distL="114300" distR="114300" simplePos="0" relativeHeight="251673600" behindDoc="0" locked="0" layoutInCell="1" allowOverlap="1">
            <wp:simplePos x="0" y="0"/>
            <wp:positionH relativeFrom="column">
              <wp:posOffset>513715</wp:posOffset>
            </wp:positionH>
            <wp:positionV relativeFrom="paragraph">
              <wp:posOffset>10160</wp:posOffset>
            </wp:positionV>
            <wp:extent cx="5000625" cy="2609850"/>
            <wp:effectExtent l="0" t="0" r="9525" b="0"/>
            <wp:wrapSquare wrapText="bothSides"/>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spacing w:before="120" w:line="276" w:lineRule="auto"/>
        <w:contextualSpacing/>
        <w:jc w:val="center"/>
        <w:rPr>
          <w:rFonts w:eastAsia="Times New Roman" w:cs="Calibri"/>
          <w:b/>
          <w:lang w:val="sr-Cyrl-RS"/>
        </w:rPr>
      </w:pPr>
    </w:p>
    <w:p>
      <w:pPr>
        <w:spacing w:before="120" w:line="276" w:lineRule="auto"/>
        <w:ind w:left="720"/>
        <w:contextualSpacing/>
        <w:jc w:val="both"/>
        <w:rPr>
          <w:rFonts w:eastAsia="Times New Roman" w:cs="Calibri"/>
          <w:i/>
          <w:sz w:val="18"/>
          <w:szCs w:val="18"/>
          <w:lang w:val="sr-Cyrl-RS"/>
        </w:rPr>
      </w:pPr>
      <w:r>
        <w:rPr>
          <w:rFonts w:eastAsia="Times New Roman" w:cs="Calibri"/>
          <w:i/>
          <w:sz w:val="18"/>
          <w:szCs w:val="18"/>
          <w:lang w:val="sr-Cyrl-RS"/>
        </w:rPr>
        <w:t xml:space="preserve">         Извор: Годишњи буџет града Бања Лука </w:t>
      </w:r>
    </w:p>
    <w:p>
      <w:pPr>
        <w:rPr>
          <w:rFonts w:cs="Calibri"/>
          <w:b/>
        </w:rPr>
      </w:pPr>
    </w:p>
    <w:p>
      <w:pPr>
        <w:jc w:val="both"/>
        <w:rPr>
          <w:rFonts w:cs="Calibri"/>
          <w:b/>
        </w:rPr>
      </w:pPr>
    </w:p>
    <w:p>
      <w:pPr>
        <w:jc w:val="both"/>
        <w:rPr>
          <w:rFonts w:cs="Calibri"/>
          <w:lang w:val="sr-Latn-CS"/>
        </w:rPr>
      </w:pPr>
      <w:r>
        <w:rPr>
          <w:rFonts w:cs="Calibri"/>
          <w:b/>
        </w:rPr>
        <w:t>Сарадња</w:t>
      </w:r>
      <w:r>
        <w:rPr>
          <w:rFonts w:cs="Calibri"/>
          <w:b/>
          <w:lang w:val="sr-Cyrl-RS"/>
        </w:rPr>
        <w:t xml:space="preserve">. </w:t>
      </w:r>
      <w:r>
        <w:rPr>
          <w:rFonts w:cs="Calibri"/>
        </w:rPr>
        <w:t>Различите програме неформ</w:t>
      </w:r>
      <w:r>
        <w:rPr>
          <w:rFonts w:cs="Calibri"/>
          <w:lang w:val="sr-Cyrl-RS"/>
        </w:rPr>
        <w:t>а</w:t>
      </w:r>
      <w:r>
        <w:rPr>
          <w:rFonts w:cs="Calibri"/>
        </w:rPr>
        <w:t>лног образовања и пружања додатне подршке д</w:t>
      </w:r>
      <w:r>
        <w:rPr>
          <w:rFonts w:cs="Calibri"/>
          <w:lang w:val="sr-Cyrl-RS"/>
        </w:rPr>
        <w:t>ј</w:t>
      </w:r>
      <w:r>
        <w:rPr>
          <w:rFonts w:cs="Calibri"/>
        </w:rPr>
        <w:t>еци основношколског узраста и њиховим родитељима на територији Бања Луке реализују организације цивилног друштва.</w:t>
      </w:r>
      <w:r>
        <w:rPr>
          <w:rFonts w:cs="Calibri"/>
          <w:lang w:val="sr-Cyrl-RS"/>
        </w:rPr>
        <w:t xml:space="preserve"> </w:t>
      </w:r>
    </w:p>
    <w:p>
      <w:pPr>
        <w:jc w:val="both"/>
        <w:rPr>
          <w:rFonts w:cs="Calibri"/>
          <w:lang w:val="sr-Cyrl-RS"/>
        </w:rPr>
      </w:pPr>
    </w:p>
    <w:tbl>
      <w:tblPr>
        <w:tblStyle w:val="37"/>
        <w:tblW w:w="957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8C8C8" w:themeFill="accent3" w:themeFillTint="99"/>
        <w:tblLayout w:type="fixed"/>
        <w:tblCellMar>
          <w:top w:w="0" w:type="dxa"/>
          <w:left w:w="108" w:type="dxa"/>
          <w:bottom w:w="0" w:type="dxa"/>
          <w:right w:w="108" w:type="dxa"/>
        </w:tblCellMar>
      </w:tblPr>
      <w:tblGrid>
        <w:gridCol w:w="9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8C8C8" w:themeFill="accent3" w:themeFillTint="99"/>
          <w:tblLayout w:type="fixed"/>
        </w:tblPrEx>
        <w:tc>
          <w:tcPr>
            <w:tcW w:w="9576" w:type="dxa"/>
            <w:shd w:val="clear" w:color="auto" w:fill="C5E0B3" w:themeFill="accent6" w:themeFillTint="66"/>
          </w:tcPr>
          <w:p>
            <w:pPr>
              <w:jc w:val="both"/>
              <w:rPr>
                <w:rFonts w:cs="Calibri"/>
                <w:i/>
                <w:lang w:val="sr-Cyrl-RS"/>
              </w:rPr>
            </w:pPr>
            <w:r>
              <w:rPr>
                <w:rFonts w:cs="Calibri"/>
                <w:i/>
              </w:rPr>
              <w:t>Град Бања Лука има развијену инфраструктуру за основно образовање и квалитетне људске ресурсе.</w:t>
            </w:r>
            <w:r>
              <w:rPr>
                <w:rFonts w:cs="Calibri"/>
                <w:i/>
                <w:lang w:val="sr-Cyrl-RS"/>
              </w:rPr>
              <w:t xml:space="preserve"> Ипак, с обзиром на стање инфраструктуре основних школа, посебну пажњу потребно је посветити унапређењу инфраструктурних капацитета, те издвајању </w:t>
            </w:r>
            <w:r>
              <w:rPr>
                <w:rFonts w:cs="Calibri"/>
                <w:i/>
              </w:rPr>
              <w:t xml:space="preserve"> значајн</w:t>
            </w:r>
            <w:r>
              <w:rPr>
                <w:rFonts w:cs="Calibri"/>
                <w:i/>
                <w:lang w:val="sr-Cyrl-RS"/>
              </w:rPr>
              <w:t>их</w:t>
            </w:r>
            <w:r>
              <w:rPr>
                <w:rFonts w:cs="Calibri"/>
                <w:i/>
              </w:rPr>
              <w:t xml:space="preserve"> средства за санацију школских објеката</w:t>
            </w:r>
            <w:r>
              <w:rPr>
                <w:rFonts w:cs="Calibri"/>
                <w:i/>
                <w:lang w:val="sr-Cyrl-RS"/>
              </w:rPr>
              <w:t xml:space="preserve"> </w:t>
            </w:r>
            <w:r>
              <w:rPr>
                <w:rFonts w:cs="Calibri"/>
                <w:i/>
              </w:rPr>
              <w:t>у наредним годинама.</w:t>
            </w:r>
            <w:r>
              <w:rPr>
                <w:rFonts w:cs="Calibri"/>
                <w:i/>
                <w:lang w:val="sr-Cyrl-RS"/>
              </w:rPr>
              <w:t xml:space="preserve"> </w:t>
            </w:r>
          </w:p>
          <w:p>
            <w:pPr>
              <w:jc w:val="both"/>
              <w:rPr>
                <w:rFonts w:cs="Calibri"/>
                <w:i/>
                <w:lang w:val="sr-Cyrl-RS"/>
              </w:rPr>
            </w:pPr>
            <w:r>
              <w:rPr>
                <w:rFonts w:cs="Calibri"/>
                <w:i/>
              </w:rPr>
              <w:t xml:space="preserve">Уочљиво је </w:t>
            </w:r>
            <w:r>
              <w:rPr>
                <w:rFonts w:cs="Calibri"/>
                <w:i/>
                <w:lang w:val="sr-Cyrl-RS"/>
              </w:rPr>
              <w:t>смањење броја</w:t>
            </w:r>
            <w:r>
              <w:rPr>
                <w:rFonts w:cs="Calibri"/>
                <w:i/>
              </w:rPr>
              <w:t xml:space="preserve"> ученика у руралним срединама</w:t>
            </w:r>
            <w:r>
              <w:rPr>
                <w:rFonts w:cs="Calibri"/>
                <w:i/>
                <w:lang w:val="sr-Cyrl-RS"/>
              </w:rPr>
              <w:t xml:space="preserve"> које се посебно суочавају са проблемима неадекватних </w:t>
            </w:r>
            <w:r>
              <w:rPr>
                <w:rFonts w:cs="Calibri"/>
                <w:i/>
              </w:rPr>
              <w:t>услов</w:t>
            </w:r>
            <w:r>
              <w:rPr>
                <w:rFonts w:cs="Calibri"/>
                <w:i/>
                <w:lang w:val="sr-Cyrl-RS"/>
              </w:rPr>
              <w:t>а за рад.</w:t>
            </w:r>
            <w:r>
              <w:rPr>
                <w:rFonts w:cs="Calibri"/>
                <w:i/>
              </w:rPr>
              <w:t xml:space="preserve"> Овом проблему се приступа са аспекта рационализације, а не оптимизације броја школа.</w:t>
            </w:r>
            <w:r>
              <w:rPr>
                <w:rFonts w:cs="Calibri"/>
                <w:i/>
                <w:lang w:val="sr-Cyrl-RS"/>
              </w:rPr>
              <w:t xml:space="preserve"> </w:t>
            </w:r>
          </w:p>
          <w:p>
            <w:pPr>
              <w:jc w:val="both"/>
              <w:rPr>
                <w:rFonts w:cs="Calibri"/>
                <w:i/>
                <w:lang w:val="sr-Cyrl-RS"/>
              </w:rPr>
            </w:pPr>
            <w:r>
              <w:rPr>
                <w:rFonts w:cs="Calibri"/>
                <w:i/>
                <w:lang w:val="sr-Cyrl-RS"/>
              </w:rPr>
              <w:t>Кључни приоритети Града Бања Луке у овој области препознају се у унапређењу инфраструктурих капацитета - изградњом нових и реконструкцијом постојећих школских објеката, развоју комуналне инфраструктуре, успостављању услуга које доприносе квалитетом образовању, и посебно, у стварању услова за инклузивно образовање дјеце из осјетљивих и маргинализованих група.</w:t>
            </w:r>
          </w:p>
        </w:tc>
      </w:tr>
    </w:tbl>
    <w:p>
      <w:pPr>
        <w:rPr>
          <w:rFonts w:cs="Calibri"/>
        </w:rPr>
      </w:pPr>
    </w:p>
    <w:p>
      <w:pPr>
        <w:spacing w:after="160" w:line="259" w:lineRule="auto"/>
        <w:rPr>
          <w:rFonts w:eastAsia="Times New Roman"/>
          <w:b/>
          <w:bCs/>
          <w:i/>
          <w:kern w:val="32"/>
        </w:rPr>
      </w:pPr>
    </w:p>
    <w:p>
      <w:pPr>
        <w:spacing w:after="160" w:line="259" w:lineRule="auto"/>
        <w:rPr>
          <w:rFonts w:eastAsia="Times New Roman"/>
          <w:b/>
          <w:bCs/>
          <w:i/>
          <w:kern w:val="32"/>
          <w:lang w:val="sr-Cyrl-CS"/>
        </w:rPr>
      </w:pPr>
    </w:p>
    <w:p>
      <w:pPr>
        <w:spacing w:after="160" w:line="259" w:lineRule="auto"/>
        <w:rPr>
          <w:rFonts w:eastAsia="Times New Roman"/>
          <w:b/>
          <w:bCs/>
          <w:i/>
          <w:kern w:val="32"/>
        </w:rPr>
      </w:pPr>
      <w:r>
        <w:rPr>
          <w:rFonts w:eastAsia="Times New Roman"/>
          <w:b/>
          <w:bCs/>
          <w:i/>
          <w:kern w:val="32"/>
        </w:rPr>
        <w:t>Средњошколско образовање</w:t>
      </w:r>
    </w:p>
    <w:p>
      <w:pPr>
        <w:spacing w:before="120"/>
        <w:contextualSpacing/>
        <w:jc w:val="both"/>
        <w:rPr>
          <w:rFonts w:eastAsia="Times New Roman" w:cs="Calibri"/>
          <w:b/>
        </w:rPr>
      </w:pPr>
    </w:p>
    <w:p>
      <w:pPr>
        <w:spacing w:before="120"/>
        <w:contextualSpacing/>
        <w:jc w:val="both"/>
        <w:rPr>
          <w:rFonts w:eastAsia="Times New Roman" w:cs="Calibri"/>
          <w:color w:val="000000"/>
          <w:w w:val="102"/>
          <w:lang w:val="sr-Cyrl-RS"/>
        </w:rPr>
      </w:pPr>
      <w:r>
        <w:rPr>
          <w:rFonts w:eastAsia="Times New Roman" w:cs="Calibri"/>
          <w:lang w:val="sr-Cyrl-RS"/>
        </w:rPr>
        <w:t>Средње</w:t>
      </w:r>
      <w:r>
        <w:rPr>
          <w:rFonts w:eastAsia="Times New Roman" w:cs="Calibri"/>
          <w:lang w:val="sr-Cyrl-BA"/>
        </w:rPr>
        <w:t xml:space="preserve"> </w:t>
      </w:r>
      <w:r>
        <w:rPr>
          <w:rFonts w:eastAsia="Times New Roman" w:cs="Calibri"/>
          <w:lang w:val="sr-Cyrl-RS"/>
        </w:rPr>
        <w:t>образовање</w:t>
      </w:r>
      <w:r>
        <w:rPr>
          <w:rFonts w:eastAsia="Times New Roman" w:cs="Calibri"/>
          <w:lang w:val="sr-Cyrl-BA"/>
        </w:rPr>
        <w:t xml:space="preserve"> </w:t>
      </w:r>
      <w:r>
        <w:rPr>
          <w:rFonts w:eastAsia="Times New Roman" w:cs="Calibri"/>
          <w:lang w:val="sr-Cyrl-RS"/>
        </w:rPr>
        <w:t>је</w:t>
      </w:r>
      <w:r>
        <w:rPr>
          <w:rFonts w:eastAsia="Times New Roman" w:cs="Calibri"/>
          <w:lang w:val="sr-Cyrl-BA"/>
        </w:rPr>
        <w:t xml:space="preserve"> </w:t>
      </w:r>
      <w:r>
        <w:rPr>
          <w:rFonts w:eastAsia="Times New Roman" w:cs="Calibri"/>
          <w:lang w:val="sr-Cyrl-RS"/>
        </w:rPr>
        <w:t>у</w:t>
      </w:r>
      <w:r>
        <w:rPr>
          <w:rFonts w:eastAsia="Times New Roman" w:cs="Calibri"/>
          <w:lang w:val="sr-Cyrl-BA"/>
        </w:rPr>
        <w:t xml:space="preserve"> </w:t>
      </w:r>
      <w:r>
        <w:rPr>
          <w:rFonts w:eastAsia="Times New Roman" w:cs="Calibri"/>
          <w:lang w:val="sr-Cyrl-RS"/>
        </w:rPr>
        <w:t>надлежности</w:t>
      </w:r>
      <w:r>
        <w:rPr>
          <w:rFonts w:eastAsia="Times New Roman" w:cs="Calibri"/>
          <w:lang w:val="sr-Cyrl-BA"/>
        </w:rPr>
        <w:t xml:space="preserve"> </w:t>
      </w:r>
      <w:r>
        <w:rPr>
          <w:rFonts w:eastAsia="Times New Roman" w:cs="Calibri"/>
          <w:lang w:val="sr-Cyrl-RS"/>
        </w:rPr>
        <w:t>Министарства</w:t>
      </w:r>
      <w:r>
        <w:rPr>
          <w:rFonts w:eastAsia="Times New Roman" w:cs="Calibri"/>
          <w:lang w:val="sr-Cyrl-BA"/>
        </w:rPr>
        <w:t xml:space="preserve"> </w:t>
      </w:r>
      <w:r>
        <w:rPr>
          <w:rFonts w:eastAsia="Times New Roman" w:cs="Calibri"/>
          <w:lang w:val="sr-Cyrl-RS"/>
        </w:rPr>
        <w:t>просвјете</w:t>
      </w:r>
      <w:r>
        <w:rPr>
          <w:rFonts w:eastAsia="Times New Roman" w:cs="Calibri"/>
          <w:lang w:val="sr-Cyrl-BA"/>
        </w:rPr>
        <w:t xml:space="preserve"> </w:t>
      </w:r>
      <w:r>
        <w:rPr>
          <w:rFonts w:eastAsia="Times New Roman" w:cs="Calibri"/>
          <w:lang w:val="sr-Cyrl-RS"/>
        </w:rPr>
        <w:t>и</w:t>
      </w:r>
      <w:r>
        <w:rPr>
          <w:rFonts w:eastAsia="Times New Roman" w:cs="Calibri"/>
          <w:lang w:val="sr-Cyrl-BA"/>
        </w:rPr>
        <w:t xml:space="preserve"> </w:t>
      </w:r>
      <w:r>
        <w:rPr>
          <w:rFonts w:eastAsia="Times New Roman" w:cs="Calibri"/>
          <w:lang w:val="sr-Cyrl-RS"/>
        </w:rPr>
        <w:t>културе</w:t>
      </w:r>
      <w:r>
        <w:rPr>
          <w:rFonts w:eastAsia="Times New Roman" w:cs="Calibri"/>
          <w:lang w:val="sr-Cyrl-BA"/>
        </w:rPr>
        <w:t xml:space="preserve"> </w:t>
      </w:r>
      <w:r>
        <w:rPr>
          <w:rFonts w:eastAsia="Times New Roman" w:cs="Calibri"/>
          <w:lang w:val="sr-Cyrl-RS"/>
        </w:rPr>
        <w:t>Републике</w:t>
      </w:r>
      <w:r>
        <w:rPr>
          <w:rFonts w:eastAsia="Times New Roman" w:cs="Calibri"/>
          <w:lang w:val="sr-Cyrl-BA"/>
        </w:rPr>
        <w:t xml:space="preserve"> </w:t>
      </w:r>
      <w:r>
        <w:rPr>
          <w:rFonts w:eastAsia="Times New Roman" w:cs="Calibri"/>
          <w:lang w:val="sr-Cyrl-RS"/>
        </w:rPr>
        <w:t>Српске</w:t>
      </w:r>
      <w:r>
        <w:rPr>
          <w:rFonts w:eastAsia="Times New Roman" w:cs="Calibri"/>
        </w:rPr>
        <w:t xml:space="preserve">, </w:t>
      </w:r>
      <w:r>
        <w:rPr>
          <w:rFonts w:eastAsia="Times New Roman" w:cs="Calibri"/>
          <w:lang w:val="sr-Cyrl-RS"/>
        </w:rPr>
        <w:t>и</w:t>
      </w:r>
      <w:r>
        <w:rPr>
          <w:rFonts w:eastAsia="Times New Roman" w:cs="Calibri"/>
          <w:lang w:val="sr-Cyrl-BA"/>
        </w:rPr>
        <w:t xml:space="preserve"> </w:t>
      </w:r>
      <w:r>
        <w:rPr>
          <w:rFonts w:eastAsia="Times New Roman" w:cs="Calibri"/>
          <w:lang w:val="sr-Cyrl-RS"/>
        </w:rPr>
        <w:t>реализује</w:t>
      </w:r>
      <w:r>
        <w:rPr>
          <w:rFonts w:eastAsia="Times New Roman" w:cs="Calibri"/>
          <w:lang w:val="sr-Cyrl-BA"/>
        </w:rPr>
        <w:t xml:space="preserve"> </w:t>
      </w:r>
      <w:r>
        <w:rPr>
          <w:rFonts w:eastAsia="Times New Roman" w:cs="Calibri"/>
          <w:lang w:val="sr-Cyrl-RS"/>
        </w:rPr>
        <w:t>се</w:t>
      </w:r>
      <w:r>
        <w:rPr>
          <w:rFonts w:eastAsia="Times New Roman" w:cs="Calibri"/>
          <w:lang w:val="sr-Cyrl-BA"/>
        </w:rPr>
        <w:t xml:space="preserve"> </w:t>
      </w:r>
      <w:r>
        <w:rPr>
          <w:rFonts w:eastAsia="Times New Roman" w:cs="Calibri"/>
          <w:lang w:val="sr-Cyrl-RS"/>
        </w:rPr>
        <w:t>у</w:t>
      </w:r>
      <w:r>
        <w:rPr>
          <w:rFonts w:eastAsia="Times New Roman" w:cs="Calibri"/>
          <w:lang w:val="sr-Cyrl-BA"/>
        </w:rPr>
        <w:t xml:space="preserve"> </w:t>
      </w:r>
      <w:r>
        <w:rPr>
          <w:rFonts w:eastAsia="Times New Roman" w:cs="Calibri"/>
          <w:lang w:val="sr-Cyrl-RS"/>
        </w:rPr>
        <w:t>складу</w:t>
      </w:r>
      <w:r>
        <w:rPr>
          <w:rFonts w:eastAsia="Times New Roman" w:cs="Calibri"/>
          <w:lang w:val="sr-Cyrl-BA"/>
        </w:rPr>
        <w:t xml:space="preserve"> </w:t>
      </w:r>
      <w:r>
        <w:rPr>
          <w:rFonts w:eastAsia="Times New Roman" w:cs="Calibri"/>
          <w:lang w:val="sr-Cyrl-RS"/>
        </w:rPr>
        <w:t>са</w:t>
      </w:r>
      <w:r>
        <w:rPr>
          <w:rFonts w:eastAsia="Times New Roman" w:cs="Calibri"/>
          <w:lang w:val="sr-Cyrl-BA"/>
        </w:rPr>
        <w:t xml:space="preserve"> </w:t>
      </w:r>
      <w:r>
        <w:rPr>
          <w:rFonts w:eastAsia="Times New Roman" w:cs="Calibri"/>
          <w:lang w:val="sr-Cyrl-RS"/>
        </w:rPr>
        <w:t>плановима</w:t>
      </w:r>
      <w:r>
        <w:rPr>
          <w:rFonts w:eastAsia="Times New Roman" w:cs="Calibri"/>
          <w:lang w:val="sr-Cyrl-BA"/>
        </w:rPr>
        <w:t xml:space="preserve"> </w:t>
      </w:r>
      <w:r>
        <w:rPr>
          <w:rFonts w:eastAsia="Times New Roman" w:cs="Calibri"/>
          <w:lang w:val="sr-Cyrl-RS"/>
        </w:rPr>
        <w:t>и</w:t>
      </w:r>
      <w:r>
        <w:rPr>
          <w:rFonts w:eastAsia="Times New Roman" w:cs="Calibri"/>
          <w:lang w:val="sr-Cyrl-BA"/>
        </w:rPr>
        <w:t xml:space="preserve"> </w:t>
      </w:r>
      <w:r>
        <w:rPr>
          <w:rFonts w:eastAsia="Times New Roman" w:cs="Calibri"/>
          <w:lang w:val="sr-Cyrl-RS"/>
        </w:rPr>
        <w:t>програмима</w:t>
      </w:r>
      <w:r>
        <w:rPr>
          <w:rFonts w:eastAsia="Times New Roman" w:cs="Calibri"/>
          <w:lang w:val="sr-Cyrl-BA"/>
        </w:rPr>
        <w:t xml:space="preserve"> </w:t>
      </w:r>
      <w:r>
        <w:rPr>
          <w:rFonts w:eastAsia="Times New Roman" w:cs="Calibri"/>
          <w:lang w:val="sr-Cyrl-RS"/>
        </w:rPr>
        <w:t>прописаним</w:t>
      </w:r>
      <w:r>
        <w:rPr>
          <w:rFonts w:eastAsia="Times New Roman" w:cs="Calibri"/>
          <w:lang w:val="sr-Cyrl-BA"/>
        </w:rPr>
        <w:t xml:space="preserve"> </w:t>
      </w:r>
      <w:r>
        <w:rPr>
          <w:rFonts w:eastAsia="Times New Roman" w:cs="Calibri"/>
          <w:lang w:val="sr-Cyrl-RS"/>
        </w:rPr>
        <w:t>у</w:t>
      </w:r>
      <w:r>
        <w:rPr>
          <w:rFonts w:eastAsia="Times New Roman" w:cs="Calibri"/>
          <w:lang w:val="sr-Cyrl-BA"/>
        </w:rPr>
        <w:t xml:space="preserve"> </w:t>
      </w:r>
      <w:r>
        <w:rPr>
          <w:rFonts w:eastAsia="Times New Roman" w:cs="Calibri"/>
          <w:lang w:val="sr-Cyrl-RS"/>
        </w:rPr>
        <w:t>складу</w:t>
      </w:r>
      <w:r>
        <w:rPr>
          <w:rFonts w:eastAsia="Times New Roman" w:cs="Calibri"/>
          <w:lang w:val="sr-Cyrl-BA"/>
        </w:rPr>
        <w:t xml:space="preserve"> </w:t>
      </w:r>
      <w:r>
        <w:rPr>
          <w:rFonts w:eastAsia="Times New Roman" w:cs="Calibri"/>
          <w:lang w:val="sr-Cyrl-RS"/>
        </w:rPr>
        <w:t>са</w:t>
      </w:r>
      <w:r>
        <w:rPr>
          <w:rFonts w:eastAsia="Times New Roman" w:cs="Calibri"/>
          <w:lang w:val="sr-Cyrl-BA"/>
        </w:rPr>
        <w:t xml:space="preserve"> </w:t>
      </w:r>
      <w:r>
        <w:rPr>
          <w:rFonts w:eastAsia="Times New Roman" w:cs="Calibri"/>
          <w:lang w:val="sr-Cyrl-RS"/>
        </w:rPr>
        <w:t>Законом</w:t>
      </w:r>
      <w:r>
        <w:rPr>
          <w:rFonts w:eastAsia="Times New Roman" w:cs="Calibri"/>
          <w:lang w:val="sr-Cyrl-BA"/>
        </w:rPr>
        <w:t xml:space="preserve"> </w:t>
      </w:r>
      <w:r>
        <w:rPr>
          <w:rFonts w:eastAsia="Times New Roman" w:cs="Calibri"/>
          <w:lang w:val="sr-Cyrl-RS"/>
        </w:rPr>
        <w:t>о</w:t>
      </w:r>
      <w:r>
        <w:rPr>
          <w:rFonts w:eastAsia="Times New Roman" w:cs="Calibri"/>
          <w:lang w:val="sr-Cyrl-BA"/>
        </w:rPr>
        <w:t xml:space="preserve"> </w:t>
      </w:r>
      <w:r>
        <w:rPr>
          <w:rFonts w:eastAsia="Times New Roman" w:cs="Calibri"/>
          <w:lang w:val="sr-Cyrl-RS"/>
        </w:rPr>
        <w:t>средњем</w:t>
      </w:r>
      <w:r>
        <w:rPr>
          <w:rFonts w:eastAsia="Times New Roman" w:cs="Calibri"/>
          <w:lang w:val="sr-Cyrl-BA"/>
        </w:rPr>
        <w:t xml:space="preserve"> образовању и васпитању.</w:t>
      </w:r>
      <w:r>
        <w:rPr>
          <w:rStyle w:val="31"/>
          <w:rFonts w:eastAsia="Times New Roman" w:cs="Calibri"/>
          <w:lang w:val="sr-Cyrl-BA"/>
        </w:rPr>
        <w:footnoteReference w:id="14"/>
      </w:r>
      <w:r>
        <w:rPr>
          <w:rFonts w:eastAsia="Times New Roman" w:cs="Calibri"/>
          <w:lang w:val="sr-Cyrl-BA"/>
        </w:rPr>
        <w:t xml:space="preserve"> </w:t>
      </w:r>
      <w:r>
        <w:rPr>
          <w:rFonts w:eastAsia="Times New Roman"/>
          <w:lang w:val="sr-Cyrl-BA"/>
        </w:rPr>
        <w:t>У циљу унапређења квалитета знања и способности у средњим стручним школама</w:t>
      </w:r>
      <w:r>
        <w:rPr>
          <w:rFonts w:eastAsia="Times New Roman"/>
        </w:rPr>
        <w:t xml:space="preserve">, </w:t>
      </w:r>
      <w:r>
        <w:rPr>
          <w:rFonts w:eastAsia="Times New Roman"/>
          <w:lang w:val="sr-Cyrl-BA"/>
        </w:rPr>
        <w:t>Министарство је урадило евалуацију наставних планова и програма за сва занимања</w:t>
      </w:r>
      <w:r>
        <w:rPr>
          <w:rFonts w:eastAsia="Times New Roman"/>
        </w:rPr>
        <w:t xml:space="preserve">, </w:t>
      </w:r>
      <w:r>
        <w:rPr>
          <w:rFonts w:eastAsia="Times New Roman"/>
          <w:lang w:val="sr-Cyrl-BA"/>
        </w:rPr>
        <w:t>и</w:t>
      </w:r>
      <w:r>
        <w:rPr>
          <w:rFonts w:eastAsia="Times New Roman"/>
        </w:rPr>
        <w:t xml:space="preserve"> </w:t>
      </w:r>
      <w:r>
        <w:rPr>
          <w:rFonts w:eastAsia="Times New Roman"/>
          <w:lang w:val="sr-Cyrl-BA"/>
        </w:rPr>
        <w:t>прилагодило</w:t>
      </w:r>
      <w:r>
        <w:rPr>
          <w:rFonts w:eastAsia="Times New Roman"/>
        </w:rPr>
        <w:t xml:space="preserve"> </w:t>
      </w:r>
      <w:r>
        <w:rPr>
          <w:rFonts w:eastAsia="Times New Roman"/>
          <w:lang w:val="sr-Cyrl-BA"/>
        </w:rPr>
        <w:t>номенклатуру</w:t>
      </w:r>
      <w:r>
        <w:rPr>
          <w:rFonts w:eastAsia="Times New Roman"/>
        </w:rPr>
        <w:t xml:space="preserve"> </w:t>
      </w:r>
      <w:r>
        <w:rPr>
          <w:rFonts w:eastAsia="Times New Roman"/>
          <w:lang w:val="sr-Cyrl-BA"/>
        </w:rPr>
        <w:t>потребама</w:t>
      </w:r>
      <w:r>
        <w:rPr>
          <w:rFonts w:eastAsia="Times New Roman"/>
        </w:rPr>
        <w:t xml:space="preserve"> </w:t>
      </w:r>
      <w:r>
        <w:rPr>
          <w:rFonts w:eastAsia="Times New Roman"/>
          <w:lang w:val="sr-Cyrl-BA"/>
        </w:rPr>
        <w:t>тржишта</w:t>
      </w:r>
      <w:r>
        <w:rPr>
          <w:rFonts w:eastAsia="Times New Roman"/>
        </w:rPr>
        <w:t xml:space="preserve"> </w:t>
      </w:r>
      <w:r>
        <w:rPr>
          <w:rFonts w:eastAsia="Times New Roman"/>
          <w:lang w:val="sr-Cyrl-BA"/>
        </w:rPr>
        <w:t>рада</w:t>
      </w:r>
      <w:r>
        <w:rPr>
          <w:rFonts w:eastAsia="Times New Roman"/>
        </w:rPr>
        <w:t>.</w:t>
      </w:r>
      <w:r>
        <w:rPr>
          <w:rFonts w:eastAsia="Times New Roman"/>
          <w:lang w:val="sr-Cyrl-RS"/>
        </w:rPr>
        <w:t xml:space="preserve"> </w:t>
      </w:r>
      <w:r>
        <w:rPr>
          <w:rFonts w:eastAsia="Times New Roman" w:cs="Calibri"/>
          <w:color w:val="000000"/>
          <w:w w:val="102"/>
          <w:lang w:val="sr-Cyrl-BA"/>
        </w:rPr>
        <w:t>У</w:t>
      </w:r>
      <w:r>
        <w:rPr>
          <w:rFonts w:eastAsia="Times New Roman" w:cs="Calibri"/>
          <w:color w:val="000000"/>
          <w:w w:val="102"/>
        </w:rPr>
        <w:t xml:space="preserve"> </w:t>
      </w:r>
      <w:r>
        <w:rPr>
          <w:rFonts w:eastAsia="Times New Roman" w:cs="Calibri"/>
          <w:color w:val="000000"/>
          <w:w w:val="102"/>
          <w:lang w:val="sr-Cyrl-BA"/>
        </w:rPr>
        <w:t>периоду</w:t>
      </w:r>
      <w:r>
        <w:rPr>
          <w:rFonts w:eastAsia="Times New Roman" w:cs="Calibri"/>
          <w:color w:val="000000"/>
          <w:w w:val="102"/>
        </w:rPr>
        <w:t xml:space="preserve"> </w:t>
      </w:r>
      <w:r>
        <w:rPr>
          <w:rFonts w:eastAsia="Times New Roman" w:cs="Calibri"/>
          <w:color w:val="000000"/>
          <w:w w:val="102"/>
          <w:lang w:val="sr-Cyrl-BA"/>
        </w:rPr>
        <w:t>од</w:t>
      </w:r>
      <w:r>
        <w:rPr>
          <w:rFonts w:eastAsia="Times New Roman" w:cs="Calibri"/>
          <w:color w:val="000000"/>
          <w:w w:val="102"/>
        </w:rPr>
        <w:t xml:space="preserve"> 2010. </w:t>
      </w:r>
      <w:r>
        <w:rPr>
          <w:rFonts w:eastAsia="Times New Roman" w:cs="Calibri"/>
          <w:color w:val="000000"/>
          <w:w w:val="102"/>
          <w:lang w:val="sr-Cyrl-BA"/>
        </w:rPr>
        <w:t>до</w:t>
      </w:r>
      <w:r>
        <w:rPr>
          <w:rFonts w:eastAsia="Times New Roman" w:cs="Calibri"/>
          <w:color w:val="000000"/>
          <w:w w:val="102"/>
        </w:rPr>
        <w:t xml:space="preserve"> 2014. </w:t>
      </w:r>
      <w:r>
        <w:rPr>
          <w:rFonts w:eastAsia="Times New Roman" w:cs="Calibri"/>
          <w:color w:val="000000"/>
          <w:w w:val="102"/>
          <w:lang w:val="sr-Cyrl-RS"/>
        </w:rPr>
        <w:t xml:space="preserve">године, </w:t>
      </w:r>
      <w:r>
        <w:rPr>
          <w:rFonts w:eastAsia="Times New Roman" w:cs="Calibri"/>
          <w:color w:val="000000"/>
          <w:w w:val="102"/>
          <w:lang w:val="sr-Cyrl-BA"/>
        </w:rPr>
        <w:t>урађена</w:t>
      </w:r>
      <w:r>
        <w:rPr>
          <w:rFonts w:eastAsia="Times New Roman" w:cs="Calibri"/>
          <w:color w:val="000000"/>
          <w:w w:val="102"/>
        </w:rPr>
        <w:t xml:space="preserve"> </w:t>
      </w:r>
      <w:r>
        <w:rPr>
          <w:rFonts w:eastAsia="Times New Roman" w:cs="Calibri"/>
          <w:color w:val="000000"/>
          <w:w w:val="102"/>
          <w:lang w:val="sr-Cyrl-BA"/>
        </w:rPr>
        <w:t>је</w:t>
      </w:r>
      <w:r>
        <w:rPr>
          <w:rFonts w:eastAsia="Times New Roman" w:cs="Calibri"/>
          <w:color w:val="000000"/>
          <w:w w:val="102"/>
        </w:rPr>
        <w:t xml:space="preserve"> </w:t>
      </w:r>
      <w:r>
        <w:rPr>
          <w:rFonts w:eastAsia="Times New Roman" w:cs="Calibri"/>
          <w:color w:val="000000"/>
          <w:w w:val="102"/>
          <w:lang w:val="sr-Cyrl-BA"/>
        </w:rPr>
        <w:t>модернизација</w:t>
      </w:r>
      <w:r>
        <w:rPr>
          <w:rFonts w:eastAsia="Times New Roman" w:cs="Calibri"/>
          <w:color w:val="000000"/>
          <w:w w:val="102"/>
        </w:rPr>
        <w:t xml:space="preserve"> </w:t>
      </w:r>
      <w:r>
        <w:rPr>
          <w:rFonts w:eastAsia="Times New Roman" w:cs="Calibri"/>
          <w:color w:val="000000"/>
          <w:w w:val="102"/>
          <w:lang w:val="sr-Cyrl-BA"/>
        </w:rPr>
        <w:t>наставних</w:t>
      </w:r>
      <w:r>
        <w:rPr>
          <w:rFonts w:eastAsia="Times New Roman" w:cs="Calibri"/>
          <w:color w:val="000000"/>
          <w:w w:val="102"/>
        </w:rPr>
        <w:t xml:space="preserve"> </w:t>
      </w:r>
      <w:r>
        <w:rPr>
          <w:rFonts w:eastAsia="Times New Roman" w:cs="Calibri"/>
          <w:color w:val="000000"/>
          <w:w w:val="102"/>
          <w:lang w:val="sr-Cyrl-BA"/>
        </w:rPr>
        <w:t>планова</w:t>
      </w:r>
      <w:r>
        <w:rPr>
          <w:rFonts w:eastAsia="Times New Roman" w:cs="Calibri"/>
          <w:color w:val="000000"/>
          <w:w w:val="102"/>
        </w:rPr>
        <w:t xml:space="preserve"> </w:t>
      </w:r>
      <w:r>
        <w:rPr>
          <w:rFonts w:eastAsia="Times New Roman" w:cs="Calibri"/>
          <w:color w:val="000000"/>
          <w:w w:val="102"/>
          <w:lang w:val="sr-Cyrl-BA"/>
        </w:rPr>
        <w:t>и</w:t>
      </w:r>
      <w:r>
        <w:rPr>
          <w:rFonts w:eastAsia="Times New Roman" w:cs="Calibri"/>
          <w:color w:val="000000"/>
          <w:w w:val="102"/>
        </w:rPr>
        <w:t xml:space="preserve"> </w:t>
      </w:r>
      <w:r>
        <w:rPr>
          <w:rFonts w:eastAsia="Times New Roman" w:cs="Calibri"/>
          <w:color w:val="000000"/>
          <w:w w:val="102"/>
          <w:lang w:val="sr-Cyrl-BA"/>
        </w:rPr>
        <w:t>програма</w:t>
      </w:r>
      <w:r>
        <w:rPr>
          <w:rFonts w:eastAsia="Times New Roman" w:cs="Calibri"/>
          <w:color w:val="000000"/>
          <w:w w:val="102"/>
        </w:rPr>
        <w:t xml:space="preserve"> </w:t>
      </w:r>
      <w:r>
        <w:rPr>
          <w:rFonts w:eastAsia="Times New Roman" w:cs="Calibri"/>
          <w:color w:val="000000"/>
          <w:w w:val="102"/>
          <w:lang w:val="sr-Cyrl-BA"/>
        </w:rPr>
        <w:t>у</w:t>
      </w:r>
      <w:r>
        <w:rPr>
          <w:rFonts w:eastAsia="Times New Roman" w:cs="Calibri"/>
          <w:color w:val="000000"/>
          <w:w w:val="102"/>
        </w:rPr>
        <w:t xml:space="preserve"> </w:t>
      </w:r>
      <w:r>
        <w:rPr>
          <w:rFonts w:eastAsia="Times New Roman" w:cs="Calibri"/>
          <w:color w:val="000000"/>
          <w:w w:val="102"/>
          <w:lang w:val="sr-Cyrl-RS"/>
        </w:rPr>
        <w:t>г</w:t>
      </w:r>
      <w:r>
        <w:rPr>
          <w:rFonts w:eastAsia="Times New Roman" w:cs="Calibri"/>
          <w:color w:val="000000"/>
          <w:w w:val="102"/>
          <w:lang w:val="sr-Cyrl-BA"/>
        </w:rPr>
        <w:t>имназијама</w:t>
      </w:r>
      <w:r>
        <w:rPr>
          <w:rFonts w:eastAsia="Times New Roman" w:cs="Calibri"/>
          <w:color w:val="000000"/>
          <w:w w:val="102"/>
        </w:rPr>
        <w:t xml:space="preserve">, </w:t>
      </w:r>
      <w:r>
        <w:rPr>
          <w:rFonts w:eastAsia="Times New Roman" w:cs="Calibri"/>
          <w:color w:val="000000"/>
          <w:w w:val="102"/>
          <w:lang w:val="sr-Cyrl-BA"/>
        </w:rPr>
        <w:t>али</w:t>
      </w:r>
      <w:r>
        <w:rPr>
          <w:rFonts w:eastAsia="Times New Roman" w:cs="Calibri"/>
          <w:color w:val="000000"/>
          <w:w w:val="102"/>
        </w:rPr>
        <w:t xml:space="preserve"> </w:t>
      </w:r>
      <w:r>
        <w:rPr>
          <w:rFonts w:eastAsia="Times New Roman" w:cs="Calibri"/>
          <w:color w:val="000000"/>
          <w:w w:val="102"/>
          <w:lang w:val="sr-Cyrl-BA"/>
        </w:rPr>
        <w:t>још</w:t>
      </w:r>
      <w:r>
        <w:rPr>
          <w:rFonts w:eastAsia="Times New Roman" w:cs="Calibri"/>
          <w:color w:val="000000"/>
          <w:w w:val="102"/>
        </w:rPr>
        <w:t xml:space="preserve"> </w:t>
      </w:r>
      <w:r>
        <w:rPr>
          <w:rFonts w:eastAsia="Times New Roman" w:cs="Calibri"/>
          <w:color w:val="000000"/>
          <w:w w:val="102"/>
          <w:lang w:val="sr-Cyrl-BA"/>
        </w:rPr>
        <w:t>није</w:t>
      </w:r>
      <w:r>
        <w:rPr>
          <w:rFonts w:eastAsia="Times New Roman" w:cs="Calibri"/>
          <w:color w:val="000000"/>
          <w:w w:val="102"/>
        </w:rPr>
        <w:t xml:space="preserve"> </w:t>
      </w:r>
      <w:r>
        <w:rPr>
          <w:rFonts w:eastAsia="Times New Roman" w:cs="Calibri"/>
          <w:color w:val="000000"/>
          <w:w w:val="102"/>
          <w:lang w:val="sr-Cyrl-BA"/>
        </w:rPr>
        <w:t>готова</w:t>
      </w:r>
      <w:r>
        <w:rPr>
          <w:rFonts w:eastAsia="Times New Roman" w:cs="Calibri"/>
          <w:color w:val="000000"/>
          <w:w w:val="102"/>
        </w:rPr>
        <w:t xml:space="preserve"> </w:t>
      </w:r>
      <w:r>
        <w:rPr>
          <w:rFonts w:eastAsia="Times New Roman" w:cs="Calibri"/>
          <w:color w:val="000000"/>
          <w:w w:val="102"/>
          <w:lang w:val="sr-Cyrl-BA"/>
        </w:rPr>
        <w:t>евалуација</w:t>
      </w:r>
      <w:r>
        <w:rPr>
          <w:rFonts w:eastAsia="Times New Roman" w:cs="Calibri"/>
          <w:color w:val="000000"/>
          <w:w w:val="102"/>
        </w:rPr>
        <w:t xml:space="preserve"> </w:t>
      </w:r>
      <w:r>
        <w:rPr>
          <w:rFonts w:eastAsia="Times New Roman" w:cs="Calibri"/>
          <w:color w:val="000000"/>
          <w:w w:val="102"/>
          <w:lang w:val="sr-Cyrl-BA"/>
        </w:rPr>
        <w:t>ефеката</w:t>
      </w:r>
      <w:r>
        <w:rPr>
          <w:rFonts w:eastAsia="Times New Roman" w:cs="Calibri"/>
          <w:color w:val="000000"/>
          <w:w w:val="102"/>
        </w:rPr>
        <w:t xml:space="preserve"> </w:t>
      </w:r>
      <w:r>
        <w:rPr>
          <w:rFonts w:eastAsia="Times New Roman" w:cs="Calibri"/>
          <w:color w:val="000000"/>
          <w:w w:val="102"/>
          <w:lang w:val="sr-Cyrl-BA"/>
        </w:rPr>
        <w:t>промјена</w:t>
      </w:r>
      <w:r>
        <w:rPr>
          <w:rFonts w:eastAsia="Times New Roman" w:cs="Calibri"/>
          <w:color w:val="000000"/>
          <w:w w:val="102"/>
        </w:rPr>
        <w:t>.</w:t>
      </w:r>
    </w:p>
    <w:p>
      <w:pPr>
        <w:rPr>
          <w:rFonts w:cs="Calibri"/>
          <w:b/>
          <w:color w:val="000000"/>
          <w:w w:val="102"/>
          <w:lang w:val="sr-Latn-CS"/>
        </w:rPr>
      </w:pPr>
    </w:p>
    <w:p>
      <w:pPr>
        <w:rPr>
          <w:rFonts w:cs="Calibri"/>
          <w:color w:val="3C3032"/>
          <w:shd w:val="clear" w:color="auto" w:fill="FFFFFF"/>
          <w:lang w:val="sr-Cyrl-RS"/>
        </w:rPr>
      </w:pPr>
      <w:r>
        <w:rPr>
          <w:rFonts w:cs="Calibri"/>
          <w:b/>
          <w:color w:val="000000"/>
          <w:w w:val="102"/>
          <w:lang w:val="sr-Cyrl-RS"/>
        </w:rPr>
        <w:t xml:space="preserve">Институционални, инфраструктурни и капацитети људских ресурса. </w:t>
      </w:r>
      <w:r>
        <w:rPr>
          <w:rFonts w:cs="Calibri"/>
          <w:shd w:val="clear" w:color="auto" w:fill="FFFFFF"/>
          <w:lang w:val="sr-Cyrl-RS"/>
        </w:rPr>
        <w:t>На подручју града,</w:t>
      </w:r>
      <w:r>
        <w:rPr>
          <w:rFonts w:cs="Calibri"/>
          <w:shd w:val="clear" w:color="auto" w:fill="FFFFFF"/>
        </w:rPr>
        <w:t> </w:t>
      </w:r>
      <w:r>
        <w:rPr>
          <w:rFonts w:cs="Calibri"/>
          <w:bCs/>
          <w:shd w:val="clear" w:color="auto" w:fill="FFFFFF"/>
          <w:lang w:val="sr-Cyrl-RS"/>
        </w:rPr>
        <w:t>средње образовање</w:t>
      </w:r>
      <w:r>
        <w:rPr>
          <w:rFonts w:cs="Calibri"/>
          <w:shd w:val="clear" w:color="auto" w:fill="FFFFFF"/>
          <w:lang w:val="sr-Cyrl-RS"/>
        </w:rPr>
        <w:t>, како опште тако и стручно, се одвија у 17 средњих школа, и то у 13 јавних и четири приватне</w:t>
      </w:r>
      <w:r>
        <w:rPr>
          <w:rFonts w:cs="Calibri"/>
          <w:shd w:val="clear" w:color="auto" w:fill="FFFFFF"/>
          <w:lang w:val="sr-Latn-RS"/>
        </w:rPr>
        <w:t xml:space="preserve"> </w:t>
      </w:r>
      <w:r>
        <w:rPr>
          <w:rFonts w:cs="Calibri"/>
          <w:shd w:val="clear" w:color="auto" w:fill="FFFFFF"/>
          <w:lang w:val="sr-Cyrl-RS"/>
        </w:rPr>
        <w:t>школе</w:t>
      </w:r>
      <w:r>
        <w:rPr>
          <w:rStyle w:val="31"/>
          <w:rFonts w:cs="Calibri"/>
          <w:shd w:val="clear" w:color="auto" w:fill="FFFFFF"/>
          <w:lang w:val="sr-Cyrl-RS"/>
        </w:rPr>
        <w:footnoteReference w:id="15"/>
      </w:r>
      <w:r>
        <w:rPr>
          <w:rFonts w:cs="Calibri"/>
          <w:color w:val="3C3032"/>
          <w:shd w:val="clear" w:color="auto" w:fill="FFFFFF"/>
          <w:lang w:val="sr-Cyrl-RS"/>
        </w:rPr>
        <w:t>:</w:t>
      </w:r>
    </w:p>
    <w:p>
      <w:pPr>
        <w:pStyle w:val="46"/>
        <w:numPr>
          <w:ilvl w:val="0"/>
          <w:numId w:val="14"/>
        </w:numPr>
        <w:rPr>
          <w:rFonts w:cs="Calibri"/>
          <w:color w:val="0563C1"/>
          <w:u w:val="single"/>
          <w:shd w:val="clear" w:color="auto" w:fill="FFFFFF"/>
          <w:lang w:val="sr-Cyrl-RS"/>
        </w:rPr>
      </w:pPr>
      <w:r>
        <w:rPr>
          <w:rFonts w:cs="Calibri"/>
          <w:shd w:val="clear" w:color="auto" w:fill="FFFFFF"/>
          <w:lang w:val="sr-Cyrl-RS"/>
        </w:rPr>
        <w:t>Гимназија</w:t>
      </w:r>
      <w:r>
        <w:rPr>
          <w:rStyle w:val="31"/>
          <w:rFonts w:cs="Calibri"/>
          <w:shd w:val="clear" w:color="auto" w:fill="FFFFFF"/>
          <w:lang w:val="sr-Cyrl-RS"/>
        </w:rPr>
        <w:footnoteReference w:id="16"/>
      </w:r>
    </w:p>
    <w:p>
      <w:pPr>
        <w:pStyle w:val="46"/>
        <w:numPr>
          <w:ilvl w:val="0"/>
          <w:numId w:val="14"/>
        </w:numPr>
        <w:rPr>
          <w:rFonts w:cs="Calibri"/>
          <w:shd w:val="clear" w:color="auto" w:fill="FFFFFF"/>
          <w:lang w:val="sr-Cyrl-RS"/>
        </w:rPr>
      </w:pPr>
      <w:r>
        <w:rPr>
          <w:rFonts w:cs="Calibri"/>
          <w:shd w:val="clear" w:color="auto" w:fill="FFFFFF"/>
          <w:lang w:val="sr-Cyrl-RS"/>
        </w:rPr>
        <w:t>Грађевинска школа</w:t>
      </w:r>
      <w:r>
        <w:rPr>
          <w:rStyle w:val="31"/>
          <w:rFonts w:cs="Calibri"/>
          <w:shd w:val="clear" w:color="auto" w:fill="FFFFFF"/>
          <w:lang w:val="sr-Cyrl-RS"/>
        </w:rPr>
        <w:footnoteReference w:id="17"/>
      </w:r>
      <w:r>
        <w:rPr>
          <w:rFonts w:cs="Calibri"/>
          <w:shd w:val="clear" w:color="auto" w:fill="FFFFFF"/>
          <w:lang w:val="sr-Cyrl-RS"/>
        </w:rPr>
        <w:t xml:space="preserve"> </w:t>
      </w:r>
    </w:p>
    <w:p>
      <w:pPr>
        <w:pStyle w:val="46"/>
        <w:numPr>
          <w:ilvl w:val="0"/>
          <w:numId w:val="14"/>
        </w:numPr>
        <w:rPr>
          <w:rFonts w:cs="Calibri"/>
          <w:color w:val="0563C1"/>
          <w:u w:val="single"/>
          <w:shd w:val="clear" w:color="auto" w:fill="FFFFFF"/>
          <w:lang w:val="sr-Cyrl-RS"/>
        </w:rPr>
      </w:pPr>
      <w:r>
        <w:rPr>
          <w:rFonts w:cs="Calibri"/>
          <w:shd w:val="clear" w:color="auto" w:fill="FFFFFF"/>
          <w:lang w:val="sr-Cyrl-RS"/>
        </w:rPr>
        <w:t>Економска школа</w:t>
      </w:r>
    </w:p>
    <w:p>
      <w:pPr>
        <w:pStyle w:val="46"/>
        <w:numPr>
          <w:ilvl w:val="0"/>
          <w:numId w:val="14"/>
        </w:numPr>
        <w:rPr>
          <w:rFonts w:cs="Calibri"/>
          <w:color w:val="0563C1"/>
          <w:u w:val="single"/>
          <w:shd w:val="clear" w:color="auto" w:fill="FFFFFF"/>
          <w:lang w:val="sr-Cyrl-RS"/>
        </w:rPr>
      </w:pPr>
      <w:r>
        <w:rPr>
          <w:rFonts w:cs="Calibri"/>
          <w:shd w:val="clear" w:color="auto" w:fill="FFFFFF"/>
          <w:lang w:val="sr-Cyrl-RS"/>
        </w:rPr>
        <w:t>Електротехничка школа "Никола Тесла"</w:t>
      </w:r>
      <w:r>
        <w:rPr>
          <w:rStyle w:val="31"/>
          <w:rFonts w:cs="Calibri"/>
          <w:shd w:val="clear" w:color="auto" w:fill="FFFFFF"/>
          <w:lang w:val="sr-Cyrl-RS"/>
        </w:rPr>
        <w:footnoteReference w:id="18"/>
      </w:r>
    </w:p>
    <w:p>
      <w:pPr>
        <w:pStyle w:val="46"/>
        <w:numPr>
          <w:ilvl w:val="0"/>
          <w:numId w:val="14"/>
        </w:numPr>
        <w:rPr>
          <w:rFonts w:cs="Calibri"/>
          <w:shd w:val="clear" w:color="auto" w:fill="FFFFFF"/>
          <w:lang w:val="sr-Cyrl-RS"/>
        </w:rPr>
      </w:pPr>
      <w:r>
        <w:rPr>
          <w:rFonts w:cs="Calibri"/>
          <w:shd w:val="clear" w:color="auto" w:fill="FFFFFF"/>
          <w:lang w:val="sr-Cyrl-RS"/>
        </w:rPr>
        <w:t>Медицинска школа</w:t>
      </w:r>
      <w:r>
        <w:rPr>
          <w:rFonts w:cs="Calibri"/>
          <w:shd w:val="clear" w:color="auto" w:fill="FFFFFF"/>
          <w:vertAlign w:val="superscript"/>
        </w:rPr>
        <w:footnoteReference w:id="19"/>
      </w:r>
    </w:p>
    <w:p>
      <w:pPr>
        <w:pStyle w:val="46"/>
        <w:numPr>
          <w:ilvl w:val="0"/>
          <w:numId w:val="14"/>
        </w:numPr>
        <w:rPr>
          <w:rFonts w:cs="Calibri"/>
          <w:shd w:val="clear" w:color="auto" w:fill="FFFFFF"/>
          <w:lang w:val="sr-Cyrl-RS"/>
        </w:rPr>
      </w:pPr>
      <w:r>
        <w:rPr>
          <w:rFonts w:cs="Calibri"/>
          <w:shd w:val="clear" w:color="auto" w:fill="FFFFFF"/>
          <w:lang w:val="sr-Cyrl-RS"/>
        </w:rPr>
        <w:t>Музичка школа "Владо Милошевић</w:t>
      </w:r>
      <w:r>
        <w:rPr>
          <w:rFonts w:cs="Calibri"/>
          <w:shd w:val="clear" w:color="auto" w:fill="FFFFFF"/>
          <w:vertAlign w:val="superscript"/>
        </w:rPr>
        <w:footnoteReference w:id="20"/>
      </w:r>
    </w:p>
    <w:p>
      <w:pPr>
        <w:pStyle w:val="46"/>
        <w:numPr>
          <w:ilvl w:val="0"/>
          <w:numId w:val="14"/>
        </w:numPr>
        <w:rPr>
          <w:rFonts w:cs="Calibri"/>
          <w:color w:val="0563C1"/>
          <w:u w:val="single"/>
          <w:shd w:val="clear" w:color="auto" w:fill="FFFFFF"/>
          <w:lang w:val="sr-Cyrl-RS"/>
        </w:rPr>
      </w:pPr>
      <w:r>
        <w:rPr>
          <w:rFonts w:cs="Calibri"/>
          <w:shd w:val="clear" w:color="auto" w:fill="FFFFFF"/>
          <w:lang w:val="sr-Cyrl-RS"/>
        </w:rPr>
        <w:t>Пољопривредна школа</w:t>
      </w:r>
      <w:r>
        <w:rPr>
          <w:rFonts w:cs="Calibri"/>
          <w:shd w:val="clear" w:color="auto" w:fill="FFFFFF"/>
          <w:vertAlign w:val="superscript"/>
        </w:rPr>
        <w:footnoteReference w:id="21"/>
      </w:r>
    </w:p>
    <w:p>
      <w:pPr>
        <w:pStyle w:val="46"/>
        <w:numPr>
          <w:ilvl w:val="0"/>
          <w:numId w:val="14"/>
        </w:numPr>
        <w:rPr>
          <w:rFonts w:cs="Calibri"/>
          <w:color w:val="0563C1"/>
          <w:u w:val="single"/>
          <w:shd w:val="clear" w:color="auto" w:fill="FFFFFF"/>
          <w:lang w:val="sr-Cyrl-RS"/>
        </w:rPr>
      </w:pPr>
      <w:r>
        <w:rPr>
          <w:rFonts w:cs="Calibri"/>
          <w:shd w:val="clear" w:color="auto" w:fill="FFFFFF"/>
          <w:lang w:val="sr-Cyrl-RS"/>
        </w:rPr>
        <w:t>Техничка школа Бања Лука</w:t>
      </w:r>
      <w:r>
        <w:rPr>
          <w:rFonts w:cs="Calibri"/>
          <w:shd w:val="clear" w:color="auto" w:fill="FFFFFF"/>
          <w:vertAlign w:val="superscript"/>
        </w:rPr>
        <w:footnoteReference w:id="22"/>
      </w:r>
      <w:r>
        <w:rPr>
          <w:rFonts w:cs="Calibri"/>
          <w:shd w:val="clear" w:color="auto" w:fill="FFFFFF"/>
          <w:lang w:val="sr-Cyrl-RS"/>
        </w:rPr>
        <w:t xml:space="preserve"> </w:t>
      </w:r>
    </w:p>
    <w:p>
      <w:pPr>
        <w:pStyle w:val="46"/>
        <w:numPr>
          <w:ilvl w:val="0"/>
          <w:numId w:val="14"/>
        </w:numPr>
        <w:rPr>
          <w:rFonts w:cs="Calibri"/>
          <w:shd w:val="clear" w:color="auto" w:fill="FFFFFF"/>
          <w:lang w:val="sr-Cyrl-BA"/>
        </w:rPr>
      </w:pPr>
      <w:r>
        <w:rPr>
          <w:rFonts w:cs="Calibri"/>
          <w:shd w:val="clear" w:color="auto" w:fill="FFFFFF"/>
          <w:lang w:val="sr-Cyrl-RS"/>
        </w:rPr>
        <w:t xml:space="preserve">Технолошка школа </w:t>
      </w:r>
    </w:p>
    <w:p>
      <w:pPr>
        <w:pStyle w:val="46"/>
        <w:numPr>
          <w:ilvl w:val="0"/>
          <w:numId w:val="14"/>
        </w:numPr>
        <w:rPr>
          <w:rFonts w:cs="Calibri"/>
          <w:color w:val="0563C1"/>
          <w:u w:val="single"/>
          <w:shd w:val="clear" w:color="auto" w:fill="FFFFFF"/>
          <w:lang w:val="sr-Cyrl-BA"/>
        </w:rPr>
      </w:pPr>
      <w:r>
        <w:rPr>
          <w:rFonts w:cs="Calibri"/>
          <w:shd w:val="clear" w:color="auto" w:fill="FFFFFF"/>
          <w:lang w:val="sr-Cyrl-BA"/>
        </w:rPr>
        <w:t>Угоститељско-трговинско-туристичка школа</w:t>
      </w:r>
      <w:r>
        <w:rPr>
          <w:rFonts w:cs="Calibri"/>
          <w:shd w:val="clear" w:color="auto" w:fill="FFFFFF"/>
          <w:vertAlign w:val="superscript"/>
        </w:rPr>
        <w:footnoteReference w:id="23"/>
      </w:r>
      <w:r>
        <w:rPr>
          <w:lang w:val="sr-Cyrl-BA"/>
        </w:rPr>
        <w:t xml:space="preserve"> </w:t>
      </w:r>
    </w:p>
    <w:p>
      <w:pPr>
        <w:pStyle w:val="46"/>
        <w:numPr>
          <w:ilvl w:val="0"/>
          <w:numId w:val="14"/>
        </w:numPr>
        <w:rPr>
          <w:rFonts w:cs="Calibri"/>
          <w:color w:val="0563C1"/>
          <w:u w:val="single"/>
          <w:shd w:val="clear" w:color="auto" w:fill="FFFFFF"/>
          <w:lang w:val="sr-Cyrl-BA"/>
        </w:rPr>
      </w:pPr>
      <w:r>
        <w:rPr>
          <w:rFonts w:cs="Calibri"/>
          <w:shd w:val="clear" w:color="auto" w:fill="FFFFFF"/>
          <w:lang w:val="sr-Cyrl-BA"/>
        </w:rPr>
        <w:t>Школа ученика у привреди</w:t>
      </w:r>
      <w:r>
        <w:rPr>
          <w:rFonts w:cs="Calibri"/>
          <w:shd w:val="clear" w:color="auto" w:fill="FFFFFF"/>
          <w:vertAlign w:val="superscript"/>
        </w:rPr>
        <w:footnoteReference w:id="24"/>
      </w:r>
    </w:p>
    <w:p>
      <w:pPr>
        <w:pStyle w:val="46"/>
        <w:numPr>
          <w:ilvl w:val="0"/>
          <w:numId w:val="14"/>
        </w:numPr>
        <w:rPr>
          <w:rFonts w:cs="Calibri"/>
          <w:shd w:val="clear" w:color="auto" w:fill="FFFFFF"/>
          <w:lang w:val="sr-Cyrl-BA"/>
        </w:rPr>
      </w:pPr>
      <w:r>
        <w:rPr>
          <w:rFonts w:cs="Calibri"/>
          <w:shd w:val="clear" w:color="auto" w:fill="FFFFFF"/>
          <w:lang w:val="sr-Cyrl-BA"/>
        </w:rPr>
        <w:t xml:space="preserve">Центар за образовање и васпитање и рехабилитацију слушања и говора </w:t>
      </w:r>
    </w:p>
    <w:p>
      <w:pPr>
        <w:pStyle w:val="46"/>
        <w:numPr>
          <w:ilvl w:val="0"/>
          <w:numId w:val="14"/>
        </w:numPr>
        <w:rPr>
          <w:rFonts w:cs="Calibri"/>
          <w:u w:val="single"/>
          <w:lang w:val="sr-Cyrl-BA"/>
        </w:rPr>
      </w:pPr>
      <w:r>
        <w:rPr>
          <w:rFonts w:cs="Calibri"/>
          <w:shd w:val="clear" w:color="auto" w:fill="FFFFFF"/>
          <w:lang w:val="sr-Cyrl-BA"/>
        </w:rPr>
        <w:t>ЈУ Центар "Заштити ме"</w:t>
      </w:r>
      <w:r>
        <w:rPr>
          <w:rFonts w:cs="Calibri"/>
          <w:shd w:val="clear" w:color="auto" w:fill="FFFFFF"/>
          <w:vertAlign w:val="superscript"/>
        </w:rPr>
        <w:footnoteReference w:id="25"/>
      </w:r>
    </w:p>
    <w:p>
      <w:pPr>
        <w:pStyle w:val="46"/>
        <w:numPr>
          <w:ilvl w:val="0"/>
          <w:numId w:val="14"/>
        </w:numPr>
        <w:rPr>
          <w:rFonts w:cs="Calibri"/>
          <w:color w:val="555555"/>
          <w:lang w:val="sr-Cyrl-BA"/>
        </w:rPr>
      </w:pPr>
      <w:r>
        <w:rPr>
          <w:rFonts w:cs="Calibri"/>
          <w:shd w:val="clear" w:color="auto" w:fill="FFFFFF"/>
          <w:lang w:val="sr-Cyrl-BA"/>
        </w:rPr>
        <w:t>Средњошколски центар "Љубиша Младеновић</w:t>
      </w:r>
    </w:p>
    <w:p>
      <w:pPr>
        <w:pStyle w:val="46"/>
        <w:numPr>
          <w:ilvl w:val="0"/>
          <w:numId w:val="14"/>
        </w:numPr>
        <w:rPr>
          <w:rFonts w:cs="Calibri"/>
          <w:color w:val="555555"/>
          <w:lang w:val="sr-Cyrl-BA"/>
        </w:rPr>
      </w:pPr>
      <w:r>
        <w:rPr>
          <w:rFonts w:cs="Calibri"/>
          <w:lang w:val="sr-Cyrl-BA"/>
        </w:rPr>
        <w:t>Опћа гимназија Католичког школског центра</w:t>
      </w:r>
      <w:r>
        <w:rPr>
          <w:rFonts w:cs="Calibri"/>
          <w:shd w:val="clear" w:color="auto" w:fill="FFFFFF"/>
          <w:lang w:val="sr-Cyrl-BA"/>
        </w:rPr>
        <w:t>.</w:t>
      </w:r>
      <w:r>
        <w:rPr>
          <w:shd w:val="clear" w:color="auto" w:fill="FFFFFF"/>
          <w:vertAlign w:val="superscript"/>
        </w:rPr>
        <w:footnoteReference w:id="26"/>
      </w:r>
      <w:r>
        <w:rPr>
          <w:rFonts w:cs="Calibri"/>
          <w:shd w:val="clear" w:color="auto" w:fill="FFFFFF"/>
          <w:lang w:val="sr-Cyrl-BA"/>
        </w:rPr>
        <w:t xml:space="preserve"> </w:t>
      </w:r>
    </w:p>
    <w:p>
      <w:pPr>
        <w:pStyle w:val="46"/>
        <w:numPr>
          <w:ilvl w:val="0"/>
          <w:numId w:val="14"/>
        </w:numPr>
        <w:rPr>
          <w:rFonts w:cs="Calibri"/>
          <w:color w:val="555555"/>
          <w:lang w:val="sr-Cyrl-BA"/>
        </w:rPr>
      </w:pPr>
      <w:r>
        <w:rPr>
          <w:rFonts w:cs="Calibri"/>
          <w:shd w:val="clear" w:color="auto" w:fill="FFFFFF"/>
          <w:lang w:val="sr-Cyrl-BA"/>
        </w:rPr>
        <w:t>Средњошколски центар "Гемит Апеирон"</w:t>
      </w:r>
      <w:r>
        <w:rPr>
          <w:shd w:val="clear" w:color="auto" w:fill="FFFFFF"/>
          <w:vertAlign w:val="superscript"/>
        </w:rPr>
        <w:footnoteReference w:id="27"/>
      </w:r>
      <w:r>
        <w:rPr>
          <w:rFonts w:cs="Calibri"/>
          <w:shd w:val="clear" w:color="auto" w:fill="FFFFFF"/>
          <w:lang w:val="sr-Cyrl-RS"/>
        </w:rPr>
        <w:t xml:space="preserve"> </w:t>
      </w:r>
      <w:r>
        <w:rPr>
          <w:rFonts w:cs="Calibri"/>
          <w:shd w:val="clear" w:color="auto" w:fill="FFFFFF"/>
          <w:lang w:val="sr-Cyrl-BA"/>
        </w:rPr>
        <w:t>обједињује три средње школе у једну васпитно-образовну цјелину и то:</w:t>
      </w:r>
      <w:r>
        <w:rPr>
          <w:rFonts w:cs="Calibri"/>
          <w:shd w:val="clear" w:color="auto" w:fill="FFFFFF"/>
          <w:lang w:val="sr-Cyrl-RS"/>
        </w:rPr>
        <w:t xml:space="preserve"> </w:t>
      </w:r>
      <w:r>
        <w:rPr>
          <w:rFonts w:cs="Calibri"/>
          <w:shd w:val="clear" w:color="auto" w:fill="FFFFFF"/>
          <w:lang w:val="sr-Cyrl-BA"/>
        </w:rPr>
        <w:t xml:space="preserve">Гимназију (општи, рачунарско-информатички смјер и спортски смјер);  Економску школу (економски техничар и пословно-правни техничар); Медицинску школу (медицински, зубно-стоматолошки, физиотерапеутски и фармацеутски техничар). </w:t>
      </w:r>
    </w:p>
    <w:p>
      <w:pPr>
        <w:pStyle w:val="46"/>
        <w:numPr>
          <w:ilvl w:val="0"/>
          <w:numId w:val="14"/>
        </w:numPr>
        <w:rPr>
          <w:rFonts w:cs="Calibri"/>
          <w:shd w:val="clear" w:color="auto" w:fill="FFFFFF"/>
          <w:lang w:val="sr-Cyrl-RS"/>
        </w:rPr>
      </w:pPr>
      <w:r>
        <w:rPr>
          <w:rFonts w:cs="Calibri"/>
          <w:shd w:val="clear" w:color="auto" w:fill="FFFFFF"/>
          <w:lang w:val="sr-Cyrl-RS"/>
        </w:rPr>
        <w:t>С</w:t>
      </w:r>
      <w:r>
        <w:rPr>
          <w:rFonts w:cs="Calibri"/>
          <w:shd w:val="clear" w:color="auto" w:fill="FFFFFF"/>
          <w:lang w:val="sr-Cyrl-BA"/>
        </w:rPr>
        <w:t>редњошколски центар „Гаудеамус“,</w:t>
      </w:r>
      <w:r>
        <w:rPr>
          <w:shd w:val="clear" w:color="auto" w:fill="FFFFFF"/>
          <w:vertAlign w:val="superscript"/>
        </w:rPr>
        <w:footnoteReference w:id="28"/>
      </w:r>
      <w:r>
        <w:rPr>
          <w:rFonts w:cs="Calibri"/>
          <w:shd w:val="clear" w:color="auto" w:fill="FFFFFF"/>
          <w:lang w:val="sr-Cyrl-RS"/>
        </w:rPr>
        <w:t xml:space="preserve"> у оквиру кога постоји </w:t>
      </w:r>
      <w:r>
        <w:rPr>
          <w:rFonts w:cs="Calibri"/>
          <w:shd w:val="clear" w:color="auto" w:fill="FFFFFF"/>
          <w:lang w:val="sr-Cyrl-BA"/>
        </w:rPr>
        <w:t>Гимназија (општи смјер и рачунарско-информатички смјер),</w:t>
      </w:r>
      <w:r>
        <w:rPr>
          <w:rFonts w:cs="Calibri"/>
          <w:shd w:val="clear" w:color="auto" w:fill="FFFFFF"/>
          <w:lang w:val="sr-Cyrl-RS"/>
        </w:rPr>
        <w:t xml:space="preserve"> </w:t>
      </w:r>
      <w:r>
        <w:rPr>
          <w:rFonts w:cs="Calibri"/>
          <w:shd w:val="clear" w:color="auto" w:fill="FFFFFF"/>
          <w:lang w:val="sr-Cyrl-BA"/>
        </w:rPr>
        <w:t>Економска школа (економски техничар и пословно-правни техничар), Медицинска школа (медицински техничар, физиотерапеутски техничар, фармацеутски техничар и зубно-стоматолошки техничар) и еколошки техничар</w:t>
      </w:r>
    </w:p>
    <w:p>
      <w:pPr>
        <w:pStyle w:val="46"/>
        <w:numPr>
          <w:ilvl w:val="0"/>
          <w:numId w:val="14"/>
        </w:numPr>
        <w:rPr>
          <w:rFonts w:cs="Calibri"/>
          <w:lang w:val="sr-Cyrl-BA"/>
        </w:rPr>
      </w:pPr>
      <w:r>
        <w:rPr>
          <w:rFonts w:cs="Calibri"/>
          <w:shd w:val="clear" w:color="auto" w:fill="FFFFFF"/>
          <w:lang w:val="sr-Cyrl-BA"/>
        </w:rPr>
        <w:t>ЈУ "Средњошколски дом"</w:t>
      </w:r>
      <w:r>
        <w:rPr>
          <w:rFonts w:cs="Calibri"/>
          <w:shd w:val="clear" w:color="auto" w:fill="FFFFFF"/>
          <w:vertAlign w:val="superscript"/>
        </w:rPr>
        <w:footnoteReference w:id="29"/>
      </w:r>
      <w:r>
        <w:rPr>
          <w:rFonts w:cs="Calibri"/>
          <w:shd w:val="clear" w:color="auto" w:fill="FFFFFF"/>
          <w:lang w:val="sr-Cyrl-BA"/>
        </w:rPr>
        <w:t xml:space="preserve"> </w:t>
      </w:r>
    </w:p>
    <w:p>
      <w:pPr>
        <w:rPr>
          <w:rFonts w:cs="Calibri"/>
          <w:b/>
          <w:lang w:val="sr-Cyrl-BA"/>
        </w:rPr>
      </w:pPr>
    </w:p>
    <w:p>
      <w:pPr>
        <w:jc w:val="both"/>
        <w:rPr>
          <w:rFonts w:cs="Calibri"/>
          <w:lang w:val="sr-Cyrl-BA"/>
        </w:rPr>
      </w:pPr>
      <w:r>
        <w:rPr>
          <w:rFonts w:cs="Calibri"/>
          <w:b/>
          <w:lang w:val="sr-Cyrl-BA"/>
        </w:rPr>
        <w:t xml:space="preserve">Стање објеката за средњошколско образовање. </w:t>
      </w:r>
      <w:r>
        <w:rPr>
          <w:rFonts w:cs="Calibri"/>
          <w:lang w:val="sr-Cyrl-BA"/>
        </w:rPr>
        <w:t xml:space="preserve">Поједине средње школе немају властити простор тако да је  ЈУ Медицинска школа смјештена у изнајмљени простор „Космос“ а.д. Бања Лука (очекује се изградња нове Медицинске школе у склопу КБЦ-а). Школа ученика у привреди је подстанар у Економској школи, а Грађевинска школа, је такође у изнајмљеном простору, гдје је Влада РС већински власник. Објекти средњих школа се књиже као имовина Града. Средње школе су у солидном стању, сем новог дијела Техничке школе и комплетног објекта Угоститељско-трговинско-туристичке школе. Објекат школе је монтажни и дотрајао, те није могућа реконструкција истог. </w:t>
      </w:r>
    </w:p>
    <w:p>
      <w:pPr>
        <w:jc w:val="both"/>
        <w:rPr>
          <w:rFonts w:cs="Calibri"/>
          <w:lang w:val="sr-Cyrl-BA"/>
        </w:rPr>
      </w:pPr>
    </w:p>
    <w:p>
      <w:pPr>
        <w:spacing w:before="120"/>
        <w:contextualSpacing/>
        <w:jc w:val="both"/>
        <w:rPr>
          <w:rFonts w:eastAsia="Times New Roman" w:cs="Calibri"/>
          <w:shd w:val="clear" w:color="auto" w:fill="FFFFFF"/>
          <w:lang w:val="sr-Cyrl-BA"/>
        </w:rPr>
      </w:pPr>
      <w:r>
        <w:rPr>
          <w:rFonts w:eastAsia="Times New Roman" w:cs="Calibri"/>
          <w:b/>
          <w:color w:val="3C3032"/>
          <w:shd w:val="clear" w:color="auto" w:fill="FFFFFF"/>
          <w:lang w:val="sr-Cyrl-BA"/>
        </w:rPr>
        <w:t>Корисници</w:t>
      </w:r>
      <w:r>
        <w:rPr>
          <w:rFonts w:eastAsia="Times New Roman" w:cs="Calibri"/>
          <w:b/>
          <w:color w:val="3C3032"/>
          <w:shd w:val="clear" w:color="auto" w:fill="FFFFFF"/>
          <w:lang w:val="sr-Cyrl-RS"/>
        </w:rPr>
        <w:t xml:space="preserve">. </w:t>
      </w:r>
      <w:r>
        <w:rPr>
          <w:rFonts w:eastAsia="Times New Roman" w:cs="Calibri"/>
          <w:shd w:val="clear" w:color="auto" w:fill="FFFFFF"/>
          <w:lang w:val="sr-Cyrl-BA"/>
        </w:rPr>
        <w:t xml:space="preserve">У школској 2016/2017. години школује се укупно 10.013 средњошколаца. Међу њима је 2.500 ученика, који су са других општина, а школују се у средњим школама града Бања Лука. </w:t>
      </w:r>
    </w:p>
    <w:p>
      <w:pPr>
        <w:spacing w:before="120"/>
        <w:ind w:left="720"/>
        <w:contextualSpacing/>
        <w:jc w:val="both"/>
        <w:rPr>
          <w:rFonts w:eastAsia="Times New Roman" w:cs="Calibri"/>
          <w:shd w:val="clear" w:color="auto" w:fill="FFFFFF"/>
          <w:lang w:val="sr-Cyrl-BA"/>
        </w:rPr>
      </w:pPr>
    </w:p>
    <w:p>
      <w:pPr>
        <w:spacing w:before="120"/>
        <w:ind w:left="720"/>
        <w:contextualSpacing/>
        <w:jc w:val="both"/>
        <w:rPr>
          <w:rFonts w:eastAsia="Times New Roman" w:cs="Calibri"/>
          <w:b/>
          <w:highlight w:val="yellow"/>
          <w:shd w:val="clear" w:color="auto" w:fill="FFFFFF"/>
          <w:lang w:val="sr-Cyrl-BA"/>
        </w:rPr>
      </w:pPr>
      <w:r>
        <w:rPr>
          <w:lang w:val="sr-Latn-CS" w:eastAsia="sr-Latn-CS"/>
        </w:rPr>
        <w:drawing>
          <wp:inline distT="0" distB="0" distL="0" distR="0">
            <wp:extent cx="5132705" cy="1852930"/>
            <wp:effectExtent l="0" t="0" r="127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tabs>
          <w:tab w:val="left" w:pos="1229"/>
        </w:tabs>
        <w:spacing w:before="120"/>
        <w:ind w:left="720"/>
        <w:contextualSpacing/>
        <w:jc w:val="both"/>
        <w:rPr>
          <w:rFonts w:eastAsia="Times New Roman" w:cs="Calibri"/>
          <w:i/>
          <w:sz w:val="18"/>
          <w:szCs w:val="18"/>
          <w:shd w:val="clear" w:color="auto" w:fill="FFFFFF"/>
          <w:lang w:val="sr-Cyrl-BA"/>
        </w:rPr>
      </w:pPr>
      <w:r>
        <w:rPr>
          <w:rFonts w:eastAsia="Times New Roman" w:cs="Calibri"/>
          <w:i/>
          <w:sz w:val="18"/>
          <w:szCs w:val="18"/>
          <w:shd w:val="clear" w:color="auto" w:fill="FFFFFF"/>
          <w:lang w:val="sr-Cyrl-BA"/>
        </w:rPr>
        <w:t xml:space="preserve">Извор: Годишњи извјештаји средњих школа </w:t>
      </w:r>
    </w:p>
    <w:p>
      <w:pPr>
        <w:spacing w:before="120"/>
        <w:contextualSpacing/>
        <w:jc w:val="both"/>
        <w:rPr>
          <w:rFonts w:eastAsia="Times New Roman" w:cs="Calibri"/>
          <w:shd w:val="clear" w:color="auto" w:fill="FFFFFF"/>
          <w:lang w:val="sr-Cyrl-BA"/>
        </w:rPr>
      </w:pPr>
    </w:p>
    <w:p>
      <w:pPr>
        <w:spacing w:before="120"/>
        <w:contextualSpacing/>
        <w:jc w:val="both"/>
        <w:rPr>
          <w:rFonts w:eastAsia="Times New Roman" w:cs="Calibri"/>
          <w:shd w:val="clear" w:color="auto" w:fill="FFFFFF"/>
          <w:lang w:val="sr-Cyrl-BA"/>
        </w:rPr>
      </w:pPr>
      <w:r>
        <w:rPr>
          <w:rFonts w:eastAsia="Times New Roman" w:cs="Calibri"/>
          <w:shd w:val="clear" w:color="auto" w:fill="FFFFFF"/>
          <w:lang w:val="sr-Cyrl-BA"/>
        </w:rPr>
        <w:t>Уочљиво је да се стопа уписа ученика у средње школе смањује из године у годину у свим средњим школама. У односу на школску 2011/2012., уписано је 13% мање ученика у 2017/2018. Овакав тренд је потребно детаљније анализирати, усклађивати понуду занимања са тражњом у привреди и промовисати, нарочито, дефицитарна и перспективна занимања на широј територији Републике Српске. Као регионални образовни центар, град Бања Лука треба да сагледа и потребе за проширењем смештајних капацитета за ученике ван територије града.</w:t>
      </w:r>
    </w:p>
    <w:p>
      <w:pPr>
        <w:spacing w:before="120"/>
        <w:contextualSpacing/>
        <w:jc w:val="both"/>
        <w:rPr>
          <w:rFonts w:eastAsia="Times New Roman" w:cs="Calibri"/>
          <w:shd w:val="clear" w:color="auto" w:fill="FFFFFF"/>
          <w:lang w:val="sr-Cyrl-BA"/>
        </w:rPr>
      </w:pPr>
    </w:p>
    <w:p>
      <w:pPr>
        <w:spacing w:before="120"/>
        <w:contextualSpacing/>
        <w:jc w:val="both"/>
        <w:rPr>
          <w:rFonts w:eastAsia="Times New Roman" w:cs="Calibri"/>
          <w:shd w:val="clear" w:color="auto" w:fill="FFFFFF"/>
          <w:lang w:val="sr-Cyrl-BA"/>
        </w:rPr>
      </w:pPr>
      <w:r>
        <w:rPr>
          <w:rFonts w:eastAsia="Times New Roman" w:cs="Calibri"/>
          <w:b/>
          <w:color w:val="3C3032"/>
          <w:shd w:val="clear" w:color="auto" w:fill="FFFFFF"/>
          <w:lang w:val="sr-Cyrl-RS"/>
        </w:rPr>
        <w:t>И</w:t>
      </w:r>
      <w:r>
        <w:rPr>
          <w:rFonts w:eastAsia="Times New Roman" w:cs="Calibri"/>
          <w:b/>
          <w:color w:val="3C3032"/>
          <w:shd w:val="clear" w:color="auto" w:fill="FFFFFF"/>
          <w:lang w:val="sr-Cyrl-BA"/>
        </w:rPr>
        <w:t>нклузивно образовање</w:t>
      </w:r>
      <w:r>
        <w:rPr>
          <w:rFonts w:eastAsia="Times New Roman" w:cs="Calibri"/>
          <w:b/>
          <w:color w:val="3C3032"/>
          <w:shd w:val="clear" w:color="auto" w:fill="FFFFFF"/>
          <w:lang w:val="sr-Cyrl-RS"/>
        </w:rPr>
        <w:t xml:space="preserve">. </w:t>
      </w:r>
      <w:r>
        <w:rPr>
          <w:rFonts w:eastAsia="Times New Roman" w:cs="Calibri"/>
          <w:color w:val="3C3032"/>
          <w:shd w:val="clear" w:color="auto" w:fill="FFFFFF"/>
          <w:lang w:val="sr-Cyrl-RS"/>
        </w:rPr>
        <w:t>О</w:t>
      </w:r>
      <w:r>
        <w:rPr>
          <w:rFonts w:eastAsia="Times New Roman" w:cs="Calibri"/>
          <w:shd w:val="clear" w:color="auto" w:fill="FFFFFF"/>
          <w:lang w:val="sr-Cyrl-BA"/>
        </w:rPr>
        <w:t>д укупно 9.927 средњошколаца у 2016/2017. години, 135 (81М/54Ж) ученика (1,35%) је са сметњама у развоју, оцјењених од стране стручне Комисије.</w:t>
      </w:r>
    </w:p>
    <w:p>
      <w:pPr>
        <w:spacing w:before="120"/>
        <w:contextualSpacing/>
        <w:jc w:val="both"/>
        <w:rPr>
          <w:rFonts w:eastAsia="Times New Roman" w:cs="Calibri"/>
          <w:w w:val="102"/>
          <w:lang w:val="sr-Cyrl-BA"/>
        </w:rPr>
      </w:pPr>
    </w:p>
    <w:p>
      <w:pPr>
        <w:shd w:val="clear" w:color="auto" w:fill="FFFFFF" w:themeFill="background1"/>
        <w:jc w:val="both"/>
        <w:rPr>
          <w:rFonts w:cs="Calibri"/>
          <w:color w:val="000000"/>
          <w:w w:val="102"/>
          <w:lang w:val="sr-Cyrl-RS"/>
        </w:rPr>
      </w:pPr>
      <w:r>
        <w:rPr>
          <w:rFonts w:eastAsia="Times New Roman" w:cs="Calibri"/>
          <w:b/>
          <w:color w:val="000000"/>
          <w:w w:val="102"/>
          <w:lang w:val="sr-Cyrl-RS"/>
        </w:rPr>
        <w:t>Ф</w:t>
      </w:r>
      <w:r>
        <w:rPr>
          <w:rFonts w:eastAsia="Times New Roman" w:cs="Calibri"/>
          <w:b/>
          <w:color w:val="000000"/>
          <w:w w:val="102"/>
          <w:lang w:val="sr-Cyrl-BA"/>
        </w:rPr>
        <w:t>инансирање</w:t>
      </w:r>
      <w:r>
        <w:rPr>
          <w:rFonts w:eastAsia="Times New Roman" w:cs="Calibri"/>
          <w:b/>
          <w:color w:val="000000"/>
          <w:w w:val="102"/>
          <w:lang w:val="sr-Cyrl-RS"/>
        </w:rPr>
        <w:t xml:space="preserve">. </w:t>
      </w:r>
      <w:r>
        <w:rPr>
          <w:rFonts w:cs="Calibri"/>
          <w:color w:val="000000"/>
          <w:w w:val="102"/>
        </w:rPr>
        <w:t xml:space="preserve">У области средњег </w:t>
      </w:r>
      <w:r>
        <w:rPr>
          <w:rFonts w:cs="Calibri"/>
          <w:color w:val="000000"/>
        </w:rPr>
        <w:t>образовања, град  Бања Лука  има  надлежности у домену материјалн</w:t>
      </w:r>
      <w:r>
        <w:rPr>
          <w:rFonts w:cs="Calibri"/>
          <w:color w:val="000000"/>
          <w:lang w:val="sr-Cyrl-RS"/>
        </w:rPr>
        <w:t>их</w:t>
      </w:r>
      <w:r>
        <w:rPr>
          <w:rFonts w:cs="Calibri"/>
          <w:color w:val="000000"/>
        </w:rPr>
        <w:t xml:space="preserve">  трошкова, стипендирања</w:t>
      </w:r>
      <w:r>
        <w:rPr>
          <w:rFonts w:cs="Calibri"/>
          <w:color w:val="000000"/>
          <w:spacing w:val="-4"/>
        </w:rPr>
        <w:t xml:space="preserve"> средњошколаца, те финансирања општинских и регионалних такмичења.</w:t>
      </w:r>
      <w:r>
        <w:rPr>
          <w:rStyle w:val="27"/>
        </w:rPr>
        <w:t xml:space="preserve"> </w:t>
      </w:r>
      <w:r>
        <w:rPr>
          <w:rFonts w:cs="Calibri"/>
          <w:color w:val="000000"/>
        </w:rPr>
        <w:t>Град Бања Лука</w:t>
      </w:r>
      <w:r>
        <w:rPr>
          <w:rFonts w:cs="Calibri"/>
          <w:color w:val="000000"/>
          <w:lang w:val="sr-Cyrl-RS"/>
        </w:rPr>
        <w:t>,</w:t>
      </w:r>
      <w:r>
        <w:rPr>
          <w:rFonts w:cs="Calibri"/>
          <w:color w:val="000000"/>
        </w:rPr>
        <w:t xml:space="preserve"> у складу са </w:t>
      </w:r>
      <w:r>
        <w:rPr>
          <w:rFonts w:cs="Calibri"/>
        </w:rPr>
        <w:t>Одлуком о додјели стипендија Града Бања Лука</w:t>
      </w:r>
      <w:r>
        <w:rPr>
          <w:rFonts w:cs="Calibri"/>
          <w:vertAlign w:val="superscript"/>
        </w:rPr>
        <w:footnoteReference w:id="30"/>
      </w:r>
      <w:r>
        <w:rPr>
          <w:rFonts w:cs="Calibri"/>
          <w:lang w:val="sr-Cyrl-RS"/>
        </w:rPr>
        <w:t>,</w:t>
      </w:r>
      <w:r>
        <w:rPr>
          <w:rFonts w:cs="Calibri"/>
          <w:color w:val="000000"/>
        </w:rPr>
        <w:t xml:space="preserve">  стипендира  ученике  средњих  школа,  по  три  основа:  према </w:t>
      </w:r>
      <w:r>
        <w:rPr>
          <w:rFonts w:cs="Calibri"/>
          <w:color w:val="000000"/>
          <w:w w:val="102"/>
        </w:rPr>
        <w:t xml:space="preserve">социјалном статусу, за успјех у школи и за дефицитарна занимања. </w:t>
      </w:r>
      <w:r>
        <w:rPr>
          <w:rFonts w:cs="Calibri"/>
          <w:color w:val="000000"/>
          <w:w w:val="102"/>
          <w:lang w:val="sr-Cyrl-BA"/>
        </w:rPr>
        <w:t>У школској 2016/2017 години, Град је стипендирао 1255 ученика (по успјеху: 639 ученика, по социјалном статусу: 587 и за дефицитарна занимања: 59 ученика) и за то је издвоио укупно 1.051.200,00 КМ.</w:t>
      </w:r>
      <w:r>
        <w:rPr>
          <w:rFonts w:cs="Calibri"/>
          <w:color w:val="000000"/>
          <w:w w:val="102"/>
          <w:lang w:val="sr-Cyrl-RS"/>
        </w:rPr>
        <w:t xml:space="preserve"> </w:t>
      </w:r>
    </w:p>
    <w:p>
      <w:pPr>
        <w:shd w:val="clear" w:color="auto" w:fill="FFFFFF" w:themeFill="background1"/>
        <w:jc w:val="both"/>
        <w:rPr>
          <w:rFonts w:cs="Calibri"/>
          <w:color w:val="000000"/>
          <w:w w:val="102"/>
        </w:rPr>
      </w:pPr>
      <w:r>
        <w:rPr>
          <w:rFonts w:cs="Calibri"/>
          <w:color w:val="000000"/>
          <w:w w:val="102"/>
          <w:lang w:val="sr-Cyrl-BA"/>
        </w:rPr>
        <w:t>У сарадњи Завода за запошљавање (број незапослених по занимањима), Привредне коморе (правци развоја локалне заједнице) и Министарства просвјете и културе (план уписа ученика) дошло се до дефицитарних занимања. За школску 2017/2018 годину, дефицитарна занимања за средње школе су: геодезија и грађевинарство – зидар и зидар-молер, пољопривреда и прерада хране: пекар и текстилство и кожарство: обућар.</w:t>
      </w:r>
    </w:p>
    <w:p>
      <w:pPr>
        <w:spacing w:before="120"/>
        <w:contextualSpacing/>
        <w:jc w:val="both"/>
        <w:rPr>
          <w:rFonts w:cs="Calibri"/>
          <w:color w:val="000000"/>
          <w:w w:val="102"/>
          <w:lang w:val="sr-Cyrl-BA"/>
        </w:rPr>
      </w:pPr>
    </w:p>
    <w:p>
      <w:pPr>
        <w:spacing w:before="120"/>
        <w:contextualSpacing/>
        <w:jc w:val="both"/>
        <w:rPr>
          <w:rFonts w:cs="Calibri"/>
          <w:shd w:val="clear" w:color="auto" w:fill="FFFFFF"/>
        </w:rPr>
      </w:pPr>
      <w:r>
        <w:rPr>
          <w:rFonts w:eastAsia="Times New Roman" w:cs="Calibri"/>
          <w:b/>
          <w:color w:val="000000"/>
          <w:spacing w:val="-4"/>
          <w:lang w:val="sr-Cyrl-BA"/>
        </w:rPr>
        <w:t>Сарадња</w:t>
      </w:r>
      <w:r>
        <w:rPr>
          <w:rFonts w:eastAsia="Times New Roman" w:cs="Calibri"/>
          <w:b/>
          <w:color w:val="000000"/>
          <w:spacing w:val="-4"/>
          <w:lang w:val="sr-Cyrl-RS"/>
        </w:rPr>
        <w:t xml:space="preserve">. </w:t>
      </w:r>
      <w:r>
        <w:rPr>
          <w:rFonts w:cs="Calibri"/>
          <w:shd w:val="clear" w:color="auto" w:fill="FFFFFF"/>
        </w:rPr>
        <w:t>Од 2018.</w:t>
      </w:r>
      <w:r>
        <w:rPr>
          <w:rFonts w:cs="Calibri"/>
          <w:shd w:val="clear" w:color="auto" w:fill="FFFFFF"/>
          <w:lang w:val="sr-Cyrl-RS"/>
        </w:rPr>
        <w:t xml:space="preserve"> </w:t>
      </w:r>
      <w:r>
        <w:rPr>
          <w:rFonts w:cs="Calibri"/>
          <w:shd w:val="clear" w:color="auto" w:fill="FFFFFF"/>
        </w:rPr>
        <w:t>године</w:t>
      </w:r>
      <w:r>
        <w:rPr>
          <w:rFonts w:cs="Calibri"/>
          <w:shd w:val="clear" w:color="auto" w:fill="FFFFFF"/>
          <w:lang w:val="sr-Cyrl-RS"/>
        </w:rPr>
        <w:t>,</w:t>
      </w:r>
      <w:r>
        <w:rPr>
          <w:rFonts w:cs="Calibri"/>
          <w:shd w:val="clear" w:color="auto" w:fill="FFFFFF"/>
        </w:rPr>
        <w:t xml:space="preserve"> Босна и Херцеговина ће бити обухваћена PISA програмом (Програм за међународну процјену ученичких знања и вјештина), када ће стандардизираним тестовима у области читалачких, математичких и природно-научних компетенција средњошколци моћи да пров</w:t>
      </w:r>
      <w:r>
        <w:rPr>
          <w:rFonts w:cs="Calibri"/>
          <w:shd w:val="clear" w:color="auto" w:fill="FFFFFF"/>
          <w:lang w:val="sr-Cyrl-RS"/>
        </w:rPr>
        <w:t>ј</w:t>
      </w:r>
      <w:r>
        <w:rPr>
          <w:rFonts w:cs="Calibri"/>
          <w:shd w:val="clear" w:color="auto" w:fill="FFFFFF"/>
        </w:rPr>
        <w:t>ере своје знање и упореде постигнућа са вршњацима широм света.</w:t>
      </w:r>
    </w:p>
    <w:p>
      <w:pPr>
        <w:jc w:val="both"/>
        <w:rPr>
          <w:rFonts w:cs="Calibri"/>
          <w:w w:val="102"/>
          <w:lang w:val="sr-Cyrl-BA"/>
        </w:rPr>
      </w:pPr>
    </w:p>
    <w:tbl>
      <w:tblPr>
        <w:tblStyle w:val="37"/>
        <w:tblW w:w="957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576" w:type="dxa"/>
            <w:shd w:val="clear" w:color="auto" w:fill="C5E0B3" w:themeFill="accent6" w:themeFillTint="66"/>
          </w:tcPr>
          <w:p>
            <w:pPr>
              <w:spacing w:before="120" w:line="276" w:lineRule="auto"/>
              <w:contextualSpacing/>
              <w:jc w:val="both"/>
              <w:rPr>
                <w:rFonts w:eastAsia="Times New Roman" w:cs="Calibri"/>
                <w:i/>
                <w:lang w:val="sr-Cyrl-RS"/>
              </w:rPr>
            </w:pPr>
            <w:r>
              <w:rPr>
                <w:rFonts w:eastAsia="Times New Roman" w:cs="Calibri"/>
                <w:i/>
                <w:lang w:val="sr-Cyrl-BA"/>
              </w:rPr>
              <w:t xml:space="preserve">Средњошколско образовање се спроводи у складу са законским оквиром Републике Српске и Стратегијом образовања РС (2016-2021.). Бања Лука има развијену инфраструктру и образује ученике за велики број занимања </w:t>
            </w:r>
            <w:r>
              <w:rPr>
                <w:rFonts w:eastAsia="Times New Roman" w:cs="Calibri"/>
                <w:i/>
                <w:lang w:val="en-US"/>
              </w:rPr>
              <w:t>IV</w:t>
            </w:r>
            <w:r>
              <w:rPr>
                <w:rFonts w:eastAsia="Times New Roman" w:cs="Calibri"/>
                <w:i/>
                <w:lang w:val="sr-Cyrl-RS"/>
              </w:rPr>
              <w:t xml:space="preserve"> и</w:t>
            </w:r>
            <w:r>
              <w:rPr>
                <w:rFonts w:eastAsia="Times New Roman" w:cs="Calibri"/>
                <w:i/>
                <w:lang w:val="sr-Cyrl-BA"/>
              </w:rPr>
              <w:t xml:space="preserve"> </w:t>
            </w:r>
            <w:r>
              <w:rPr>
                <w:rFonts w:eastAsia="Times New Roman" w:cs="Calibri"/>
                <w:i/>
                <w:lang w:val="en-US"/>
              </w:rPr>
              <w:t>III</w:t>
            </w:r>
            <w:r>
              <w:rPr>
                <w:rFonts w:eastAsia="Times New Roman" w:cs="Calibri"/>
                <w:i/>
                <w:lang w:val="sr-Cyrl-RS"/>
              </w:rPr>
              <w:t xml:space="preserve"> степена стручне спреме. Бања Лука је регионални образовни центар и у том правцу потребно је даље развијати инфраструктуру и опремати школе, те прилагођавати наставни план и програм потребама привреде, не само на територији Града, већ и на широј територији Републике Српске. </w:t>
            </w:r>
          </w:p>
          <w:p>
            <w:pPr>
              <w:spacing w:before="120" w:line="276" w:lineRule="auto"/>
              <w:contextualSpacing/>
              <w:jc w:val="both"/>
              <w:rPr>
                <w:rFonts w:eastAsia="Times New Roman" w:cs="Calibri"/>
                <w:i/>
                <w:lang w:val="sr-Cyrl-RS"/>
              </w:rPr>
            </w:pPr>
            <w:r>
              <w:rPr>
                <w:rFonts w:eastAsia="Times New Roman" w:cs="Calibri"/>
                <w:i/>
                <w:lang w:val="sr-Cyrl-RS"/>
              </w:rPr>
              <w:t>Примјетно је преклапање истих образовних профила у више школа (нпр.медицински техничар), па је у том смислу неопходна сарадња између средњих стручних школа и локалне самоуправе у циљу оптимизације у овој области, у складу са потребама за запошљавањем. Проблеми који се уочавају у постојећем систему средњошколског образовања огледају се нарочито у препознатој потреби за унапређењем методолошког приступа, као и у потреби за опремањем кабинета и стварањем услова за унапређење инклузивног образовања. Стипендирање ученика из социјално угрожених група које доприноси повећању њихове социјалне инклузије, али и усклађивање образовања са потребама тржишта рада, су свакако приоритети које Град Бања Лука препознаје у наредном периоду.</w:t>
            </w:r>
          </w:p>
        </w:tc>
      </w:tr>
    </w:tbl>
    <w:p>
      <w:pPr>
        <w:rPr>
          <w:rFonts w:cs="Calibri"/>
          <w:b/>
          <w:i/>
        </w:rPr>
      </w:pPr>
    </w:p>
    <w:p>
      <w:pPr>
        <w:spacing w:before="120" w:after="120"/>
        <w:jc w:val="both"/>
        <w:rPr>
          <w:rFonts w:eastAsia="Times New Roman"/>
          <w:b/>
          <w:bCs/>
          <w:i/>
          <w:kern w:val="32"/>
        </w:rPr>
      </w:pPr>
      <w:r>
        <w:rPr>
          <w:rFonts w:eastAsia="Times New Roman"/>
          <w:b/>
          <w:bCs/>
          <w:i/>
          <w:kern w:val="32"/>
        </w:rPr>
        <w:t>Високошколско образовање</w:t>
      </w:r>
    </w:p>
    <w:p>
      <w:pPr>
        <w:shd w:val="clear" w:color="auto" w:fill="FFFFFF"/>
        <w:jc w:val="both"/>
        <w:rPr>
          <w:rFonts w:eastAsia="Times New Roman" w:cs="Arial"/>
          <w:bCs/>
        </w:rPr>
      </w:pPr>
    </w:p>
    <w:p>
      <w:pPr>
        <w:shd w:val="clear" w:color="auto" w:fill="FFFFFF"/>
        <w:jc w:val="both"/>
        <w:rPr>
          <w:rFonts w:eastAsia="Times New Roman" w:cs="Helvetica"/>
          <w:lang w:val="sr-Cyrl-RS" w:eastAsia="hr-BA"/>
        </w:rPr>
      </w:pPr>
      <w:r>
        <w:rPr>
          <w:rFonts w:eastAsia="Times New Roman" w:cs="Arial"/>
          <w:bCs/>
        </w:rPr>
        <w:t>Бања Лука је универзитетски град.</w:t>
      </w:r>
      <w:r>
        <w:rPr>
          <w:rFonts w:eastAsia="Times New Roman" w:cs="Arial"/>
          <w:b/>
          <w:bCs/>
        </w:rPr>
        <w:t> </w:t>
      </w:r>
      <w:r>
        <w:rPr>
          <w:rFonts w:eastAsia="Times New Roman" w:cs="Arial"/>
          <w:b/>
          <w:bCs/>
          <w:lang w:val="sr-Cyrl-RS"/>
        </w:rPr>
        <w:t xml:space="preserve"> </w:t>
      </w:r>
      <w:r>
        <w:rPr>
          <w:rFonts w:eastAsia="Times New Roman" w:cs="Arial"/>
        </w:rPr>
        <w:t>У граду на Врбасу</w:t>
      </w:r>
      <w:r>
        <w:rPr>
          <w:rFonts w:eastAsia="Times New Roman" w:cs="Arial"/>
          <w:lang w:val="sr-Cyrl-RS"/>
        </w:rPr>
        <w:t>,</w:t>
      </w:r>
      <w:r>
        <w:rPr>
          <w:rFonts w:eastAsia="Times New Roman" w:cs="Arial"/>
        </w:rPr>
        <w:t xml:space="preserve"> студенти из свих крајева РС, БиХ и шире имају могућност да високошколско образовање стичу на Јавном универзитету Бања Лукa</w:t>
      </w:r>
      <w:r>
        <w:rPr>
          <w:rStyle w:val="31"/>
          <w:rFonts w:eastAsia="Times New Roman" w:cs="Arial"/>
        </w:rPr>
        <w:footnoteReference w:id="31"/>
      </w:r>
      <w:r>
        <w:rPr>
          <w:rFonts w:eastAsia="Times New Roman" w:cs="Arial"/>
        </w:rPr>
        <w:t>,</w:t>
      </w:r>
      <w:r>
        <w:rPr>
          <w:rFonts w:eastAsia="Times New Roman" w:cs="Arial"/>
          <w:lang w:val="sr-Cyrl-RS"/>
        </w:rPr>
        <w:t xml:space="preserve"> који</w:t>
      </w:r>
      <w:r>
        <w:rPr>
          <w:rFonts w:eastAsia="Times New Roman" w:cs="Arial"/>
        </w:rPr>
        <w:t xml:space="preserve"> </w:t>
      </w:r>
      <w:r>
        <w:rPr>
          <w:rFonts w:eastAsia="Times New Roman" w:cs="Helvetica"/>
          <w:lang w:eastAsia="hr-BA"/>
        </w:rPr>
        <w:t>је водећа високошколска образовна институција у Републици Српској и други по величини универзитет у Босни и Херцеговини. Универзитет је основан  7. новембра 1975. године. Приликом оснивања у саставу Универзитета било је пет факултета: Електротехнички, Технолошки, Машински, Правни и Економски и три више школе. Медицински факултет основан је 1978. године. Остали факултети основани су касније: Пољопривредни и Шумарски 1992, Филозофски 1994, Архитектонско-грађевински 1995. године, Природно-математички 1996, Академија умјетности 1999, Факултет физичког васпитања и спорта 2001, Филолошки, Факултет политичких наука и Рударски факултет 2009. године, те  Факултет безбједносних наука 2017. године. Универзитет у Бања Луци данас има 17 факултета са 58 студијских програма I циклуса студија, 65 програма II циклуса и девет студијских програма III циклуса студија</w:t>
      </w:r>
      <w:r>
        <w:rPr>
          <w:rFonts w:eastAsia="Times New Roman" w:cs="Helvetica"/>
          <w:lang w:val="sr-Cyrl-RS" w:eastAsia="hr-BA"/>
        </w:rPr>
        <w:t>.</w:t>
      </w:r>
      <w:r>
        <w:rPr>
          <w:rFonts w:eastAsia="Times New Roman" w:cs="Arial"/>
          <w:lang w:val="sr-Cyrl-RS"/>
        </w:rPr>
        <w:t xml:space="preserve"> У саставу Универзитета, као организациона јединица, дјелује и Институт за генетичке ресурсе Универзитета у Бањoj Луци од 2009. године. </w:t>
      </w:r>
      <w:r>
        <w:rPr>
          <w:rFonts w:eastAsia="Times New Roman" w:cs="Helvetica"/>
          <w:lang w:val="sr-Cyrl-RS" w:eastAsia="hr-BA"/>
        </w:rPr>
        <w:t>Т</w:t>
      </w:r>
      <w:r>
        <w:rPr>
          <w:rFonts w:eastAsia="Times New Roman" w:cs="Helvetica"/>
          <w:lang w:eastAsia="hr-BA"/>
        </w:rPr>
        <w:t xml:space="preserve">ренутно на Универзитету студира око 20.000 студената из свих крајева Републике Српске, али и из иностранства. До </w:t>
      </w:r>
      <w:r>
        <w:rPr>
          <w:rFonts w:eastAsia="Times New Roman" w:cs="Helvetica"/>
          <w:lang w:val="sr-Cyrl-RS" w:eastAsia="hr-BA"/>
        </w:rPr>
        <w:t>сада је</w:t>
      </w:r>
      <w:r>
        <w:rPr>
          <w:rFonts w:eastAsia="Times New Roman" w:cs="Helvetica"/>
          <w:lang w:eastAsia="hr-BA"/>
        </w:rPr>
        <w:t xml:space="preserve">  дипломе основних студија стекло</w:t>
      </w:r>
      <w:r>
        <w:rPr>
          <w:rFonts w:eastAsia="Times New Roman" w:cs="Helvetica"/>
          <w:lang w:val="sr-Cyrl-RS" w:eastAsia="hr-BA"/>
        </w:rPr>
        <w:t xml:space="preserve"> је</w:t>
      </w:r>
      <w:r>
        <w:rPr>
          <w:rFonts w:eastAsia="Times New Roman" w:cs="Helvetica"/>
          <w:lang w:eastAsia="hr-BA"/>
        </w:rPr>
        <w:t xml:space="preserve"> 31.500 студената, 350 студената мастер студија, 1.150 магистара и 645 доктора наука.</w:t>
      </w:r>
    </w:p>
    <w:p>
      <w:pPr>
        <w:shd w:val="clear" w:color="auto" w:fill="FFFFFF"/>
        <w:jc w:val="both"/>
        <w:rPr>
          <w:rFonts w:eastAsia="Times New Roman" w:cs="Helvetica"/>
          <w:lang w:val="sr-Cyrl-RS" w:eastAsia="hr-BA"/>
        </w:rPr>
      </w:pPr>
    </w:p>
    <w:p>
      <w:pPr>
        <w:shd w:val="clear" w:color="auto" w:fill="FFFFFF"/>
        <w:jc w:val="both"/>
        <w:rPr>
          <w:rFonts w:eastAsia="Times New Roman" w:cs="Helvetica"/>
          <w:lang w:val="sr-Cyrl-RS" w:eastAsia="hr-BA"/>
        </w:rPr>
      </w:pPr>
      <w:r>
        <w:rPr>
          <w:rFonts w:eastAsia="Times New Roman" w:cs="Helvetica"/>
          <w:lang w:eastAsia="hr-BA"/>
        </w:rPr>
        <w:t>Већина факултета Универзитета у Бањој Луци налази се у два кампуса</w:t>
      </w:r>
      <w:r>
        <w:rPr>
          <w:rFonts w:eastAsia="Times New Roman" w:cs="Helvetica"/>
          <w:lang w:val="sr-Cyrl-RS" w:eastAsia="hr-BA"/>
        </w:rPr>
        <w:t xml:space="preserve">. </w:t>
      </w:r>
      <w:r>
        <w:rPr>
          <w:rFonts w:eastAsia="Times New Roman" w:cs="Helvetica"/>
          <w:lang w:eastAsia="hr-BA"/>
        </w:rPr>
        <w:t>У кампусима се налазе студентски домови са ресторанима, спортским теренима, студентским клубовима и Универзитетским рачунарским центром. Универзитет у</w:t>
      </w:r>
      <w:r>
        <w:rPr>
          <w:rFonts w:eastAsia="Times New Roman" w:cs="Helvetica"/>
          <w:lang w:val="sr-Cyrl-RS" w:eastAsia="hr-BA"/>
        </w:rPr>
        <w:t xml:space="preserve"> Бањал</w:t>
      </w:r>
      <w:r>
        <w:rPr>
          <w:rFonts w:eastAsia="Times New Roman" w:cs="Helvetica"/>
          <w:lang w:eastAsia="hr-BA"/>
        </w:rPr>
        <w:t>уци располаже са свим неопходним просторним капацитетима почевши од учионица и амфитеатара, преко читаоница и библиотека, до лабораторија и рачунарских сала. Укупна површина учионица износи око 16.000 m</w:t>
      </w:r>
      <w:r>
        <w:rPr>
          <w:rFonts w:eastAsia="Times New Roman" w:cs="Helvetica"/>
          <w:vertAlign w:val="superscript"/>
          <w:lang w:eastAsia="hr-BA"/>
        </w:rPr>
        <w:t>2</w:t>
      </w:r>
      <w:r>
        <w:rPr>
          <w:rFonts w:eastAsia="Times New Roman" w:cs="Helvetica"/>
          <w:lang w:eastAsia="hr-BA"/>
        </w:rPr>
        <w:t>, а лабораторијског простора oкo 10.000 m</w:t>
      </w:r>
      <w:r>
        <w:rPr>
          <w:rFonts w:eastAsia="Times New Roman" w:cs="Helvetica"/>
          <w:vertAlign w:val="superscript"/>
          <w:lang w:eastAsia="hr-BA"/>
        </w:rPr>
        <w:t>2</w:t>
      </w:r>
      <w:r>
        <w:rPr>
          <w:rFonts w:eastAsia="Times New Roman" w:cs="Helvetica"/>
          <w:lang w:val="sr-Cyrl-RS" w:eastAsia="hr-BA"/>
        </w:rPr>
        <w:t xml:space="preserve"> и са </w:t>
      </w:r>
      <w:r>
        <w:rPr>
          <w:rFonts w:eastAsia="Times New Roman" w:cs="Helvetica"/>
          <w:lang w:eastAsia="hr-BA"/>
        </w:rPr>
        <w:t xml:space="preserve">20 рачунарских сала са 24-часовним приступом интернету. </w:t>
      </w:r>
    </w:p>
    <w:p>
      <w:pPr>
        <w:shd w:val="clear" w:color="auto" w:fill="FFFFFF"/>
        <w:jc w:val="both"/>
        <w:rPr>
          <w:rFonts w:eastAsia="Times New Roman" w:cs="Helvetica"/>
          <w:lang w:val="sr-Cyrl-RS" w:eastAsia="hr-BA"/>
        </w:rPr>
      </w:pPr>
    </w:p>
    <w:p>
      <w:pPr>
        <w:shd w:val="clear" w:color="auto" w:fill="FFFFFF"/>
        <w:jc w:val="both"/>
        <w:rPr>
          <w:rFonts w:eastAsia="Times New Roman" w:cs="Helvetica"/>
          <w:lang w:eastAsia="hr-BA"/>
        </w:rPr>
      </w:pPr>
      <w:r>
        <w:rPr>
          <w:rFonts w:eastAsia="Times New Roman" w:cs="Helvetica"/>
          <w:lang w:eastAsia="hr-BA"/>
        </w:rPr>
        <w:t>Универзитет у Бањ</w:t>
      </w:r>
      <w:r>
        <w:rPr>
          <w:rFonts w:eastAsia="Times New Roman" w:cs="Helvetica"/>
          <w:lang w:val="sr-Cyrl-RS" w:eastAsia="hr-BA"/>
        </w:rPr>
        <w:t>а</w:t>
      </w:r>
      <w:r>
        <w:rPr>
          <w:rFonts w:eastAsia="Times New Roman" w:cs="Helvetica"/>
          <w:lang w:eastAsia="hr-BA"/>
        </w:rPr>
        <w:t xml:space="preserve"> Луци члан је Европске асоцијације универзитета (European University Association - EUA) и потписник Велике повеље универзитета (Magna Charta Universitatum). Члан је и Међународне универзитетске мреже академске и истраживачке сарадње, у окриљу Научног парка Универзитета La Sapienza из Рима (Италија), Генералне скупштине Интеруниверзитетског центра за научни рад и сарадњу са Источном и Југоисточном Европом (CIRCEOS), са сједиштем на Универзитету у Барију (Италија), Мреже универзитета UniAdrion, са сједиштем у Анкони (Италија), Евро-медитеранске фондације (EMUNI), са сједиштем у Словенији и Универзитетске агенције за франкофонију (AUF).</w:t>
      </w:r>
    </w:p>
    <w:p>
      <w:pPr>
        <w:shd w:val="clear" w:color="auto" w:fill="FFFFFF"/>
        <w:spacing w:before="120"/>
        <w:contextualSpacing/>
        <w:jc w:val="both"/>
        <w:rPr>
          <w:rFonts w:eastAsia="Times New Roman" w:cs="Arial"/>
          <w:b/>
          <w:i/>
          <w:lang w:val="en-US"/>
        </w:rPr>
      </w:pPr>
    </w:p>
    <w:p>
      <w:pPr>
        <w:shd w:val="clear" w:color="auto" w:fill="FFFFFF"/>
        <w:spacing w:before="120"/>
        <w:contextualSpacing/>
        <w:jc w:val="both"/>
        <w:rPr>
          <w:rFonts w:cs="Arial"/>
          <w:lang w:val="sr-Cyrl-RS"/>
        </w:rPr>
      </w:pPr>
      <w:r>
        <w:rPr>
          <w:rFonts w:eastAsia="Times New Roman" w:cs="Arial"/>
          <w:b/>
          <w:lang w:val="en-US"/>
        </w:rPr>
        <w:t>Приватне високошколске установе</w:t>
      </w:r>
      <w:r>
        <w:rPr>
          <w:rFonts w:eastAsia="Times New Roman" w:cs="Arial"/>
          <w:b/>
          <w:lang w:val="sr-Cyrl-RS"/>
        </w:rPr>
        <w:t>.</w:t>
      </w:r>
      <w:r>
        <w:rPr>
          <w:rFonts w:eastAsia="Times New Roman" w:cs="Arial"/>
          <w:b/>
          <w:i/>
          <w:lang w:val="sr-Cyrl-RS"/>
        </w:rPr>
        <w:t xml:space="preserve"> </w:t>
      </w:r>
      <w:r>
        <w:rPr>
          <w:rFonts w:eastAsia="Times New Roman" w:cs="Arial"/>
          <w:lang w:val="sr-Cyrl-RS"/>
        </w:rPr>
        <w:t xml:space="preserve">У Бања Луци има и неколико приватних универзитета, са више факултета и струковних школа, укључујући: </w:t>
      </w:r>
      <w:r>
        <w:rPr>
          <w:rFonts w:cs="Arial"/>
          <w:lang w:val="sr-Cyrl-RS"/>
        </w:rPr>
        <w:t>Паневопски Аперион универзитет</w:t>
      </w:r>
      <w:r>
        <w:rPr>
          <w:rStyle w:val="31"/>
          <w:rFonts w:cs="Arial"/>
          <w:lang w:val="sr-Cyrl-RS"/>
        </w:rPr>
        <w:footnoteReference w:id="32"/>
      </w:r>
      <w:r>
        <w:rPr>
          <w:rFonts w:eastAsia="Times New Roman" w:cs="Arial"/>
          <w:lang w:val="sr-Cyrl-RS"/>
        </w:rPr>
        <w:t xml:space="preserve">, </w:t>
      </w:r>
      <w:r>
        <w:rPr>
          <w:rFonts w:cs="Arial"/>
        </w:rPr>
        <w:t>Универзитет за пословни инжењеринг и менаџмент</w:t>
      </w:r>
      <w:r>
        <w:rPr>
          <w:rStyle w:val="31"/>
          <w:rFonts w:cs="Arial"/>
        </w:rPr>
        <w:footnoteReference w:id="33"/>
      </w:r>
      <w:r>
        <w:rPr>
          <w:rFonts w:cs="Arial"/>
          <w:lang w:val="sr-Cyrl-RS"/>
        </w:rPr>
        <w:t>, Независни универзитет</w:t>
      </w:r>
      <w:r>
        <w:rPr>
          <w:rStyle w:val="31"/>
          <w:rFonts w:cs="Arial"/>
          <w:lang w:val="sr-Cyrl-RS"/>
        </w:rPr>
        <w:footnoteReference w:id="34"/>
      </w:r>
      <w:r>
        <w:rPr>
          <w:rFonts w:cs="Arial"/>
          <w:lang w:val="sr-Cyrl-RS"/>
        </w:rPr>
        <w:t xml:space="preserve"> </w:t>
      </w:r>
      <w:r>
        <w:rPr>
          <w:rFonts w:eastAsia="Times New Roman" w:cs="Arial"/>
          <w:lang w:val="sr-Cyrl-RS"/>
        </w:rPr>
        <w:t xml:space="preserve">и </w:t>
      </w:r>
      <w:r>
        <w:rPr>
          <w:rFonts w:cs="Arial"/>
        </w:rPr>
        <w:t>Универзитет за пословне студије</w:t>
      </w:r>
      <w:r>
        <w:rPr>
          <w:rStyle w:val="31"/>
          <w:rFonts w:cs="Arial"/>
        </w:rPr>
        <w:footnoteReference w:id="35"/>
      </w:r>
      <w:r>
        <w:rPr>
          <w:rFonts w:cs="Arial"/>
          <w:lang w:val="sr-Cyrl-RS"/>
        </w:rPr>
        <w:t>.</w:t>
      </w:r>
    </w:p>
    <w:p>
      <w:pPr>
        <w:jc w:val="both"/>
        <w:rPr>
          <w:rFonts w:eastAsia="Times New Roman"/>
          <w:lang w:val="sr-Cyrl-BA" w:eastAsia="hr-BA"/>
        </w:rPr>
      </w:pPr>
      <w:r>
        <w:rPr>
          <w:rFonts w:eastAsia="Times New Roman"/>
          <w:lang w:val="sr-Cyrl-BA" w:eastAsia="hr-BA"/>
        </w:rPr>
        <w:t>ЈУ Студентски центар „Никола Тесла“ пружа услуге смјештаја и исхране студентима Универзитета у Бања Луци. У објектима, које чине 4 павиљона поред студената смјештене су и разне студентске организације као што су: Унија студената, СОБЛ и сл. Студентски Центар је у својим објектима од оснивања до данас пружио услуге смјештаја за преко 30.000 студената и услуге исхране за преко 60.000 абонената.</w:t>
      </w:r>
    </w:p>
    <w:p>
      <w:pPr>
        <w:jc w:val="both"/>
        <w:rPr>
          <w:rFonts w:eastAsia="Times New Roman"/>
          <w:lang w:val="sr-Cyrl-BA" w:eastAsia="hr-BA"/>
        </w:rPr>
      </w:pPr>
    </w:p>
    <w:p>
      <w:pPr>
        <w:jc w:val="both"/>
        <w:rPr>
          <w:rFonts w:eastAsia="Times New Roman" w:cstheme="minorHAnsi"/>
          <w:lang w:val="sr-Cyrl-BA" w:eastAsia="hr-BA"/>
        </w:rPr>
      </w:pPr>
      <w:r>
        <w:rPr>
          <w:rFonts w:eastAsia="Times New Roman" w:cstheme="minorHAnsi"/>
          <w:lang w:val="sr-Cyrl-BA" w:eastAsia="hr-BA"/>
        </w:rPr>
        <w:t>Град Бања Лука традиционално  додјељује стипендије студентима по три основа: социјални статус, дефицитарно занимање, успјех. У академској 2017/2018.години Град укупно стипендира 369 студента, и то 233 по основу социјалног статуса (породице погинулих бораца, РВИ, дјеце у стању социјалне потребе, са одређеним степеном инвалидности и сл.),  98 по основу успјеха и 38 по основу дефицитарног занимања (физика и биологија, наставни смјерови, дипломирани инжињери електро-технике, рачунарвства и информатике).</w:t>
      </w:r>
    </w:p>
    <w:p>
      <w:pPr>
        <w:jc w:val="both"/>
        <w:rPr>
          <w:rFonts w:eastAsia="Times New Roman" w:cstheme="minorHAnsi"/>
          <w:lang w:val="sr-Cyrl-BA" w:eastAsia="hr-BA"/>
        </w:rPr>
      </w:pPr>
    </w:p>
    <w:tbl>
      <w:tblPr>
        <w:tblStyle w:val="37"/>
        <w:tblW w:w="957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76" w:type="dxa"/>
            <w:shd w:val="clear" w:color="auto" w:fill="C5E0B3" w:themeFill="accent6" w:themeFillTint="66"/>
          </w:tcPr>
          <w:p>
            <w:pPr>
              <w:jc w:val="both"/>
              <w:rPr>
                <w:i/>
                <w:lang w:val="sr-Cyrl-RS"/>
              </w:rPr>
            </w:pPr>
            <w:r>
              <w:rPr>
                <w:rFonts w:cstheme="minorHAnsi"/>
                <w:i/>
                <w:lang w:val="sr-Cyrl-BA" w:eastAsia="hr-BA"/>
              </w:rPr>
              <w:t xml:space="preserve">Град Бања Лука има дугу традицију у високом образовању и један је од кључних универзитетских центара у региону, са развијеним програмима академских студија у великом броју области, квалитетним и веома стручним кадром. Град Бања Лука обезбјеђује студентске стипендије и препознаје да је улагање у високостручне кадрове један од приоритета. </w:t>
            </w:r>
            <w:r>
              <w:rPr>
                <w:i/>
                <w:lang w:val="sr-Latn-CS"/>
              </w:rPr>
              <w:t>В</w:t>
            </w:r>
            <w:r>
              <w:rPr>
                <w:i/>
                <w:lang w:val="sr-Cyrl-RS"/>
              </w:rPr>
              <w:t>елик</w:t>
            </w:r>
            <w:r>
              <w:rPr>
                <w:i/>
                <w:lang w:val="sr-Latn-CS"/>
              </w:rPr>
              <w:t>а</w:t>
            </w:r>
            <w:r>
              <w:rPr>
                <w:i/>
                <w:lang w:val="sr-Cyrl-RS"/>
              </w:rPr>
              <w:t xml:space="preserve"> је </w:t>
            </w:r>
            <w:r>
              <w:rPr>
                <w:i/>
                <w:lang w:val="sr-Latn-CS"/>
              </w:rPr>
              <w:t>заинтересованост</w:t>
            </w:r>
            <w:r>
              <w:rPr>
                <w:i/>
                <w:lang w:val="sr-Cyrl-RS"/>
              </w:rPr>
              <w:t xml:space="preserve"> </w:t>
            </w:r>
            <w:r>
              <w:rPr>
                <w:i/>
                <w:lang w:val="sr-Latn-CS"/>
              </w:rPr>
              <w:t>младих</w:t>
            </w:r>
            <w:r>
              <w:rPr>
                <w:i/>
                <w:lang w:val="sr-Cyrl-RS"/>
              </w:rPr>
              <w:t xml:space="preserve"> </w:t>
            </w:r>
            <w:r>
              <w:rPr>
                <w:i/>
                <w:lang w:val="sr-Latn-CS"/>
              </w:rPr>
              <w:t>за</w:t>
            </w:r>
            <w:r>
              <w:rPr>
                <w:i/>
                <w:lang w:val="sr-Cyrl-RS"/>
              </w:rPr>
              <w:t xml:space="preserve"> </w:t>
            </w:r>
            <w:r>
              <w:rPr>
                <w:i/>
                <w:lang w:val="sr-Latn-CS"/>
              </w:rPr>
              <w:t>стицање</w:t>
            </w:r>
            <w:r>
              <w:rPr>
                <w:i/>
                <w:lang w:val="sr-Cyrl-RS"/>
              </w:rPr>
              <w:t xml:space="preserve"> </w:t>
            </w:r>
            <w:r>
              <w:rPr>
                <w:i/>
                <w:lang w:val="sr-Latn-CS"/>
              </w:rPr>
              <w:t>диплома</w:t>
            </w:r>
            <w:r>
              <w:rPr>
                <w:i/>
                <w:lang w:val="sr-Cyrl-RS"/>
              </w:rPr>
              <w:t xml:space="preserve"> </w:t>
            </w:r>
            <w:r>
              <w:rPr>
                <w:i/>
                <w:lang w:val="sr-Latn-CS"/>
              </w:rPr>
              <w:t>и</w:t>
            </w:r>
            <w:r>
              <w:rPr>
                <w:i/>
                <w:lang w:val="sr-Cyrl-RS"/>
              </w:rPr>
              <w:t xml:space="preserve"> </w:t>
            </w:r>
            <w:r>
              <w:rPr>
                <w:i/>
                <w:lang w:val="sr-Latn-CS"/>
              </w:rPr>
              <w:t>даље</w:t>
            </w:r>
            <w:r>
              <w:rPr>
                <w:i/>
                <w:lang w:val="sr-Cyrl-RS"/>
              </w:rPr>
              <w:t xml:space="preserve"> </w:t>
            </w:r>
            <w:r>
              <w:rPr>
                <w:i/>
                <w:lang w:val="sr-Latn-CS"/>
              </w:rPr>
              <w:t>школовање</w:t>
            </w:r>
            <w:r>
              <w:rPr>
                <w:i/>
              </w:rPr>
              <w:t xml:space="preserve">, </w:t>
            </w:r>
            <w:r>
              <w:rPr>
                <w:i/>
                <w:lang w:val="sr-Latn-CS"/>
              </w:rPr>
              <w:t>јер</w:t>
            </w:r>
            <w:r>
              <w:rPr>
                <w:i/>
                <w:lang w:val="sr-Cyrl-RS"/>
              </w:rPr>
              <w:t xml:space="preserve"> то повећава </w:t>
            </w:r>
            <w:r>
              <w:rPr>
                <w:i/>
                <w:lang w:val="sr-Latn-CS"/>
              </w:rPr>
              <w:t>шанс</w:t>
            </w:r>
            <w:r>
              <w:rPr>
                <w:i/>
                <w:lang w:val="sr-Cyrl-RS"/>
              </w:rPr>
              <w:t xml:space="preserve">е </w:t>
            </w:r>
            <w:r>
              <w:rPr>
                <w:i/>
                <w:lang w:val="sr-Latn-CS"/>
              </w:rPr>
              <w:t>за</w:t>
            </w:r>
            <w:r>
              <w:rPr>
                <w:i/>
                <w:lang w:val="sr-Cyrl-RS"/>
              </w:rPr>
              <w:t xml:space="preserve"> за</w:t>
            </w:r>
            <w:r>
              <w:rPr>
                <w:i/>
                <w:lang w:val="sr-Latn-CS"/>
              </w:rPr>
              <w:t>по</w:t>
            </w:r>
            <w:r>
              <w:rPr>
                <w:i/>
                <w:lang w:val="sr-Cyrl-RS"/>
              </w:rPr>
              <w:t xml:space="preserve">шљавање. </w:t>
            </w:r>
            <w:r>
              <w:rPr>
                <w:i/>
                <w:lang w:val="sr-Latn-CS"/>
              </w:rPr>
              <w:t>Прилив</w:t>
            </w:r>
            <w:r>
              <w:rPr>
                <w:i/>
                <w:lang w:val="sr-Cyrl-RS"/>
              </w:rPr>
              <w:t xml:space="preserve"> </w:t>
            </w:r>
            <w:r>
              <w:rPr>
                <w:i/>
                <w:lang w:val="sr-Latn-CS"/>
              </w:rPr>
              <w:t>студената</w:t>
            </w:r>
            <w:r>
              <w:rPr>
                <w:i/>
                <w:lang w:val="sr-Cyrl-RS"/>
              </w:rPr>
              <w:t xml:space="preserve"> </w:t>
            </w:r>
            <w:r>
              <w:rPr>
                <w:i/>
                <w:lang w:val="sr-Latn-CS"/>
              </w:rPr>
              <w:t>из</w:t>
            </w:r>
            <w:r>
              <w:rPr>
                <w:i/>
                <w:lang w:val="sr-Cyrl-RS"/>
              </w:rPr>
              <w:t xml:space="preserve"> </w:t>
            </w:r>
            <w:r>
              <w:rPr>
                <w:i/>
                <w:lang w:val="sr-Latn-CS"/>
              </w:rPr>
              <w:t>бивших</w:t>
            </w:r>
            <w:r>
              <w:rPr>
                <w:i/>
                <w:lang w:val="sr-Cyrl-RS"/>
              </w:rPr>
              <w:t xml:space="preserve"> </w:t>
            </w:r>
            <w:r>
              <w:rPr>
                <w:i/>
                <w:lang w:val="sr-Latn-CS"/>
              </w:rPr>
              <w:t>југословенских</w:t>
            </w:r>
            <w:r>
              <w:rPr>
                <w:i/>
                <w:lang w:val="sr-Cyrl-RS"/>
              </w:rPr>
              <w:t xml:space="preserve"> </w:t>
            </w:r>
            <w:r>
              <w:rPr>
                <w:i/>
                <w:lang w:val="sr-Latn-CS"/>
              </w:rPr>
              <w:t>република</w:t>
            </w:r>
            <w:r>
              <w:rPr>
                <w:i/>
                <w:lang w:val="sr-Cyrl-RS"/>
              </w:rPr>
              <w:t xml:space="preserve"> је велики, због повољних услова студирања и </w:t>
            </w:r>
            <w:r>
              <w:rPr>
                <w:i/>
                <w:lang w:val="sr-Latn-CS"/>
              </w:rPr>
              <w:t>непостој</w:t>
            </w:r>
            <w:r>
              <w:rPr>
                <w:i/>
                <w:lang w:val="sr-Cyrl-RS"/>
              </w:rPr>
              <w:t xml:space="preserve">ања </w:t>
            </w:r>
            <w:r>
              <w:rPr>
                <w:i/>
                <w:lang w:val="sr-Latn-CS"/>
              </w:rPr>
              <w:t>језичк</w:t>
            </w:r>
            <w:r>
              <w:rPr>
                <w:i/>
                <w:lang w:val="sr-Cyrl-RS"/>
              </w:rPr>
              <w:t xml:space="preserve">е </w:t>
            </w:r>
            <w:r>
              <w:rPr>
                <w:i/>
                <w:lang w:val="sr-Latn-CS"/>
              </w:rPr>
              <w:t>баријер</w:t>
            </w:r>
            <w:r>
              <w:rPr>
                <w:i/>
                <w:lang w:val="sr-Cyrl-RS"/>
              </w:rPr>
              <w:t>е. Велику шансу за даљи развој представља и у</w:t>
            </w:r>
            <w:r>
              <w:rPr>
                <w:i/>
                <w:lang w:val="sr-Latn-CS"/>
              </w:rPr>
              <w:t>кљученост</w:t>
            </w:r>
            <w:r>
              <w:rPr>
                <w:i/>
                <w:lang w:val="sr-Cyrl-RS"/>
              </w:rPr>
              <w:t xml:space="preserve"> </w:t>
            </w:r>
            <w:r>
              <w:rPr>
                <w:i/>
                <w:lang w:val="sr-Latn-CS"/>
              </w:rPr>
              <w:t>У</w:t>
            </w:r>
            <w:r>
              <w:rPr>
                <w:i/>
                <w:lang w:val="sr-Cyrl-RS"/>
              </w:rPr>
              <w:t xml:space="preserve">ниверзитета </w:t>
            </w:r>
            <w:r>
              <w:rPr>
                <w:i/>
                <w:lang w:val="sr-Latn-CS"/>
              </w:rPr>
              <w:t>Б</w:t>
            </w:r>
            <w:r>
              <w:rPr>
                <w:i/>
                <w:lang w:val="sr-Cyrl-RS"/>
              </w:rPr>
              <w:t xml:space="preserve">аља </w:t>
            </w:r>
            <w:r>
              <w:rPr>
                <w:i/>
                <w:lang w:val="sr-Latn-CS"/>
              </w:rPr>
              <w:t>Л</w:t>
            </w:r>
            <w:r>
              <w:rPr>
                <w:i/>
                <w:lang w:val="sr-Cyrl-RS"/>
              </w:rPr>
              <w:t xml:space="preserve">ука </w:t>
            </w:r>
            <w:r>
              <w:rPr>
                <w:i/>
                <w:lang w:val="sr-Latn-CS"/>
              </w:rPr>
              <w:t>у</w:t>
            </w:r>
            <w:r>
              <w:rPr>
                <w:i/>
                <w:lang w:val="sr-Cyrl-RS"/>
              </w:rPr>
              <w:t xml:space="preserve"> међународне </w:t>
            </w:r>
            <w:r>
              <w:rPr>
                <w:i/>
                <w:lang w:val="sr-Latn-CS"/>
              </w:rPr>
              <w:t>програме</w:t>
            </w:r>
            <w:r>
              <w:rPr>
                <w:i/>
                <w:lang w:val="sr-Cyrl-RS"/>
              </w:rPr>
              <w:t xml:space="preserve"> </w:t>
            </w:r>
            <w:r>
              <w:rPr>
                <w:i/>
                <w:lang w:val="sr-Latn-CS"/>
              </w:rPr>
              <w:t>студе</w:t>
            </w:r>
            <w:r>
              <w:rPr>
                <w:i/>
                <w:lang w:val="sr-Cyrl-RS"/>
              </w:rPr>
              <w:t>н</w:t>
            </w:r>
            <w:r>
              <w:rPr>
                <w:i/>
                <w:lang w:val="sr-Latn-CS"/>
              </w:rPr>
              <w:t>тске</w:t>
            </w:r>
            <w:r>
              <w:rPr>
                <w:i/>
                <w:lang w:val="sr-Cyrl-RS"/>
              </w:rPr>
              <w:t xml:space="preserve"> </w:t>
            </w:r>
            <w:r>
              <w:rPr>
                <w:i/>
                <w:lang w:val="sr-Latn-CS"/>
              </w:rPr>
              <w:t>мобилности</w:t>
            </w:r>
            <w:r>
              <w:rPr>
                <w:i/>
                <w:lang w:val="sr-Cyrl-RS"/>
              </w:rPr>
              <w:t>. На стратешком нивоу, град Бања Лука би требало да развија сарадњу са факултетима у дијелу планирања образовних профила и броја студената у складу са потребама тржишта рада, нарочито, у приватном сектору, јер статистика показује да велики број младих остаје незапослен. Потребан је стратешки приступ и афирмисање појединихперспективних и дефицитарних занимања, а град Бања Лука у овоме може имати значајну улогу, кроз додјелу циљаних стипендија.</w:t>
            </w:r>
          </w:p>
        </w:tc>
      </w:tr>
    </w:tbl>
    <w:p>
      <w:pPr>
        <w:rPr>
          <w:rFonts w:cs="Calibri"/>
          <w:b/>
          <w:i/>
        </w:rPr>
      </w:pPr>
    </w:p>
    <w:p>
      <w:pPr>
        <w:rPr>
          <w:rFonts w:cs="Calibri"/>
          <w:b/>
          <w:i/>
        </w:rPr>
      </w:pPr>
    </w:p>
    <w:p>
      <w:pPr>
        <w:rPr>
          <w:rFonts w:cs="Calibri"/>
          <w:b/>
          <w:i/>
        </w:rPr>
      </w:pPr>
      <w:r>
        <w:rPr>
          <w:rFonts w:cs="Calibri"/>
          <w:b/>
          <w:i/>
        </w:rPr>
        <w:t>Образовање одраслих</w:t>
      </w:r>
    </w:p>
    <w:p>
      <w:pPr>
        <w:rPr>
          <w:rFonts w:eastAsia="Times New Roman" w:cs="Calibri"/>
          <w:bCs/>
          <w:kern w:val="32"/>
        </w:rPr>
      </w:pPr>
    </w:p>
    <w:p>
      <w:pPr>
        <w:jc w:val="both"/>
        <w:rPr>
          <w:lang w:val="sr-Cyrl-BA"/>
        </w:rPr>
      </w:pPr>
      <w:r>
        <w:t>У Републици Српској, образовање одраслих је регулисано Законом о образовању одраслих</w:t>
      </w:r>
      <w:r>
        <w:rPr>
          <w:rFonts w:cs="Calibri"/>
          <w:vertAlign w:val="superscript"/>
        </w:rPr>
        <w:footnoteReference w:id="36"/>
      </w:r>
      <w:r>
        <w:rPr>
          <w:lang w:val="sr-Cyrl-BA"/>
        </w:rPr>
        <w:t xml:space="preserve"> („Службени гласник РС“, број: 59/09 и 1/12).</w:t>
      </w:r>
    </w:p>
    <w:p>
      <w:pPr>
        <w:spacing w:before="120"/>
        <w:contextualSpacing/>
        <w:jc w:val="both"/>
        <w:rPr>
          <w:rFonts w:cs="Calibri"/>
        </w:rPr>
      </w:pPr>
    </w:p>
    <w:p>
      <w:pPr>
        <w:spacing w:before="120"/>
        <w:contextualSpacing/>
        <w:jc w:val="both"/>
        <w:rPr>
          <w:rFonts w:cs="Calibri"/>
        </w:rPr>
      </w:pPr>
      <w:r>
        <w:rPr>
          <w:rFonts w:cs="Calibri"/>
          <w:lang w:val="sr-Cyrl-BA"/>
        </w:rPr>
        <w:t>ЈУ „</w:t>
      </w:r>
      <w:r>
        <w:rPr>
          <w:rFonts w:cs="Calibri"/>
        </w:rPr>
        <w:t xml:space="preserve"> Раднички универзите</w:t>
      </w:r>
      <w:r>
        <w:rPr>
          <w:rFonts w:cs="Calibri"/>
          <w:lang w:val="sr-Cyrl-BA"/>
        </w:rPr>
        <w:t>т“ Бања Лука</w:t>
      </w:r>
      <w:r>
        <w:rPr>
          <w:rFonts w:cs="Calibri"/>
          <w:vertAlign w:val="superscript"/>
        </w:rPr>
        <w:footnoteReference w:id="37"/>
      </w:r>
      <w:r>
        <w:rPr>
          <w:rFonts w:cs="Calibri"/>
          <w:lang w:val="sr-Cyrl-BA"/>
        </w:rPr>
        <w:t>, основан</w:t>
      </w:r>
      <w:r>
        <w:rPr>
          <w:rFonts w:cs="Calibri"/>
        </w:rPr>
        <w:t xml:space="preserve"> 1962. године</w:t>
      </w:r>
      <w:r>
        <w:rPr>
          <w:rFonts w:cs="Calibri"/>
          <w:lang w:val="sr-Cyrl-RS"/>
        </w:rPr>
        <w:t>,</w:t>
      </w:r>
      <w:r>
        <w:rPr>
          <w:rFonts w:cs="Calibri"/>
        </w:rPr>
        <w:t xml:space="preserve"> спровод</w:t>
      </w:r>
      <w:r>
        <w:rPr>
          <w:rFonts w:cs="Calibri"/>
          <w:lang w:val="sr-Cyrl-RS"/>
        </w:rPr>
        <w:t>и</w:t>
      </w:r>
      <w:r>
        <w:rPr>
          <w:rFonts w:cs="Calibri"/>
        </w:rPr>
        <w:t xml:space="preserve"> програм</w:t>
      </w:r>
      <w:r>
        <w:rPr>
          <w:rFonts w:cs="Calibri"/>
          <w:lang w:val="sr-Cyrl-RS"/>
        </w:rPr>
        <w:t>е</w:t>
      </w:r>
      <w:r>
        <w:rPr>
          <w:rFonts w:cs="Calibri"/>
        </w:rPr>
        <w:t xml:space="preserve"> формалног, неформалног и информалног образовања одраслих. Оснивач је град Бања Лука. На </w:t>
      </w:r>
      <w:r>
        <w:rPr>
          <w:rFonts w:cs="Calibri"/>
          <w:lang w:val="sr-Cyrl-RS"/>
        </w:rPr>
        <w:t>Р</w:t>
      </w:r>
      <w:r>
        <w:rPr>
          <w:rFonts w:cs="Calibri"/>
        </w:rPr>
        <w:t>адничком универзитету се одвијају програми средњег стручног образовања и стичу доквалификације и преквалификације за следећа звања: економски техничар, пословно правни техничар, пословни секретар, техничар друмског саобраћаја, возач моторних возила, техничар електроенергетике, техничар рачунарства, електричар, фризер.</w:t>
      </w:r>
      <w:r>
        <w:rPr>
          <w:rFonts w:eastAsia="Times New Roman" w:cs="Calibri"/>
        </w:rPr>
        <w:t xml:space="preserve"> У овој установи се релизује и програм основног образовања за одрасле.</w:t>
      </w:r>
      <w:r>
        <w:rPr>
          <w:rFonts w:cs="Calibri"/>
        </w:rPr>
        <w:t xml:space="preserve"> Реализација свих програма је одобрена од стране ресорног  министарства.</w:t>
      </w:r>
    </w:p>
    <w:p>
      <w:pPr>
        <w:jc w:val="both"/>
        <w:rPr>
          <w:rFonts w:cs="Calibri"/>
        </w:rPr>
      </w:pPr>
    </w:p>
    <w:p>
      <w:pPr>
        <w:jc w:val="both"/>
        <w:rPr>
          <w:rFonts w:cs="Calibri"/>
        </w:rPr>
      </w:pPr>
      <w:r>
        <w:rPr>
          <w:rFonts w:cs="Calibri"/>
        </w:rPr>
        <w:t xml:space="preserve">Поред </w:t>
      </w:r>
      <w:r>
        <w:rPr>
          <w:rFonts w:cs="Calibri"/>
          <w:lang w:val="sr-Cyrl-RS"/>
        </w:rPr>
        <w:t>Р</w:t>
      </w:r>
      <w:r>
        <w:rPr>
          <w:rFonts w:cs="Calibri"/>
        </w:rPr>
        <w:t>адничког универзитета, у Бањ</w:t>
      </w:r>
      <w:r>
        <w:rPr>
          <w:rFonts w:cs="Calibri"/>
          <w:lang w:val="sr-Cyrl-RS"/>
        </w:rPr>
        <w:t>а</w:t>
      </w:r>
      <w:r>
        <w:rPr>
          <w:rFonts w:cs="Calibri"/>
        </w:rPr>
        <w:t xml:space="preserve"> Луци се програми образовања одраслих реализују и у Социјално – едукационом центру (СЕЦ</w:t>
      </w:r>
      <w:r>
        <w:rPr>
          <w:rFonts w:cs="Calibri"/>
          <w:lang w:val="sr-Cyrl-RS"/>
        </w:rPr>
        <w:t>)</w:t>
      </w:r>
      <w:r>
        <w:rPr>
          <w:rFonts w:cs="Calibri"/>
          <w:vertAlign w:val="superscript"/>
        </w:rPr>
        <w:footnoteReference w:id="38"/>
      </w:r>
      <w:r>
        <w:rPr>
          <w:rFonts w:cs="Calibri"/>
          <w:lang w:val="sr-Cyrl-RS"/>
        </w:rPr>
        <w:t xml:space="preserve"> </w:t>
      </w:r>
      <w:r>
        <w:rPr>
          <w:rFonts w:cs="Calibri"/>
        </w:rPr>
        <w:t>од 2011. године.</w:t>
      </w:r>
      <w:r>
        <w:rPr>
          <w:rFonts w:cs="Calibri"/>
          <w:lang w:val="sr-Cyrl-RS"/>
        </w:rPr>
        <w:t xml:space="preserve"> </w:t>
      </w:r>
      <w:r>
        <w:rPr>
          <w:rFonts w:cs="Calibri"/>
        </w:rPr>
        <w:t xml:space="preserve">Оснивачи Центра су Каритас БиХ, Каритас Аустрија, уз финансијску подршку Аустријске развојне сарадње и владе Горње Аустрије. Полазници суфинансирају оспособљавање за обављање послова из области социјалних занимања  - неговатељ за старе и немоћне особе, пружатељ подршке особама с интелектуалним потешкоћама, персонални асистент са особе са моторичким и сензорним сметњама и радни инструктор </w:t>
      </w:r>
      <w:r>
        <w:rPr>
          <w:rFonts w:cs="Calibri"/>
          <w:lang w:val="sr-Cyrl-RS"/>
        </w:rPr>
        <w:t>с</w:t>
      </w:r>
      <w:r>
        <w:rPr>
          <w:rFonts w:cs="Calibri"/>
        </w:rPr>
        <w:t>а рад са особама са инвалидитетом.</w:t>
      </w:r>
      <w:r>
        <w:rPr>
          <w:rFonts w:cs="Calibri"/>
          <w:lang w:val="sr-Cyrl-BA"/>
        </w:rPr>
        <w:t xml:space="preserve"> </w:t>
      </w:r>
    </w:p>
    <w:p>
      <w:pPr>
        <w:jc w:val="both"/>
        <w:rPr>
          <w:rFonts w:cs="Calibri"/>
          <w:lang w:val="sr-Cyrl-BA"/>
        </w:rPr>
      </w:pPr>
    </w:p>
    <w:p>
      <w:pPr>
        <w:jc w:val="both"/>
        <w:rPr>
          <w:rFonts w:cs="Calibri"/>
          <w:lang w:val="sr-Cyrl-RS"/>
        </w:rPr>
      </w:pPr>
      <w:r>
        <w:rPr>
          <w:rFonts w:cs="Calibri"/>
          <w:lang w:val="sr-Cyrl-BA"/>
        </w:rPr>
        <w:t xml:space="preserve">У Бања Луци су издата одобрења за извођење програма образовања одраслих за следеће средње школе: ЈУ Економска школа,Средњошколски центар „Гемит-Апеирон“, ЈУ Угоститељско-трговинско-туристичка школа, ЈУ Електротехничка школа „Никола Тесла“, ЈУ Пољопривредна школа, ЈУ Техничка школа, ЈУ Медицинска школа, ЈУ Центар за васпитање и образовање и рехабилитацију слушања и говора, Средњошколски центар „Гаудеамус“, Средњошколски центар „Љубиша Младеновић“, Установа за образовање одраслих </w:t>
      </w:r>
      <w:r>
        <w:rPr>
          <w:rFonts w:cs="Calibri"/>
          <w:lang w:val="sr-Latn-BA"/>
        </w:rPr>
        <w:t>„COMSENTIO“</w:t>
      </w:r>
      <w:r>
        <w:rPr>
          <w:rFonts w:cs="Calibri"/>
          <w:lang w:val="sr-Cyrl-RS"/>
        </w:rPr>
        <w:t>,</w:t>
      </w:r>
      <w:r>
        <w:rPr>
          <w:rFonts w:cs="Calibri"/>
          <w:lang w:val="sr-Latn-BA"/>
        </w:rPr>
        <w:t xml:space="preserve"> </w:t>
      </w:r>
      <w:r>
        <w:rPr>
          <w:rFonts w:cs="Calibri"/>
          <w:lang w:val="sr-Cyrl-BA"/>
        </w:rPr>
        <w:t xml:space="preserve">Школа за образовање одраслих „Оптимус-Нуб“. </w:t>
      </w:r>
      <w:r>
        <w:rPr>
          <w:rFonts w:cs="Calibri"/>
          <w:lang w:val="sr-Cyrl-RS"/>
        </w:rPr>
        <w:t>Детаљан преглед образовних профила и програма образовања одраслих дат је у дужој верзији ситуационе анализе која је у прилогу овог документа.</w:t>
      </w:r>
    </w:p>
    <w:p>
      <w:pPr>
        <w:jc w:val="both"/>
        <w:rPr>
          <w:rFonts w:cs="Calibri"/>
          <w:sz w:val="24"/>
          <w:lang w:val="sr-Cyrl-BA"/>
        </w:rPr>
      </w:pPr>
    </w:p>
    <w:p>
      <w:pPr>
        <w:jc w:val="both"/>
        <w:rPr>
          <w:rFonts w:cs="Calibri"/>
          <w:lang w:val="sr-Cyrl-BA"/>
        </w:rPr>
      </w:pPr>
      <w:r>
        <w:rPr>
          <w:rFonts w:cs="Calibri"/>
          <w:lang w:val="sr-Cyrl-BA"/>
        </w:rPr>
        <w:t>Законом о образовању одраслих дефинисано је да су полазници ослобођени плаћања за основно образовање, а трошкове сноси ресорно министарство или локална самоуправа. Када је у питању средње образовање, тачније преквалификације или доквалификације за одређена занимања, трошкове школовања сносе полазници, а у неким случајевима те трошкове сносе фирме или послодавци. Према подацима Завода за образовање одраслих, око 60% полазника искористи своју преквалификацију или доквалификацију прелазећи са једног радног мјеста на друго радно мјесто у истој фирми или новим запошљавањем.</w:t>
      </w:r>
    </w:p>
    <w:p>
      <w:pPr>
        <w:jc w:val="both"/>
        <w:rPr>
          <w:rFonts w:cs="Calibri"/>
          <w:lang w:val="sr-Cyrl-BA"/>
        </w:rPr>
      </w:pPr>
    </w:p>
    <w:tbl>
      <w:tblPr>
        <w:tblStyle w:val="37"/>
        <w:tblW w:w="957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
      <w:tblGrid>
        <w:gridCol w:w="9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C5E0B3" w:themeFill="accent6" w:themeFillTint="66"/>
          <w:tblLayout w:type="fixed"/>
          <w:tblCellMar>
            <w:top w:w="0" w:type="dxa"/>
            <w:left w:w="108" w:type="dxa"/>
            <w:bottom w:w="0" w:type="dxa"/>
            <w:right w:w="108" w:type="dxa"/>
          </w:tblCellMar>
        </w:tblPrEx>
        <w:trPr>
          <w:trHeight w:val="1592" w:hRule="atLeast"/>
          <w:jc w:val="center"/>
        </w:trPr>
        <w:tc>
          <w:tcPr>
            <w:tcW w:w="9576" w:type="dxa"/>
            <w:shd w:val="clear" w:color="auto" w:fill="C5E0B3" w:themeFill="accent6" w:themeFillTint="66"/>
          </w:tcPr>
          <w:p>
            <w:pPr>
              <w:jc w:val="both"/>
              <w:rPr>
                <w:rFonts w:cs="Calibri"/>
                <w:i/>
                <w:lang w:val="sr-Cyrl-RS"/>
              </w:rPr>
            </w:pPr>
            <w:r>
              <w:rPr>
                <w:rFonts w:cs="Calibri"/>
                <w:i/>
                <w:lang w:val="sr-Cyrl-BA"/>
              </w:rPr>
              <w:t xml:space="preserve">Град Бања Лука има велику понуду образовних профила за одрасле и нуди шансе за </w:t>
            </w:r>
            <w:r>
              <w:rPr>
                <w:rFonts w:cs="Calibri"/>
                <w:i/>
                <w:lang w:val="sr-Cyrl-RS"/>
              </w:rPr>
              <w:t>п</w:t>
            </w:r>
            <w:r>
              <w:rPr>
                <w:rFonts w:cs="Calibri"/>
                <w:i/>
              </w:rPr>
              <w:t>овећање социјалне укључености одраслих грађана кроз активности ц</w:t>
            </w:r>
            <w:r>
              <w:rPr>
                <w:rFonts w:cs="Calibri"/>
                <w:i/>
                <w:lang w:val="sr-Cyrl-RS"/>
              </w:rPr>
              <w:t>ј</w:t>
            </w:r>
            <w:r>
              <w:rPr>
                <w:rFonts w:cs="Calibri"/>
                <w:i/>
              </w:rPr>
              <w:t>еложивотног учења</w:t>
            </w:r>
            <w:r>
              <w:rPr>
                <w:rFonts w:cs="Calibri"/>
                <w:i/>
                <w:lang w:val="sr-Cyrl-RS"/>
              </w:rPr>
              <w:t>. Неопходно је даље промовисање могућности стицања образовања на овај начин, као и побољшање квалитета образовних програма. На тај начин, грађани Бања Луке и региона повећавају могућности за запошљавање и самозапошљавање и усклађивање понуде и потражње на тржишту рада, а нарочито у привредним дјелатностима.</w:t>
            </w:r>
          </w:p>
        </w:tc>
      </w:tr>
    </w:tbl>
    <w:p>
      <w:pPr>
        <w:pStyle w:val="5"/>
      </w:pPr>
      <w:bookmarkStart w:id="42" w:name="_Toc508060560"/>
      <w:bookmarkStart w:id="43" w:name="_Toc526170590"/>
    </w:p>
    <w:p>
      <w:pPr>
        <w:pStyle w:val="5"/>
      </w:pPr>
    </w:p>
    <w:p>
      <w:pPr>
        <w:pStyle w:val="5"/>
      </w:pPr>
      <w:r>
        <w:t>IV.1.5.2. Култура</w:t>
      </w:r>
      <w:bookmarkEnd w:id="42"/>
      <w:bookmarkEnd w:id="43"/>
    </w:p>
    <w:p>
      <w:pPr>
        <w:rPr>
          <w:lang w:val="sr-Cyrl-RS"/>
        </w:rPr>
      </w:pPr>
    </w:p>
    <w:p>
      <w:pPr>
        <w:jc w:val="both"/>
      </w:pPr>
      <w:r>
        <w:rPr>
          <w:lang w:val="sr-Cyrl-RS"/>
        </w:rPr>
        <w:t xml:space="preserve">На простору </w:t>
      </w:r>
      <w:r>
        <w:t>Бања Лук</w:t>
      </w:r>
      <w:r>
        <w:rPr>
          <w:lang w:val="sr-Cyrl-RS"/>
        </w:rPr>
        <w:t>е су се од давних времена, преплитале</w:t>
      </w:r>
      <w:r>
        <w:t xml:space="preserve"> различит</w:t>
      </w:r>
      <w:r>
        <w:rPr>
          <w:lang w:val="sr-Cyrl-RS"/>
        </w:rPr>
        <w:t>е</w:t>
      </w:r>
      <w:r>
        <w:t xml:space="preserve"> култур</w:t>
      </w:r>
      <w:r>
        <w:rPr>
          <w:lang w:val="sr-Cyrl-RS"/>
        </w:rPr>
        <w:t>е</w:t>
      </w:r>
      <w:r>
        <w:t xml:space="preserve">, које су оставиле велики број културно-историјских споменика, као свједока различитих епоха и људског стваралаштва. </w:t>
      </w:r>
    </w:p>
    <w:p>
      <w:pPr>
        <w:jc w:val="both"/>
        <w:rPr>
          <w:lang w:val="sr-Cyrl-RS"/>
        </w:rPr>
      </w:pPr>
    </w:p>
    <w:p>
      <w:pPr>
        <w:rPr>
          <w:b/>
          <w:i/>
          <w:lang w:val="sr-Cyrl-RS"/>
        </w:rPr>
      </w:pPr>
      <w:r>
        <w:rPr>
          <w:b/>
          <w:i/>
          <w:lang w:val="sr-Cyrl-RS"/>
        </w:rPr>
        <w:t>Установе културе</w:t>
      </w:r>
    </w:p>
    <w:p>
      <w:pPr>
        <w:jc w:val="both"/>
        <w:rPr>
          <w:lang w:val="sr-Cyrl-RS"/>
        </w:rPr>
      </w:pPr>
    </w:p>
    <w:p>
      <w:pPr>
        <w:pStyle w:val="46"/>
        <w:spacing w:before="0"/>
        <w:ind w:left="0"/>
        <w:rPr>
          <w:rFonts w:cs="Calibri"/>
          <w:lang w:val="sr-Cyrl-RS"/>
        </w:rPr>
      </w:pPr>
      <w:r>
        <w:rPr>
          <w:rFonts w:cs="Calibri"/>
          <w:b/>
          <w:lang w:val="sr-Cyrl-CS"/>
        </w:rPr>
        <w:t xml:space="preserve">ЈУ „Бански двор-Културни центар“ </w:t>
      </w:r>
      <w:r>
        <w:rPr>
          <w:rStyle w:val="35"/>
          <w:rFonts w:cs="Calibri"/>
          <w:b w:val="0"/>
        </w:rPr>
        <w:t>је установа од посебног друштвеног интереса у области културе, чији је оснивач Град Бања Лука.</w:t>
      </w:r>
      <w:r>
        <w:rPr>
          <w:rStyle w:val="35"/>
          <w:rFonts w:cs="Calibri"/>
        </w:rPr>
        <w:t xml:space="preserve"> </w:t>
      </w:r>
      <w:r>
        <w:rPr>
          <w:rFonts w:cs="Calibri"/>
          <w:lang w:val="sr-Cyrl-RS"/>
        </w:rPr>
        <w:t xml:space="preserve">Бански двор  је саграђен 1932. године. Актом Завода за заштиту културно-историјског и природног насљеђа БиХ 1976. године проглашен је спомеником културе, а Одлуком Комисије за очување националних споменика БиХ 2014. године, </w:t>
      </w:r>
      <w:r>
        <w:rPr>
          <w:rFonts w:cs="Calibri"/>
          <w:lang w:val="sr-Cyrl-CS"/>
        </w:rPr>
        <w:t>Палата банског двора</w:t>
      </w:r>
      <w:r>
        <w:rPr>
          <w:rFonts w:cs="Calibri"/>
          <w:lang w:val="sr-Cyrl-RS"/>
        </w:rPr>
        <w:t xml:space="preserve">  проглашена је националним спомеником што је значајан параметар за аплицирање пројеката различитим субјектима. </w:t>
      </w:r>
    </w:p>
    <w:p>
      <w:pPr>
        <w:jc w:val="both"/>
        <w:rPr>
          <w:rFonts w:eastAsia="Times New Roman" w:cs="Calibri"/>
          <w:lang w:val="sr-Latn-CS"/>
        </w:rPr>
      </w:pPr>
      <w:r>
        <w:rPr>
          <w:rFonts w:eastAsia="Times New Roman" w:cs="Calibri"/>
          <w:lang w:val="sr-Cyrl-CS"/>
        </w:rPr>
        <w:t xml:space="preserve">За културне потребе, у функцији су: </w:t>
      </w:r>
    </w:p>
    <w:p>
      <w:pPr>
        <w:jc w:val="both"/>
        <w:rPr>
          <w:rFonts w:eastAsia="Times New Roman" w:cs="Calibri"/>
          <w:lang w:val="sr-Latn-CS"/>
        </w:rPr>
      </w:pPr>
    </w:p>
    <w:p>
      <w:pPr>
        <w:pStyle w:val="46"/>
        <w:numPr>
          <w:ilvl w:val="0"/>
          <w:numId w:val="15"/>
        </w:numPr>
        <w:spacing w:before="0" w:line="240" w:lineRule="auto"/>
        <w:rPr>
          <w:rFonts w:cs="Calibri"/>
          <w:lang w:val="sr-Cyrl-CS"/>
        </w:rPr>
      </w:pPr>
      <w:r>
        <w:rPr>
          <w:rFonts w:cs="Calibri"/>
          <w:lang w:val="sr-Cyrl-CS"/>
        </w:rPr>
        <w:t>Концертна дворана (броји око 400 мјеста),</w:t>
      </w:r>
    </w:p>
    <w:p>
      <w:pPr>
        <w:pStyle w:val="46"/>
        <w:numPr>
          <w:ilvl w:val="0"/>
          <w:numId w:val="15"/>
        </w:numPr>
        <w:spacing w:before="0" w:line="240" w:lineRule="auto"/>
        <w:rPr>
          <w:rFonts w:cs="Calibri"/>
          <w:lang w:val="sr-Cyrl-CS"/>
        </w:rPr>
      </w:pPr>
      <w:r>
        <w:rPr>
          <w:rFonts w:cs="Calibri"/>
          <w:lang w:val="sr-Cyrl-CS"/>
        </w:rPr>
        <w:t>Вијећница (броји око 100 мјеста),</w:t>
      </w:r>
    </w:p>
    <w:p>
      <w:pPr>
        <w:pStyle w:val="46"/>
        <w:numPr>
          <w:ilvl w:val="0"/>
          <w:numId w:val="15"/>
        </w:numPr>
        <w:spacing w:before="0" w:line="240" w:lineRule="auto"/>
        <w:rPr>
          <w:rFonts w:cs="Calibri"/>
          <w:lang w:val="sr-Cyrl-CS"/>
        </w:rPr>
      </w:pPr>
      <w:r>
        <w:rPr>
          <w:rFonts w:cs="Calibri"/>
          <w:lang w:val="sr-Cyrl-CS"/>
        </w:rPr>
        <w:t>Мали салон (одржавање изложби),</w:t>
      </w:r>
    </w:p>
    <w:p>
      <w:pPr>
        <w:pStyle w:val="46"/>
        <w:numPr>
          <w:ilvl w:val="0"/>
          <w:numId w:val="15"/>
        </w:numPr>
        <w:spacing w:before="0" w:line="240" w:lineRule="auto"/>
        <w:rPr>
          <w:rFonts w:cs="Calibri"/>
          <w:lang w:val="sr-Cyrl-CS"/>
        </w:rPr>
      </w:pPr>
      <w:r>
        <w:rPr>
          <w:rFonts w:cs="Calibri"/>
          <w:lang w:val="sr-Cyrl-CS"/>
        </w:rPr>
        <w:t xml:space="preserve">Велики салон (одржавање изложби), </w:t>
      </w:r>
    </w:p>
    <w:p>
      <w:pPr>
        <w:pStyle w:val="46"/>
        <w:numPr>
          <w:ilvl w:val="0"/>
          <w:numId w:val="15"/>
        </w:numPr>
        <w:spacing w:before="0" w:line="240" w:lineRule="auto"/>
        <w:rPr>
          <w:rFonts w:cs="Calibri"/>
          <w:lang w:val="sr-Cyrl-CS"/>
        </w:rPr>
      </w:pPr>
      <w:r>
        <w:rPr>
          <w:rFonts w:cs="Calibri"/>
          <w:lang w:val="sr-Cyrl-CS"/>
        </w:rPr>
        <w:t>Црвени салон (одржавање предавања, промоција, концерата, изложби),</w:t>
      </w:r>
    </w:p>
    <w:p>
      <w:pPr>
        <w:pStyle w:val="46"/>
        <w:numPr>
          <w:ilvl w:val="0"/>
          <w:numId w:val="15"/>
        </w:numPr>
        <w:spacing w:before="0" w:line="240" w:lineRule="auto"/>
        <w:rPr>
          <w:rFonts w:cs="Calibri"/>
          <w:lang w:val="sr-Cyrl-CS"/>
        </w:rPr>
      </w:pPr>
      <w:r>
        <w:rPr>
          <w:rFonts w:cs="Calibri"/>
          <w:lang w:val="sr-Cyrl-CS"/>
        </w:rPr>
        <w:t>Свечани салон (одржавање свечаних промоција, концерата, округлих столова).</w:t>
      </w:r>
    </w:p>
    <w:p>
      <w:pPr>
        <w:pStyle w:val="46"/>
        <w:spacing w:before="0"/>
        <w:ind w:left="0"/>
        <w:rPr>
          <w:rFonts w:cs="Calibri"/>
          <w:lang w:val="sr-Latn-RS"/>
        </w:rPr>
      </w:pPr>
    </w:p>
    <w:p>
      <w:pPr>
        <w:pStyle w:val="46"/>
        <w:spacing w:before="0"/>
        <w:ind w:left="0"/>
        <w:rPr>
          <w:rFonts w:cs="Calibri"/>
          <w:lang w:val="sr-Cyrl-CS"/>
        </w:rPr>
      </w:pPr>
      <w:r>
        <w:rPr>
          <w:rFonts w:cs="Calibri"/>
          <w:lang w:val="sr-Cyrl-CS"/>
        </w:rPr>
        <w:t>Бански двор данас има амбицију да постане центар збивања, од масовне до елитне културе, од културе намијењене одраслима до оне намијењене дјеци</w:t>
      </w:r>
      <w:r>
        <w:rPr>
          <w:rFonts w:cs="Calibri"/>
          <w:lang w:val="sr-Cyrl-RS"/>
        </w:rPr>
        <w:t>.</w:t>
      </w:r>
      <w:r>
        <w:rPr>
          <w:rFonts w:cs="Calibri"/>
          <w:lang w:val="sr-Cyrl-BA"/>
        </w:rPr>
        <w:t xml:space="preserve"> Нагласак је на организовању културних садржаја у властитој продукцији, стратешком планирању маркетинга, оживљавању и стварању нових простора за културне намјене, покретању и реализацији креативних радионица за дјецу и младе током љетњег распуста. „Арт двориште“ је први видљив помак у организацији установе у креирању нових програмских садржаја. </w:t>
      </w:r>
      <w:r>
        <w:rPr>
          <w:rFonts w:cs="Calibri"/>
          <w:lang w:val="sr-Cyrl-BA" w:eastAsia="sr-Latn-BA"/>
        </w:rPr>
        <w:t>Кроз прославу</w:t>
      </w:r>
      <w:r>
        <w:rPr>
          <w:rFonts w:cs="Calibri"/>
          <w:lang w:val="sr-Latn-BA" w:eastAsia="sr-Latn-BA"/>
        </w:rPr>
        <w:t xml:space="preserve"> и обиљежавање 85. годишњице постојања Банског двора у Бања Луци,</w:t>
      </w:r>
      <w:r>
        <w:rPr>
          <w:rFonts w:cs="Calibri"/>
          <w:lang w:val="sr-Cyrl-RS" w:eastAsia="sr-Latn-BA"/>
        </w:rPr>
        <w:t xml:space="preserve"> у новембру и децембру 2017. године,</w:t>
      </w:r>
      <w:r>
        <w:rPr>
          <w:rFonts w:cs="Calibri"/>
          <w:lang w:val="sr-Latn-BA" w:eastAsia="sr-Latn-BA"/>
        </w:rPr>
        <w:t xml:space="preserve"> </w:t>
      </w:r>
      <w:r>
        <w:rPr>
          <w:rFonts w:cs="Calibri"/>
          <w:lang w:val="sr-Cyrl-BA" w:eastAsia="sr-Latn-BA"/>
        </w:rPr>
        <w:t xml:space="preserve">установа је </w:t>
      </w:r>
      <w:r>
        <w:rPr>
          <w:rFonts w:cs="Calibri"/>
          <w:lang w:val="sr-Latn-BA" w:eastAsia="sr-Latn-BA"/>
        </w:rPr>
        <w:t xml:space="preserve">започела организацију </w:t>
      </w:r>
      <w:r>
        <w:rPr>
          <w:rFonts w:cs="Calibri"/>
          <w:lang w:val="sr-Cyrl-RS" w:eastAsia="sr-Latn-BA"/>
        </w:rPr>
        <w:t>низа</w:t>
      </w:r>
      <w:r>
        <w:rPr>
          <w:rFonts w:cs="Calibri"/>
          <w:lang w:val="sr-Latn-BA" w:eastAsia="sr-Latn-BA"/>
        </w:rPr>
        <w:t xml:space="preserve"> културних догађаја</w:t>
      </w:r>
      <w:r>
        <w:rPr>
          <w:rFonts w:cs="Calibri"/>
          <w:lang w:val="sr-Cyrl-BA" w:eastAsia="sr-Latn-BA"/>
        </w:rPr>
        <w:t xml:space="preserve"> у сопственом капацитету. </w:t>
      </w:r>
      <w:r>
        <w:rPr>
          <w:rFonts w:cs="Calibri"/>
          <w:lang w:val="sr-Cyrl-CS"/>
        </w:rPr>
        <w:t>Поред културолошког, евидентан је значај објекта у погледу градитељског насљеђа, историје и амбијенталне вриједности, због чега је битан у националној самосвијести.</w:t>
      </w:r>
      <w:r>
        <w:rPr>
          <w:rFonts w:cs="Calibri"/>
          <w:lang w:val="sr-Cyrl-RS"/>
        </w:rPr>
        <w:t xml:space="preserve"> ЈУ Бански двор задужена је и за управљање тврђавом Кастел.</w:t>
      </w:r>
    </w:p>
    <w:p>
      <w:pPr>
        <w:pStyle w:val="46"/>
        <w:spacing w:before="0"/>
        <w:ind w:left="0"/>
        <w:rPr>
          <w:rFonts w:cs="Calibri"/>
          <w:lang w:val="sr-Cyrl-CS"/>
        </w:rPr>
      </w:pPr>
    </w:p>
    <w:p>
      <w:pPr>
        <w:pStyle w:val="46"/>
        <w:spacing w:before="0"/>
        <w:ind w:left="0"/>
        <w:rPr>
          <w:rFonts w:cs="Calibri"/>
          <w:lang w:val="sr-Cyrl-BA" w:eastAsia="sr-Latn-CS"/>
        </w:rPr>
      </w:pPr>
      <w:r>
        <w:rPr>
          <w:rFonts w:cs="Calibri"/>
          <w:b/>
          <w:bCs/>
        </w:rPr>
        <w:t>Тврђава</w:t>
      </w:r>
      <w:r>
        <w:rPr>
          <w:rFonts w:cs="Calibri"/>
          <w:b/>
          <w:bCs/>
          <w:lang w:val="hr-BA"/>
        </w:rPr>
        <w:t xml:space="preserve"> </w:t>
      </w:r>
      <w:r>
        <w:rPr>
          <w:rFonts w:cs="Calibri"/>
          <w:b/>
          <w:bCs/>
        </w:rPr>
        <w:t>Кастел</w:t>
      </w:r>
      <w:r>
        <w:rPr>
          <w:rFonts w:cs="Calibri"/>
          <w:b/>
          <w:bCs/>
          <w:lang w:val="hr-BA"/>
        </w:rPr>
        <w:t xml:space="preserve"> </w:t>
      </w:r>
      <w:r>
        <w:rPr>
          <w:rFonts w:cs="Calibri"/>
        </w:rPr>
        <w:t>се</w:t>
      </w:r>
      <w:r>
        <w:rPr>
          <w:rFonts w:cs="Calibri"/>
          <w:lang w:val="hr-BA"/>
        </w:rPr>
        <w:t xml:space="preserve"> </w:t>
      </w:r>
      <w:r>
        <w:rPr>
          <w:rFonts w:cs="Calibri"/>
        </w:rPr>
        <w:t>налази</w:t>
      </w:r>
      <w:r>
        <w:rPr>
          <w:rFonts w:cs="Calibri"/>
          <w:lang w:val="hr-BA"/>
        </w:rPr>
        <w:t xml:space="preserve"> </w:t>
      </w:r>
      <w:r>
        <w:rPr>
          <w:rFonts w:cs="Calibri"/>
        </w:rPr>
        <w:t>у</w:t>
      </w:r>
      <w:r>
        <w:rPr>
          <w:rFonts w:cs="Calibri"/>
          <w:lang w:val="hr-BA"/>
        </w:rPr>
        <w:t xml:space="preserve"> </w:t>
      </w:r>
      <w:r>
        <w:rPr>
          <w:rFonts w:cs="Calibri"/>
        </w:rPr>
        <w:t>Бања</w:t>
      </w:r>
      <w:r>
        <w:rPr>
          <w:rFonts w:cs="Calibri"/>
          <w:lang w:val="hr-BA"/>
        </w:rPr>
        <w:t xml:space="preserve"> </w:t>
      </w:r>
      <w:r>
        <w:rPr>
          <w:rFonts w:cs="Calibri"/>
        </w:rPr>
        <w:t>Луци</w:t>
      </w:r>
      <w:r>
        <w:rPr>
          <w:rFonts w:cs="Calibri"/>
          <w:lang w:val="hr-BA"/>
        </w:rPr>
        <w:t xml:space="preserve"> </w:t>
      </w:r>
      <w:r>
        <w:rPr>
          <w:rFonts w:cs="Calibri"/>
        </w:rPr>
        <w:t>и</w:t>
      </w:r>
      <w:r>
        <w:rPr>
          <w:rFonts w:cs="Calibri"/>
          <w:lang w:val="hr-BA"/>
        </w:rPr>
        <w:t xml:space="preserve"> </w:t>
      </w:r>
      <w:r>
        <w:rPr>
          <w:rFonts w:cs="Calibri"/>
        </w:rPr>
        <w:t>представља</w:t>
      </w:r>
      <w:r>
        <w:rPr>
          <w:rFonts w:cs="Calibri"/>
          <w:lang w:val="hr-BA"/>
        </w:rPr>
        <w:t xml:space="preserve"> </w:t>
      </w:r>
      <w:r>
        <w:rPr>
          <w:rFonts w:cs="Calibri"/>
        </w:rPr>
        <w:t>најстарији</w:t>
      </w:r>
      <w:r>
        <w:rPr>
          <w:rFonts w:cs="Calibri"/>
          <w:lang w:val="hr-BA"/>
        </w:rPr>
        <w:t xml:space="preserve"> </w:t>
      </w:r>
      <w:r>
        <w:rPr>
          <w:rFonts w:cs="Calibri"/>
        </w:rPr>
        <w:t>историјски</w:t>
      </w:r>
      <w:r>
        <w:rPr>
          <w:rFonts w:cs="Calibri"/>
          <w:lang w:val="hr-BA"/>
        </w:rPr>
        <w:t xml:space="preserve"> </w:t>
      </w:r>
      <w:r>
        <w:rPr>
          <w:rFonts w:cs="Calibri"/>
        </w:rPr>
        <w:t>споменик</w:t>
      </w:r>
      <w:r>
        <w:rPr>
          <w:rFonts w:cs="Calibri"/>
          <w:lang w:val="hr-BA"/>
        </w:rPr>
        <w:t xml:space="preserve"> </w:t>
      </w:r>
      <w:r>
        <w:rPr>
          <w:rFonts w:cs="Calibri"/>
        </w:rPr>
        <w:t>у</w:t>
      </w:r>
      <w:r>
        <w:rPr>
          <w:rFonts w:cs="Calibri"/>
          <w:lang w:val="hr-BA"/>
        </w:rPr>
        <w:t xml:space="preserve"> </w:t>
      </w:r>
      <w:r>
        <w:rPr>
          <w:rFonts w:cs="Calibri"/>
        </w:rPr>
        <w:t>овом</w:t>
      </w:r>
      <w:r>
        <w:rPr>
          <w:rFonts w:cs="Calibri"/>
          <w:lang w:val="hr-BA"/>
        </w:rPr>
        <w:t xml:space="preserve"> </w:t>
      </w:r>
      <w:r>
        <w:rPr>
          <w:rFonts w:cs="Calibri"/>
        </w:rPr>
        <w:t>граду</w:t>
      </w:r>
      <w:r>
        <w:rPr>
          <w:rFonts w:cs="Calibri"/>
          <w:lang w:val="hr-BA"/>
        </w:rPr>
        <w:t xml:space="preserve">. </w:t>
      </w:r>
      <w:r>
        <w:rPr>
          <w:rFonts w:cs="Calibri"/>
          <w:lang w:eastAsia="sr-Latn-CS"/>
        </w:rPr>
        <w:t>Комплекс</w:t>
      </w:r>
      <w:r>
        <w:rPr>
          <w:rFonts w:cs="Calibri"/>
          <w:lang w:val="hr-BA" w:eastAsia="sr-Latn-CS"/>
        </w:rPr>
        <w:t xml:space="preserve"> </w:t>
      </w:r>
      <w:r>
        <w:rPr>
          <w:rFonts w:cs="Calibri"/>
          <w:lang w:val="sr-Cyrl-RS"/>
        </w:rPr>
        <w:t>тврђаве</w:t>
      </w:r>
      <w:r>
        <w:rPr>
          <w:rFonts w:cs="Calibri"/>
          <w:lang w:val="hr-BA" w:eastAsia="sr-Latn-CS"/>
        </w:rPr>
        <w:t xml:space="preserve"> </w:t>
      </w:r>
      <w:r>
        <w:rPr>
          <w:rFonts w:cs="Calibri"/>
          <w:lang w:eastAsia="sr-Latn-CS"/>
        </w:rPr>
        <w:t>представља</w:t>
      </w:r>
      <w:r>
        <w:rPr>
          <w:rFonts w:cs="Calibri"/>
          <w:lang w:val="hr-BA" w:eastAsia="sr-Latn-CS"/>
        </w:rPr>
        <w:t xml:space="preserve"> </w:t>
      </w:r>
      <w:r>
        <w:rPr>
          <w:rFonts w:cs="Calibri"/>
          <w:lang w:eastAsia="sr-Latn-CS"/>
        </w:rPr>
        <w:t>просторну</w:t>
      </w:r>
      <w:r>
        <w:rPr>
          <w:rFonts w:cs="Calibri"/>
          <w:lang w:val="hr-BA" w:eastAsia="sr-Latn-CS"/>
        </w:rPr>
        <w:t xml:space="preserve">, </w:t>
      </w:r>
      <w:r>
        <w:rPr>
          <w:rFonts w:cs="Calibri"/>
          <w:lang w:eastAsia="sr-Latn-CS"/>
        </w:rPr>
        <w:t>амбијенталну</w:t>
      </w:r>
      <w:r>
        <w:rPr>
          <w:rFonts w:cs="Calibri"/>
          <w:lang w:val="hr-BA" w:eastAsia="sr-Latn-CS"/>
        </w:rPr>
        <w:t xml:space="preserve">, </w:t>
      </w:r>
      <w:r>
        <w:rPr>
          <w:rFonts w:cs="Calibri"/>
          <w:lang w:eastAsia="sr-Latn-CS"/>
        </w:rPr>
        <w:t>културну</w:t>
      </w:r>
      <w:r>
        <w:rPr>
          <w:rFonts w:cs="Calibri"/>
          <w:lang w:val="hr-BA" w:eastAsia="sr-Latn-CS"/>
        </w:rPr>
        <w:t xml:space="preserve">, </w:t>
      </w:r>
      <w:r>
        <w:rPr>
          <w:rFonts w:cs="Calibri"/>
          <w:lang w:eastAsia="sr-Latn-CS"/>
        </w:rPr>
        <w:t>друштвену</w:t>
      </w:r>
      <w:r>
        <w:rPr>
          <w:rFonts w:cs="Calibri"/>
          <w:lang w:val="hr-BA" w:eastAsia="sr-Latn-CS"/>
        </w:rPr>
        <w:t xml:space="preserve"> </w:t>
      </w:r>
      <w:r>
        <w:rPr>
          <w:rFonts w:cs="Calibri"/>
          <w:lang w:eastAsia="sr-Latn-CS"/>
        </w:rPr>
        <w:t>и</w:t>
      </w:r>
      <w:r>
        <w:rPr>
          <w:rFonts w:cs="Calibri"/>
          <w:lang w:val="hr-BA" w:eastAsia="sr-Latn-CS"/>
        </w:rPr>
        <w:t xml:space="preserve"> </w:t>
      </w:r>
      <w:r>
        <w:rPr>
          <w:rFonts w:cs="Calibri"/>
          <w:lang w:eastAsia="sr-Latn-CS"/>
        </w:rPr>
        <w:t>функционалну</w:t>
      </w:r>
      <w:r>
        <w:rPr>
          <w:rFonts w:cs="Calibri"/>
          <w:lang w:val="hr-BA" w:eastAsia="sr-Latn-CS"/>
        </w:rPr>
        <w:t xml:space="preserve"> </w:t>
      </w:r>
      <w:r>
        <w:rPr>
          <w:rFonts w:cs="Calibri"/>
          <w:lang w:eastAsia="sr-Latn-CS"/>
        </w:rPr>
        <w:t>вриједност</w:t>
      </w:r>
      <w:r>
        <w:rPr>
          <w:rFonts w:cs="Calibri"/>
          <w:lang w:val="hr-BA" w:eastAsia="sr-Latn-CS"/>
        </w:rPr>
        <w:t xml:space="preserve"> </w:t>
      </w:r>
      <w:r>
        <w:rPr>
          <w:rFonts w:cs="Calibri"/>
          <w:lang w:eastAsia="sr-Latn-CS"/>
        </w:rPr>
        <w:t>највишег</w:t>
      </w:r>
      <w:r>
        <w:rPr>
          <w:rFonts w:cs="Calibri"/>
          <w:lang w:val="hr-BA" w:eastAsia="sr-Latn-CS"/>
        </w:rPr>
        <w:t xml:space="preserve"> </w:t>
      </w:r>
      <w:r>
        <w:rPr>
          <w:rFonts w:cs="Calibri"/>
          <w:lang w:eastAsia="sr-Latn-CS"/>
        </w:rPr>
        <w:t>реда</w:t>
      </w:r>
      <w:r>
        <w:rPr>
          <w:rFonts w:cs="Calibri"/>
          <w:lang w:val="hr-BA" w:eastAsia="sr-Latn-CS"/>
        </w:rPr>
        <w:t>.</w:t>
      </w:r>
      <w:r>
        <w:rPr>
          <w:rFonts w:cs="Calibri"/>
          <w:lang w:val="sr-Cyrl-RS" w:eastAsia="sr-Latn-CS"/>
        </w:rPr>
        <w:t xml:space="preserve"> Тврђава Кастел је 2004. године проглашена Националним спомеником БиХ.</w:t>
      </w:r>
      <w:r>
        <w:rPr>
          <w:rFonts w:cs="Calibri"/>
          <w:lang w:val="sr-Cyrl-RS"/>
        </w:rPr>
        <w:t xml:space="preserve"> </w:t>
      </w:r>
      <w:r>
        <w:rPr>
          <w:rFonts w:cs="Calibri"/>
          <w:lang w:val="sr-Cyrl-BA" w:eastAsia="sr-Latn-CS"/>
        </w:rPr>
        <w:t>Простор здања чини комплексну цјелину саме тврђаве и њеног непосредног окружења, а унутар јединственог комплекса дефинисано је девет цјелина и то: Артиљеријска касарна - гарни хотел ,Културни центар са пратећим садржајима, Услужни центар, Туристичко - информативни центар, Градски трг и јавна гаража, Спортски центар, Градски врт, Приобаље и Музеј и источно двориште.</w:t>
      </w:r>
    </w:p>
    <w:p>
      <w:pPr>
        <w:pStyle w:val="46"/>
        <w:spacing w:before="0"/>
        <w:ind w:left="0"/>
        <w:rPr>
          <w:rFonts w:cs="Calibri"/>
          <w:lang w:val="sr-Cyrl-RS"/>
        </w:rPr>
      </w:pPr>
    </w:p>
    <w:tbl>
      <w:tblPr>
        <w:tblStyle w:val="37"/>
        <w:tblW w:w="93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50" w:type="dxa"/>
            <w:shd w:val="clear" w:color="auto" w:fill="C5E0B3" w:themeFill="accent6" w:themeFillTint="66"/>
          </w:tcPr>
          <w:p>
            <w:pPr>
              <w:shd w:val="clear" w:color="auto" w:fill="C5E0B3" w:themeFill="accent6" w:themeFillTint="66"/>
              <w:jc w:val="both"/>
              <w:rPr>
                <w:rFonts w:eastAsia="Times New Roman" w:cs="Calibri"/>
                <w:i/>
                <w:lang w:val="sr-Cyrl-BA" w:eastAsia="sr-Latn-CS"/>
              </w:rPr>
            </w:pPr>
            <w:r>
              <w:rPr>
                <w:rFonts w:eastAsia="Times New Roman" w:cs="Calibri"/>
                <w:i/>
                <w:lang w:val="sr-Cyrl-BA" w:eastAsia="sr-Latn-CS"/>
              </w:rPr>
              <w:t xml:space="preserve">Пројекат реконструкције и ремоделације комплекса тврђаве Кастел, заснован је на пажљивом и свеобухватном истраживању историје и садашњег стања тврђаве, као и града у цјелини. Основни циљеви пројекта усмјерени су ка обнови некадашњих и успостављању нових садржаја, за које је потребно створити одговарајуће просторне, технолошке и амбијенталне претпоставке. </w:t>
            </w:r>
          </w:p>
        </w:tc>
      </w:tr>
    </w:tbl>
    <w:p>
      <w:pPr>
        <w:pStyle w:val="46"/>
        <w:spacing w:before="0"/>
        <w:ind w:left="0"/>
        <w:rPr>
          <w:rFonts w:cs="Calibri"/>
          <w:lang w:val="sr-Cyrl-BA"/>
        </w:rPr>
      </w:pPr>
    </w:p>
    <w:p>
      <w:pPr>
        <w:pStyle w:val="46"/>
        <w:spacing w:before="0"/>
        <w:ind w:left="0"/>
        <w:rPr>
          <w:rFonts w:cs="Calibri"/>
          <w:lang w:val="sr-Cyrl-BA" w:eastAsia="sr-Latn-CS"/>
        </w:rPr>
      </w:pPr>
      <w:r>
        <w:rPr>
          <w:rFonts w:cs="Calibri"/>
          <w:lang w:val="sr-Cyrl-BA" w:eastAsia="sr-Latn-CS"/>
        </w:rPr>
        <w:t>У оквиру пројекта „Реконструкција и ремоделација цјелине 9 – „Историјски музеј и источно двориште“  на програм IPA 2011, реализовао прву фазу реконструкције  дијела тврђаве. Улагања у тврђаву Кастел од стране Европске уније износе око 7 милиона КМ, док је Град Бања Лука до сада уложио око 2,2 милиона КМ.</w:t>
      </w:r>
      <w:r>
        <w:rPr>
          <w:rFonts w:cs="Calibri"/>
          <w:lang w:val="sr-Cyrl-CS"/>
        </w:rPr>
        <w:t xml:space="preserve"> Намјера да се наставе активности на ревитализацији и реконструкцији тврђаве Кастел, огледа се у стратешком опредјељењу да Кастел чини окосницу развоја туристичке понуде и инфраструктуре за културна дешавања. У наредном периоду настављају се активности на обезбјеђивању нових финансијских средстава, како из властитих извора, тако и од стране донатора. </w:t>
      </w:r>
    </w:p>
    <w:p>
      <w:pPr>
        <w:jc w:val="both"/>
        <w:rPr>
          <w:rFonts w:eastAsia="Times New Roman" w:cs="Calibri"/>
          <w:b/>
          <w:bCs/>
          <w:lang w:val="sr-Cyrl-RS"/>
        </w:rPr>
      </w:pPr>
    </w:p>
    <w:p>
      <w:pPr>
        <w:jc w:val="both"/>
        <w:rPr>
          <w:rFonts w:eastAsia="Times New Roman" w:cs="Calibri"/>
          <w:bCs/>
          <w:lang w:val="sr-Cyrl-RS"/>
        </w:rPr>
      </w:pPr>
      <w:r>
        <w:rPr>
          <w:rFonts w:eastAsia="Times New Roman" w:cs="Calibri"/>
          <w:bCs/>
          <w:lang w:val="sr-Cyrl-RS"/>
        </w:rPr>
        <w:t xml:space="preserve">Поред установа културе, чији је оснивач Град Бања Лука, на подручју града налазе се и дјелују многе републичке установе културе. </w:t>
      </w:r>
    </w:p>
    <w:p>
      <w:pPr>
        <w:pStyle w:val="46"/>
        <w:spacing w:before="0"/>
        <w:ind w:left="0"/>
        <w:rPr>
          <w:rFonts w:cs="Calibri"/>
          <w:b/>
          <w:bCs/>
          <w:lang w:val="sr-Latn-RS"/>
        </w:rPr>
      </w:pPr>
    </w:p>
    <w:p>
      <w:pPr>
        <w:pStyle w:val="46"/>
        <w:spacing w:before="0"/>
        <w:ind w:left="0"/>
        <w:rPr>
          <w:rFonts w:cs="Calibri"/>
          <w:bCs/>
          <w:lang w:val="sr-Latn-CS"/>
        </w:rPr>
      </w:pPr>
      <w:r>
        <w:rPr>
          <w:rFonts w:cs="Calibri"/>
          <w:b/>
          <w:bCs/>
          <w:lang w:val="sr-Latn-RS"/>
        </w:rPr>
        <w:t>Музеј Републике Српске</w:t>
      </w:r>
      <w:r>
        <w:rPr>
          <w:rFonts w:cs="Calibri"/>
          <w:lang w:val="sr-Latn-RS"/>
        </w:rPr>
        <w:t> </w:t>
      </w:r>
      <w:r>
        <w:rPr>
          <w:rStyle w:val="31"/>
          <w:rFonts w:cs="Calibri"/>
          <w:lang w:val="sr-Latn-RS"/>
        </w:rPr>
        <w:footnoteReference w:id="39"/>
      </w:r>
      <w:r>
        <w:rPr>
          <w:rFonts w:cs="Calibri"/>
          <w:bCs/>
          <w:lang w:val="sr-Latn-RS"/>
        </w:rPr>
        <w:t xml:space="preserve"> основан </w:t>
      </w:r>
      <w:r>
        <w:rPr>
          <w:rFonts w:cs="Calibri"/>
          <w:bCs/>
          <w:lang w:val="sr-Cyrl-RS"/>
        </w:rPr>
        <w:t xml:space="preserve">је </w:t>
      </w:r>
      <w:r>
        <w:rPr>
          <w:rFonts w:cs="Calibri"/>
          <w:bCs/>
          <w:lang w:val="sr-Latn-RS"/>
        </w:rPr>
        <w:t xml:space="preserve">26. септембра 1930. године и представља </w:t>
      </w:r>
      <w:r>
        <w:rPr>
          <w:rFonts w:cs="Calibri"/>
          <w:lang w:val="sr-Cyrl-CS"/>
        </w:rPr>
        <w:t xml:space="preserve">централну музејску установу за обављање музејске </w:t>
      </w:r>
      <w:r>
        <w:rPr>
          <w:rFonts w:cs="Calibri"/>
          <w:lang w:val="sr-Cyrl-BA" w:eastAsia="sr-Latn-CS"/>
        </w:rPr>
        <w:t>дјелатости</w:t>
      </w:r>
      <w:r>
        <w:rPr>
          <w:rFonts w:cs="Calibri"/>
          <w:bCs/>
          <w:lang w:val="sr-Latn-RS"/>
        </w:rPr>
        <w:t xml:space="preserve"> </w:t>
      </w:r>
      <w:r>
        <w:rPr>
          <w:rFonts w:cs="Calibri"/>
          <w:bCs/>
          <w:lang w:val="sr-Cyrl-CS"/>
        </w:rPr>
        <w:t xml:space="preserve">у Републици и </w:t>
      </w:r>
      <w:r>
        <w:rPr>
          <w:rFonts w:cs="Calibri"/>
          <w:bCs/>
          <w:lang w:val="sr-Latn-RS"/>
        </w:rPr>
        <w:t>централну установу заштите покретних културних добара Републике Српске.</w:t>
      </w:r>
      <w:r>
        <w:rPr>
          <w:rFonts w:cs="Calibri"/>
          <w:lang w:val="sr-Latn-RS"/>
        </w:rPr>
        <w:t xml:space="preserve"> </w:t>
      </w:r>
      <w:r>
        <w:rPr>
          <w:rFonts w:cs="Calibri"/>
          <w:bCs/>
          <w:lang w:val="sr-Cyrl-RS"/>
        </w:rPr>
        <w:t>Стална изложбена поставка заузима простор површине ццa 1.500 м2,</w:t>
      </w:r>
      <w:r>
        <w:rPr>
          <w:rFonts w:cs="Calibri"/>
          <w:bCs/>
          <w:lang w:val="sr-Latn-RS"/>
        </w:rPr>
        <w:t xml:space="preserve"> (археолошка,</w:t>
      </w:r>
      <w:r>
        <w:rPr>
          <w:rFonts w:cs="Calibri"/>
          <w:bCs/>
          <w:lang w:val="sr-Cyrl-CS"/>
        </w:rPr>
        <w:t xml:space="preserve"> историјска, етнолошка, историја умјетности и</w:t>
      </w:r>
      <w:r>
        <w:rPr>
          <w:rFonts w:cs="Calibri"/>
          <w:bCs/>
          <w:lang w:val="sr-Latn-RS"/>
        </w:rPr>
        <w:t xml:space="preserve"> природњачка)</w:t>
      </w:r>
      <w:r>
        <w:rPr>
          <w:rFonts w:cs="Calibri"/>
          <w:bCs/>
          <w:lang w:val="sr-Cyrl-RS"/>
        </w:rPr>
        <w:t>. Музеј има квалитетне кадрове, који спроводе своју основну функцију, предвиђену</w:t>
      </w:r>
    </w:p>
    <w:p>
      <w:pPr>
        <w:pStyle w:val="46"/>
        <w:spacing w:before="0"/>
        <w:ind w:left="0"/>
        <w:rPr>
          <w:rFonts w:cs="Calibri"/>
          <w:bCs/>
          <w:lang w:val="sr-Cyrl-CS"/>
        </w:rPr>
      </w:pPr>
      <w:r>
        <w:rPr>
          <w:rFonts w:cs="Calibri"/>
          <w:bCs/>
          <w:lang w:val="sr-Cyrl-RS"/>
        </w:rPr>
        <w:t xml:space="preserve">Законом о музејској дјелатности. У својим Збиркама Музеј чува око </w:t>
      </w:r>
      <w:r>
        <w:rPr>
          <w:rFonts w:cs="Calibri"/>
          <w:bCs/>
          <w:lang w:val="sr-Cyrl-CS"/>
        </w:rPr>
        <w:t>100</w:t>
      </w:r>
      <w:r>
        <w:rPr>
          <w:rFonts w:cs="Calibri"/>
          <w:bCs/>
          <w:lang w:val="sr-Cyrl-RS"/>
        </w:rPr>
        <w:t>.000 експоната, а специјализована музејска библиотека располаже са 14.000 књига.</w:t>
      </w:r>
    </w:p>
    <w:p>
      <w:pPr>
        <w:jc w:val="both"/>
        <w:rPr>
          <w:rFonts w:cs="Calibri"/>
          <w:b/>
          <w:lang w:val="sr-Cyrl-RS"/>
        </w:rPr>
      </w:pPr>
    </w:p>
    <w:p>
      <w:pPr>
        <w:pStyle w:val="46"/>
        <w:spacing w:before="0"/>
        <w:ind w:left="0"/>
        <w:rPr>
          <w:lang w:val="sr-Cyrl-CS"/>
        </w:rPr>
      </w:pPr>
      <w:r>
        <w:rPr>
          <w:rFonts w:cs="Calibri"/>
          <w:b/>
          <w:lang w:val="sr-Cyrl-RS"/>
        </w:rPr>
        <w:t>Музеј савремене умјетности</w:t>
      </w:r>
      <w:r>
        <w:rPr>
          <w:rStyle w:val="31"/>
          <w:rFonts w:cs="Calibri"/>
          <w:b/>
          <w:lang w:val="sr-Cyrl-RS"/>
        </w:rPr>
        <w:footnoteReference w:id="40"/>
      </w:r>
      <w:r>
        <w:rPr>
          <w:rFonts w:cs="Calibri"/>
          <w:b/>
          <w:lang w:val="sr-Cyrl-RS"/>
        </w:rPr>
        <w:t xml:space="preserve"> </w:t>
      </w:r>
      <w:r>
        <w:rPr>
          <w:rFonts w:cs="Calibri"/>
          <w:lang w:val="sr-Cyrl-RS"/>
        </w:rPr>
        <w:t xml:space="preserve">основан је </w:t>
      </w:r>
      <w:r>
        <w:rPr>
          <w:rFonts w:cs="Calibri"/>
          <w:lang w:val="sr-Cyrl-BA"/>
        </w:rPr>
        <w:t xml:space="preserve">13. јануара 1971. године одлуком Скупштине Општине Бања Лука. У оквиру Музеја дјелују четири одјељења: Одјељење збирки, Информационо-документациони </w:t>
      </w:r>
      <w:r>
        <w:rPr>
          <w:rFonts w:cs="Calibri"/>
          <w:bCs/>
          <w:lang w:val="sr-Cyrl-RS"/>
        </w:rPr>
        <w:t>центар</w:t>
      </w:r>
      <w:r>
        <w:rPr>
          <w:rFonts w:cs="Calibri"/>
          <w:lang w:val="sr-Cyrl-BA"/>
        </w:rPr>
        <w:t xml:space="preserve"> и библиотека, Одјељење за едукативне програме и Одјељење за изложбене и програмске дјелатности. Музеј савремене умјетности Републике Српске једина је музејска институција у Босни и Херцеговини са овим називом и уско је профилисана за област савремене умјетности. </w:t>
      </w:r>
      <w:r>
        <w:rPr>
          <w:lang w:val="sr-Cyrl-CS"/>
        </w:rPr>
        <w:t>Отварањем Галерије ПЛУС која задовољава савремене критеријуме и професионалне стандарде излагачког простора, Музеј савремене умјетности Републике Српске у прилици је да обезбиједи адекватно мјесто за представљање и промоцију умјетника.</w:t>
      </w:r>
    </w:p>
    <w:p>
      <w:pPr>
        <w:pStyle w:val="46"/>
        <w:spacing w:before="0"/>
        <w:ind w:left="0"/>
        <w:rPr>
          <w:lang w:val="sr-Cyrl-CS"/>
        </w:rPr>
      </w:pPr>
    </w:p>
    <w:p>
      <w:pPr>
        <w:pStyle w:val="46"/>
        <w:spacing w:before="0"/>
        <w:ind w:left="0"/>
        <w:rPr>
          <w:rFonts w:cs="Calibri"/>
          <w:lang w:val="sr-Cyrl-CS" w:eastAsia="sr-Latn-BA"/>
        </w:rPr>
      </w:pPr>
      <w:r>
        <w:rPr>
          <w:b/>
          <w:lang w:val="sr-Cyrl-RS"/>
        </w:rPr>
        <w:t>Народно позориште Републике Српске</w:t>
      </w:r>
      <w:r>
        <w:rPr>
          <w:rStyle w:val="31"/>
          <w:b/>
          <w:lang w:val="sr-Cyrl-RS"/>
        </w:rPr>
        <w:footnoteReference w:id="41"/>
      </w:r>
      <w:r>
        <w:rPr>
          <w:lang w:val="sr-Cyrl-RS"/>
        </w:rPr>
        <w:t xml:space="preserve"> основано је 1930. године као Народно позориште Врбаске бановине, </w:t>
      </w:r>
      <w:r>
        <w:rPr>
          <w:rStyle w:val="35"/>
          <w:rFonts w:cs="Calibri"/>
          <w:b w:val="0"/>
          <w:lang w:val="sr-Cyrl-RS"/>
        </w:rPr>
        <w:t xml:space="preserve">и друго позориште у БиХ. До данас је </w:t>
      </w:r>
      <w:r>
        <w:rPr>
          <w:rFonts w:cs="Calibri"/>
          <w:lang w:val="sr-Cyrl-CS"/>
        </w:rPr>
        <w:t xml:space="preserve">реализовало преко </w:t>
      </w:r>
      <w:r>
        <w:rPr>
          <w:rFonts w:cs="Calibri"/>
          <w:lang w:val="sr-Cyrl-RS"/>
        </w:rPr>
        <w:t>шез</w:t>
      </w:r>
      <w:r>
        <w:rPr>
          <w:rFonts w:cs="Calibri"/>
          <w:lang w:val="sr-Cyrl-CS"/>
        </w:rPr>
        <w:t xml:space="preserve">десет премијерних представа од којих су неке прошле најстрожије селекције и биле уврштене у програме значајних фестивала, уз награде на такмичењима  попут Сусрети позоришта/ казалишта БиХ у Брчком, Позоришне/казалишне игре БиХ у Јајцу, МЕСС у Сарајеву, ЈПФ „Без превода“ у Ужицу, Дани Зорана Радмиловића у Зајечару, и Стеријино позорје у Новом Саду; </w:t>
      </w:r>
      <w:r>
        <w:rPr>
          <w:rFonts w:cs="Calibri"/>
          <w:lang w:val="sr-Cyrl-CS" w:eastAsia="sr-Latn-BA"/>
        </w:rPr>
        <w:t xml:space="preserve">Народно позориште Републике Српске је већ традиционално организатор позоришног фестивала "Театар фест Петар Кочић" који је </w:t>
      </w:r>
      <w:r>
        <w:rPr>
          <w:rFonts w:cs="Calibri"/>
          <w:lang w:val="sr-Cyrl-RS" w:eastAsia="sr-Latn-BA"/>
        </w:rPr>
        <w:t>основан</w:t>
      </w:r>
      <w:r>
        <w:rPr>
          <w:rFonts w:cs="Calibri"/>
          <w:lang w:val="sr-Cyrl-CS" w:eastAsia="sr-Latn-BA"/>
        </w:rPr>
        <w:t xml:space="preserve"> </w:t>
      </w:r>
      <w:r>
        <w:rPr>
          <w:rFonts w:cs="Calibri"/>
          <w:lang w:val="sr-Cyrl-CS"/>
        </w:rPr>
        <w:t>1998. године.</w:t>
      </w:r>
      <w:r>
        <w:rPr>
          <w:rFonts w:cs="Calibri"/>
          <w:lang w:val="sr-Cyrl-CS" w:eastAsia="sr-Latn-BA"/>
        </w:rPr>
        <w:t xml:space="preserve">  Фестивал</w:t>
      </w:r>
      <w:r>
        <w:rPr>
          <w:rFonts w:cs="Calibri"/>
          <w:lang w:val="sr-Cyrl-RS" w:eastAsia="sr-Latn-BA"/>
        </w:rPr>
        <w:t xml:space="preserve"> је</w:t>
      </w:r>
      <w:r>
        <w:rPr>
          <w:rFonts w:cs="Calibri"/>
          <w:lang w:val="sr-Cyrl-CS" w:eastAsia="sr-Latn-BA"/>
        </w:rPr>
        <w:t xml:space="preserve"> увео  град Бању Луку у ред позоришних центара на који се са све већим уважавањем, гледа у региону.  </w:t>
      </w:r>
    </w:p>
    <w:p>
      <w:pPr>
        <w:pStyle w:val="46"/>
        <w:spacing w:before="0"/>
        <w:ind w:left="0"/>
        <w:rPr>
          <w:rFonts w:cs="Calibri"/>
          <w:b/>
          <w:lang w:val="sr-Cyrl-RS"/>
        </w:rPr>
      </w:pPr>
    </w:p>
    <w:p>
      <w:pPr>
        <w:pStyle w:val="46"/>
        <w:spacing w:before="0"/>
        <w:ind w:left="0"/>
        <w:rPr>
          <w:rStyle w:val="35"/>
          <w:b w:val="0"/>
          <w:lang w:val="sr-Cyrl-BA"/>
        </w:rPr>
      </w:pPr>
      <w:r>
        <w:rPr>
          <w:rFonts w:cs="Calibri"/>
          <w:b/>
          <w:lang w:val="sr-Latn-RS"/>
        </w:rPr>
        <w:t>Народна и универзитетска библиотека Р</w:t>
      </w:r>
      <w:r>
        <w:rPr>
          <w:rFonts w:cs="Calibri"/>
          <w:b/>
          <w:lang w:val="sr-Cyrl-BA"/>
        </w:rPr>
        <w:t xml:space="preserve">епублике </w:t>
      </w:r>
      <w:r>
        <w:rPr>
          <w:rFonts w:cs="Calibri"/>
          <w:b/>
          <w:lang w:val="sr-Latn-RS"/>
        </w:rPr>
        <w:t>С</w:t>
      </w:r>
      <w:r>
        <w:rPr>
          <w:rFonts w:cs="Calibri"/>
          <w:b/>
          <w:lang w:val="sr-Cyrl-BA"/>
        </w:rPr>
        <w:t>рпске</w:t>
      </w:r>
      <w:r>
        <w:rPr>
          <w:rStyle w:val="31"/>
          <w:rFonts w:ascii="Times New Roman" w:hAnsi="Times New Roman"/>
          <w:lang w:val="sr-Cyrl-CS"/>
        </w:rPr>
        <w:footnoteReference w:id="42"/>
      </w:r>
      <w:r>
        <w:rPr>
          <w:rStyle w:val="35"/>
          <w:lang w:val="sr-Cyrl-RS"/>
        </w:rPr>
        <w:t xml:space="preserve"> </w:t>
      </w:r>
      <w:r>
        <w:rPr>
          <w:rStyle w:val="35"/>
          <w:b w:val="0"/>
          <w:lang w:val="sr-Cyrl-RS"/>
        </w:rPr>
        <w:t xml:space="preserve">је основана 1936. године, а 1981. постаје чланица Универзитета у Бања Луци те прераста у </w:t>
      </w:r>
      <w:r>
        <w:rPr>
          <w:rStyle w:val="35"/>
          <w:b w:val="0"/>
          <w:lang w:val="sr-Cyrl-BA"/>
        </w:rPr>
        <w:t>Н</w:t>
      </w:r>
      <w:r>
        <w:rPr>
          <w:rStyle w:val="35"/>
          <w:b w:val="0"/>
          <w:lang w:val="sr-Cyrl-RS"/>
        </w:rPr>
        <w:t>ародну и универзитетску библиотеку</w:t>
      </w:r>
      <w:r>
        <w:rPr>
          <w:rStyle w:val="35"/>
          <w:b w:val="0"/>
          <w:lang w:val="sr-Cyrl-BA"/>
        </w:rPr>
        <w:t xml:space="preserve"> „Петар Кочић“.</w:t>
      </w:r>
      <w:r>
        <w:rPr>
          <w:rStyle w:val="35"/>
          <w:b w:val="0"/>
          <w:lang w:val="sr-Cyrl-RS"/>
        </w:rPr>
        <w:t xml:space="preserve"> Одлуком Владе Републике Српске од 7. децембра 1999. године постаје и национална библиотека Републике Српске која под једнаким условима обавља три основне функције: матичну/националну, универзитетску и градску </w:t>
      </w:r>
      <w:r>
        <w:rPr>
          <w:rStyle w:val="35"/>
          <w:b w:val="0"/>
          <w:lang w:val="sr-Cyrl-BA"/>
        </w:rPr>
        <w:t>и добија назив Народна и универзитетска библиотека Републике Српске.</w:t>
      </w:r>
      <w:r>
        <w:t xml:space="preserve"> </w:t>
      </w:r>
      <w:r>
        <w:rPr>
          <w:rStyle w:val="35"/>
          <w:b w:val="0"/>
          <w:lang w:val="sr-Cyrl-BA"/>
        </w:rPr>
        <w:t>Градска јединица НУБ РС је средишња јавна библиотека Града Бања Луке која своју дјелатност остварује кроз: Информативно-позајмно одјељење, Дјечију библиотеку „Борик“, Одјељење „Старчевица“, Одјељење „Обилићево“ и Завичајно одјељење.</w:t>
      </w:r>
    </w:p>
    <w:p>
      <w:pPr>
        <w:pStyle w:val="46"/>
        <w:spacing w:before="0"/>
        <w:ind w:left="0"/>
        <w:rPr>
          <w:rStyle w:val="35"/>
          <w:b w:val="0"/>
          <w:lang w:val="sr-Cyrl-BA"/>
        </w:rPr>
      </w:pPr>
    </w:p>
    <w:p>
      <w:pPr>
        <w:pStyle w:val="46"/>
        <w:spacing w:before="0"/>
        <w:ind w:left="0"/>
        <w:rPr>
          <w:rFonts w:cs="Calibri"/>
          <w:lang w:val="sr-Cyrl-RS"/>
        </w:rPr>
      </w:pPr>
      <w:r>
        <w:rPr>
          <w:rFonts w:cs="Calibri"/>
          <w:b/>
          <w:lang w:val="sr-Cyrl-BA"/>
        </w:rPr>
        <w:t>Специјална библиотека за слијепа и слабовида лица Републике Српске</w:t>
      </w:r>
      <w:r>
        <w:rPr>
          <w:rStyle w:val="31"/>
          <w:rFonts w:cs="Calibri"/>
          <w:b/>
          <w:lang w:val="sr-Cyrl-BA"/>
        </w:rPr>
        <w:footnoteReference w:id="43"/>
      </w:r>
      <w:r>
        <w:rPr>
          <w:rFonts w:cs="Calibri"/>
          <w:b/>
          <w:lang w:val="sr-Cyrl-BA"/>
        </w:rPr>
        <w:t>,</w:t>
      </w:r>
      <w:r>
        <w:rPr>
          <w:rFonts w:cs="Calibri"/>
          <w:lang w:val="sr-Cyrl-RS"/>
        </w:rPr>
        <w:t xml:space="preserve"> основана је 2006. године</w:t>
      </w:r>
      <w:r>
        <w:rPr>
          <w:rFonts w:cs="Calibri"/>
          <w:lang w:val="sr-Cyrl-BA"/>
        </w:rPr>
        <w:t xml:space="preserve"> </w:t>
      </w:r>
      <w:r>
        <w:rPr>
          <w:rFonts w:cs="Calibri"/>
          <w:lang w:val="sr-Cyrl-RS"/>
        </w:rPr>
        <w:t>и</w:t>
      </w:r>
      <w:r>
        <w:rPr>
          <w:rFonts w:cs="Calibri"/>
          <w:lang w:val="sr-Cyrl-BA"/>
        </w:rPr>
        <w:t xml:space="preserve"> намијењена је општем образовању, информисању и задовољавању културних потреба слијепих и слабовидих лица, као и развоју и унапређењу библиотечке дјелатности у Републици Српској. </w:t>
      </w:r>
      <w:r>
        <w:rPr>
          <w:rFonts w:cs="Calibri"/>
          <w:lang w:val="sr-Cyrl-RS"/>
        </w:rPr>
        <w:t>Специјална библиотека посједује књижни фонд од 4012 наслова, тј. 10 080 књижне јединице у звучној техници (</w:t>
      </w:r>
      <w:r>
        <w:rPr>
          <w:rFonts w:cs="Calibri"/>
        </w:rPr>
        <w:t>mp</w:t>
      </w:r>
      <w:r>
        <w:rPr>
          <w:rFonts w:cs="Calibri"/>
          <w:lang w:val="sr-Cyrl-RS"/>
        </w:rPr>
        <w:t xml:space="preserve">3 и </w:t>
      </w:r>
      <w:r>
        <w:rPr>
          <w:rFonts w:cs="Calibri"/>
        </w:rPr>
        <w:t>Daisy</w:t>
      </w:r>
      <w:r>
        <w:rPr>
          <w:rFonts w:cs="Calibri"/>
          <w:lang w:val="sr-Cyrl-RS"/>
        </w:rPr>
        <w:t xml:space="preserve"> формат), на брајевом писму, те увећаној и стандардној штампи.</w:t>
      </w:r>
    </w:p>
    <w:p>
      <w:pPr>
        <w:pStyle w:val="46"/>
        <w:spacing w:before="0"/>
        <w:ind w:left="0"/>
        <w:rPr>
          <w:rFonts w:cs="Calibri"/>
          <w:b/>
          <w:lang w:val="sr-Cyrl-RS"/>
        </w:rPr>
      </w:pPr>
    </w:p>
    <w:p>
      <w:pPr>
        <w:pStyle w:val="46"/>
        <w:spacing w:before="0"/>
        <w:ind w:left="0"/>
        <w:rPr>
          <w:rFonts w:cs="Calibri"/>
          <w:lang w:val="sr-Cyrl-CS"/>
        </w:rPr>
      </w:pPr>
      <w:r>
        <w:rPr>
          <w:rFonts w:cs="Calibri"/>
          <w:b/>
          <w:lang w:val="sr-Cyrl-CS"/>
        </w:rPr>
        <w:t>Д</w:t>
      </w:r>
      <w:r>
        <w:rPr>
          <w:rFonts w:cs="Calibri"/>
          <w:b/>
          <w:lang w:val="ru-RU"/>
        </w:rPr>
        <w:t xml:space="preserve">јечије позориште </w:t>
      </w:r>
      <w:r>
        <w:rPr>
          <w:rFonts w:cs="Calibri"/>
          <w:b/>
          <w:lang w:val="sr-Cyrl-CS"/>
        </w:rPr>
        <w:t>Р</w:t>
      </w:r>
      <w:r>
        <w:rPr>
          <w:rFonts w:cs="Calibri"/>
          <w:b/>
          <w:lang w:val="ru-RU"/>
        </w:rPr>
        <w:t xml:space="preserve">епублике </w:t>
      </w:r>
      <w:r>
        <w:rPr>
          <w:rFonts w:cs="Calibri"/>
          <w:b/>
          <w:lang w:val="sr-Cyrl-CS"/>
        </w:rPr>
        <w:t>С</w:t>
      </w:r>
      <w:r>
        <w:rPr>
          <w:rFonts w:cs="Calibri"/>
          <w:b/>
          <w:lang w:val="ru-RU"/>
        </w:rPr>
        <w:t>рпске</w:t>
      </w:r>
      <w:r>
        <w:rPr>
          <w:rStyle w:val="31"/>
          <w:rFonts w:cs="Calibri"/>
          <w:b/>
          <w:lang w:val="ru-RU"/>
        </w:rPr>
        <w:footnoteReference w:id="44"/>
      </w:r>
      <w:r>
        <w:rPr>
          <w:rFonts w:cs="Calibri"/>
          <w:b/>
          <w:lang w:val="ru-RU"/>
        </w:rPr>
        <w:t xml:space="preserve"> </w:t>
      </w:r>
      <w:r>
        <w:rPr>
          <w:rFonts w:cs="Calibri"/>
          <w:lang w:val="ru-RU"/>
        </w:rPr>
        <w:t>је</w:t>
      </w:r>
      <w:r>
        <w:rPr>
          <w:rFonts w:cs="Calibri"/>
          <w:b/>
          <w:lang w:val="ru-RU"/>
        </w:rPr>
        <w:t xml:space="preserve"> </w:t>
      </w:r>
      <w:r>
        <w:rPr>
          <w:rFonts w:cs="Calibri"/>
          <w:lang w:val="sr-Cyrl-CS"/>
        </w:rPr>
        <w:t xml:space="preserve">јавна установа основана оснивачким актом Владе Републике Српске 1998. године. Располаже </w:t>
      </w:r>
      <w:r>
        <w:rPr>
          <w:rFonts w:cs="Calibri"/>
          <w:lang w:val="sr-Cyrl-BA"/>
        </w:rPr>
        <w:t>простором за рад у</w:t>
      </w:r>
      <w:r>
        <w:rPr>
          <w:rFonts w:cs="Calibri"/>
          <w:lang w:val="sr-Cyrl-CS"/>
        </w:rPr>
        <w:t xml:space="preserve"> објекту бившег Дома солидарности. </w:t>
      </w:r>
      <w:r>
        <w:rPr>
          <w:rFonts w:cs="Calibri"/>
        </w:rPr>
        <w:t>O</w:t>
      </w:r>
      <w:r>
        <w:rPr>
          <w:rFonts w:cs="Calibri"/>
          <w:lang w:val="sr-Cyrl-CS"/>
        </w:rPr>
        <w:t>во позориште је достигло високе стандарде и остварује значајне резултате на међународној сцени позоришта за дјецу.</w:t>
      </w:r>
      <w:r>
        <w:rPr>
          <w:rFonts w:cs="Calibri"/>
          <w:b/>
          <w:bCs/>
          <w:lang w:val="sr-Cyrl-RS"/>
        </w:rPr>
        <w:t xml:space="preserve"> </w:t>
      </w:r>
      <w:r>
        <w:rPr>
          <w:rFonts w:cs="Calibri"/>
          <w:lang w:val="sr-Cyrl-CS"/>
        </w:rPr>
        <w:t xml:space="preserve">Значајно је напоменути да је у оквиру позоришта постављена, јединствена у региону, стална изложба лутака, која својом умјетничком вриједношћу све више добија на значају у културној и туристичкој понуди града. </w:t>
      </w:r>
    </w:p>
    <w:p>
      <w:pPr>
        <w:pStyle w:val="46"/>
        <w:spacing w:before="0"/>
        <w:ind w:left="0"/>
        <w:rPr>
          <w:rStyle w:val="35"/>
          <w:rFonts w:cs="Calibri"/>
          <w:lang w:val="sr-Cyrl-CS"/>
        </w:rPr>
      </w:pPr>
    </w:p>
    <w:p>
      <w:pPr>
        <w:pStyle w:val="46"/>
        <w:spacing w:before="0"/>
        <w:ind w:left="0"/>
        <w:rPr>
          <w:rFonts w:cs="Calibri"/>
          <w:lang w:val="sr-Cyrl-CS"/>
        </w:rPr>
      </w:pPr>
      <w:r>
        <w:rPr>
          <w:rStyle w:val="35"/>
          <w:rFonts w:cs="Calibri"/>
          <w:lang w:val="sr-Cyrl-CS"/>
        </w:rPr>
        <w:t>Архив Републике Српске</w:t>
      </w:r>
      <w:r>
        <w:rPr>
          <w:rStyle w:val="31"/>
          <w:rFonts w:cs="Calibri"/>
          <w:b/>
          <w:bCs/>
        </w:rPr>
        <w:footnoteReference w:id="45"/>
      </w:r>
      <w:r>
        <w:rPr>
          <w:rStyle w:val="35"/>
          <w:rFonts w:cs="Calibri"/>
          <w:b w:val="0"/>
          <w:lang w:val="sr-Cyrl-CS"/>
        </w:rPr>
        <w:t xml:space="preserve"> са сједиштем у Бања Луци основан је 1992. године</w:t>
      </w:r>
      <w:r>
        <w:rPr>
          <w:rStyle w:val="35"/>
          <w:rFonts w:cs="Calibri"/>
          <w:b w:val="0"/>
          <w:lang w:val="sr-Cyrl-RS"/>
        </w:rPr>
        <w:t>.</w:t>
      </w:r>
      <w:r>
        <w:rPr>
          <w:rStyle w:val="35"/>
          <w:rFonts w:cs="Calibri"/>
          <w:lang w:val="sr-Cyrl-RS"/>
        </w:rPr>
        <w:t xml:space="preserve"> </w:t>
      </w:r>
      <w:r>
        <w:rPr>
          <w:rFonts w:cs="Calibri"/>
          <w:lang w:val="sr-Cyrl-BA"/>
        </w:rPr>
        <w:t>У његов састав ушли су бивши Архив Босанске Крајине Бања Лука, Регионални архив Добој и Историјски архив Фоча. Поред канцеларија у Добоју и Фочи, дјелују и оне у Зворнику и Требињу од 2001, а у Сокоцу</w:t>
      </w:r>
      <w:r>
        <w:rPr>
          <w:rFonts w:cs="Calibri"/>
          <w:lang w:val="sr-Latn-BA"/>
        </w:rPr>
        <w:t xml:space="preserve"> </w:t>
      </w:r>
      <w:r>
        <w:rPr>
          <w:rFonts w:cs="Calibri"/>
          <w:lang w:val="sr-Cyrl-BA"/>
        </w:rPr>
        <w:t>од 2008. године.</w:t>
      </w:r>
      <w:r>
        <w:rPr>
          <w:rFonts w:cs="Calibri"/>
          <w:bCs/>
          <w:lang w:val="sr-Cyrl-RS"/>
        </w:rPr>
        <w:t xml:space="preserve"> </w:t>
      </w:r>
      <w:r>
        <w:rPr>
          <w:rFonts w:cs="Calibri"/>
          <w:lang w:val="sr-Cyrl-BA"/>
        </w:rPr>
        <w:t xml:space="preserve">Архив </w:t>
      </w:r>
      <w:r>
        <w:rPr>
          <w:rFonts w:cs="Calibri"/>
          <w:lang w:val="sr-Cyrl-RS"/>
        </w:rPr>
        <w:t xml:space="preserve">има </w:t>
      </w:r>
      <w:r>
        <w:rPr>
          <w:rFonts w:cs="Calibri"/>
          <w:lang w:val="sr-Cyrl-BA"/>
        </w:rPr>
        <w:t xml:space="preserve">статус централне установе заштите културних добара која прикупља, штити, чува, сређује, обрађује и даје на коришћење архивску грађу на цјелокупној територији Републике Српске. Архивски фондови и збирке Архива Републике Српске су проглашени националним спомеником Босне и Херцеговине по одлуци донесеној на сједници Комисије за очување националних споменика, одржаној од 16. до 22. јануара 2007. године. Национални споменик чине 24 архивска фонда и збирке. У току је дигитализација архивских фондова. Архивски депои у Бања Луци су потпуно попуњени архивским фондовима и збиркама и немају могућност да приме нову архивску и документарну грађу, те је неопходно изградити нову намјенску зграду Архива Републике Српске у Бања Луци, која би задовољила потребе Архива у наредних 30 година, а исто тако неопходно је да се формира Архив града Бања Луке, односно Историјски архив у Бања Луци. </w:t>
      </w:r>
    </w:p>
    <w:p>
      <w:pPr>
        <w:pStyle w:val="46"/>
        <w:spacing w:before="0"/>
        <w:ind w:left="0"/>
        <w:rPr>
          <w:rFonts w:cs="Calibri"/>
          <w:lang w:val="sr-Cyrl-CS"/>
        </w:rPr>
      </w:pPr>
    </w:p>
    <w:p>
      <w:pPr>
        <w:pStyle w:val="46"/>
        <w:spacing w:before="0"/>
        <w:ind w:left="0"/>
        <w:rPr>
          <w:lang w:val="sr-Cyrl-CS"/>
        </w:rPr>
      </w:pPr>
      <w:r>
        <w:rPr>
          <w:b/>
          <w:lang w:val="sr-Cyrl-CS"/>
        </w:rPr>
        <w:t xml:space="preserve">Академија наука и умјетности </w:t>
      </w:r>
      <w:r>
        <w:rPr>
          <w:b/>
          <w:lang w:val="sr-Cyrl-RS"/>
        </w:rPr>
        <w:t>Р</w:t>
      </w:r>
      <w:r>
        <w:rPr>
          <w:b/>
          <w:lang w:val="sr-Cyrl-CS"/>
        </w:rPr>
        <w:t>епублике Српске</w:t>
      </w:r>
      <w:r>
        <w:rPr>
          <w:rStyle w:val="31"/>
          <w:b/>
          <w:lang w:val="sr-Cyrl-CS"/>
        </w:rPr>
        <w:footnoteReference w:id="46"/>
      </w:r>
      <w:r>
        <w:rPr>
          <w:lang w:val="sr-Cyrl-CS"/>
        </w:rPr>
        <w:t xml:space="preserve"> је највиша научна и умјетничка установа у РС. Основана је 1993 </w:t>
      </w:r>
      <w:r>
        <w:t>i</w:t>
      </w:r>
      <w:r>
        <w:rPr>
          <w:lang w:val="sr-Cyrl-CS"/>
        </w:rPr>
        <w:t xml:space="preserve"> има 76 чланова – 24 редовна, 16 дописних и 36 иностраних. Као самостална научна установа од посебног интереса за РС, Академија подстиче развој свијести о томе да су културно насљеђе, научно и умјетничко стваралаштво стални извор нових сазнања. Она подстиче, организује и координише складан развој фундаменталних и примијењених, интердисциплинарних и мултидисциплинарних истраживања у свим областима науке и умјетности. Академија наука и умјетности Републике Српске смјештена је у властитој, савремено опремљеној згради, површине око 2.500 м</w:t>
      </w:r>
      <w:r>
        <w:rPr>
          <w:vertAlign w:val="superscript"/>
          <w:lang w:val="sr-Cyrl-CS"/>
        </w:rPr>
        <w:t>2</w:t>
      </w:r>
      <w:r>
        <w:rPr>
          <w:lang w:val="sr-Cyrl-CS"/>
        </w:rPr>
        <w:t>, у центру Бање Луке. Зграда је саграђена 1940. за потребе Трговинско-индустријске коморе, а касније је више пута дограђивана. Дио унутрашњости зграде (стубови – колоне) заштићен је као културно-историјски споменик.</w:t>
      </w:r>
      <w:bookmarkStart w:id="44" w:name="_Hlk503474728"/>
      <w:bookmarkStart w:id="45" w:name="_Hlk503512374"/>
    </w:p>
    <w:p>
      <w:pPr>
        <w:pStyle w:val="46"/>
        <w:spacing w:before="0"/>
        <w:ind w:left="0"/>
        <w:rPr>
          <w:rFonts w:cs="Calibri"/>
          <w:b/>
          <w:bCs/>
          <w:lang w:val="sr-Cyrl-RS"/>
        </w:rPr>
      </w:pPr>
    </w:p>
    <w:p>
      <w:pPr>
        <w:pStyle w:val="46"/>
        <w:spacing w:before="0"/>
        <w:ind w:left="0"/>
        <w:rPr>
          <w:rFonts w:cs="Calibri"/>
          <w:lang w:val="sr-Cyrl-RS"/>
        </w:rPr>
      </w:pPr>
      <w:r>
        <w:rPr>
          <w:rFonts w:cs="Calibri"/>
          <w:b/>
          <w:bCs/>
          <w:lang w:val="sr-Cyrl-RS"/>
        </w:rPr>
        <w:t xml:space="preserve">Културно-умјетнички аматеризам. </w:t>
      </w:r>
      <w:bookmarkEnd w:id="44"/>
      <w:r>
        <w:rPr>
          <w:lang w:val="sr-Cyrl-CS"/>
        </w:rPr>
        <w:t xml:space="preserve">Културно-умјетнички аматеризам представља слободно и организовано окупљање грађана око одређених заједничких интереса, програма и програмских циљева. </w:t>
      </w:r>
      <w:r>
        <w:rPr>
          <w:lang w:val="sr-Cyrl-RS"/>
        </w:rPr>
        <w:t>Удружења из области културно – умјетничког аматеризма учествују у очувању културе и традиције народа на овим просторима. Град Бања Лука подржава</w:t>
      </w:r>
      <w:r>
        <w:t> </w:t>
      </w:r>
      <w:r>
        <w:fldChar w:fldCharType="begin"/>
      </w:r>
      <w:r>
        <w:instrText xml:space="preserve"> HYPERLINK "http://www.banjaluka.rs.ba/front/article/13869/" </w:instrText>
      </w:r>
      <w:r>
        <w:fldChar w:fldCharType="separate"/>
      </w:r>
      <w:r>
        <w:rPr>
          <w:rStyle w:val="33"/>
          <w:color w:val="auto"/>
          <w:u w:val="none"/>
          <w:lang w:val="sr-Cyrl-RS"/>
        </w:rPr>
        <w:t>културно-умјетнички аматеризам</w:t>
      </w:r>
      <w:r>
        <w:rPr>
          <w:rStyle w:val="33"/>
          <w:color w:val="auto"/>
          <w:u w:val="none"/>
        </w:rPr>
        <w:t> </w:t>
      </w:r>
      <w:r>
        <w:rPr>
          <w:rStyle w:val="33"/>
          <w:color w:val="auto"/>
          <w:u w:val="none"/>
        </w:rPr>
        <w:fldChar w:fldCharType="end"/>
      </w:r>
      <w:r>
        <w:rPr>
          <w:lang w:val="sr-Cyrl-RS"/>
        </w:rPr>
        <w:t>кроз суфинансирање програмских дјелатности сљедећих удружења</w:t>
      </w:r>
      <w:r>
        <w:rPr>
          <w:b/>
          <w:lang w:val="sr-Cyrl-RS"/>
        </w:rPr>
        <w:t xml:space="preserve"> - </w:t>
      </w:r>
      <w:r>
        <w:rPr>
          <w:rStyle w:val="35"/>
          <w:rFonts w:cs="Calibri"/>
          <w:b w:val="0"/>
          <w:lang w:val="sr-Cyrl-RS"/>
        </w:rPr>
        <w:t xml:space="preserve">девет културно-умјетничких друштава, </w:t>
      </w:r>
      <w:r>
        <w:rPr>
          <w:lang w:val="sr-Cyrl-RS"/>
        </w:rPr>
        <w:t>ч</w:t>
      </w:r>
      <w:r>
        <w:rPr>
          <w:rStyle w:val="35"/>
          <w:rFonts w:cs="Calibri"/>
          <w:b w:val="0"/>
          <w:lang w:val="sr-Cyrl-RS"/>
        </w:rPr>
        <w:t xml:space="preserve">етири пјевачка друштва-хора, </w:t>
      </w:r>
      <w:r>
        <w:rPr>
          <w:lang w:val="sr-Cyrl-RS"/>
        </w:rPr>
        <w:t>д</w:t>
      </w:r>
      <w:r>
        <w:rPr>
          <w:rStyle w:val="35"/>
          <w:rFonts w:cs="Calibri"/>
          <w:b w:val="0"/>
          <w:lang w:val="sr-Cyrl-RS"/>
        </w:rPr>
        <w:t xml:space="preserve">ва тамбурашка оркестра, </w:t>
      </w:r>
      <w:r>
        <w:rPr>
          <w:lang w:val="sr-Cyrl-CS"/>
        </w:rPr>
        <w:t>три</w:t>
      </w:r>
      <w:r>
        <w:rPr>
          <w:rStyle w:val="35"/>
          <w:rFonts w:cs="Calibri"/>
          <w:b w:val="0"/>
          <w:lang w:val="sr-Cyrl-RS"/>
        </w:rPr>
        <w:t xml:space="preserve"> позоришта, и </w:t>
      </w:r>
      <w:r>
        <w:rPr>
          <w:lang w:val="sr-Cyrl-RS"/>
        </w:rPr>
        <w:t>ј</w:t>
      </w:r>
      <w:r>
        <w:rPr>
          <w:rStyle w:val="35"/>
          <w:rFonts w:cs="Calibri"/>
          <w:b w:val="0"/>
          <w:lang w:val="sr-Cyrl-RS"/>
        </w:rPr>
        <w:t>едно завичајно друштво.</w:t>
      </w:r>
      <w:r>
        <w:rPr>
          <w:rStyle w:val="35"/>
          <w:rFonts w:cs="Calibri"/>
          <w:lang w:val="sr-Cyrl-RS"/>
        </w:rPr>
        <w:t xml:space="preserve"> </w:t>
      </w:r>
      <w:r>
        <w:rPr>
          <w:lang w:val="sr-Cyrl-RS"/>
        </w:rPr>
        <w:t xml:space="preserve">Градско позориште Јазавац </w:t>
      </w:r>
      <w:r>
        <w:rPr>
          <w:rStyle w:val="31"/>
        </w:rPr>
        <w:footnoteReference w:id="47"/>
      </w:r>
      <w:r>
        <w:rPr>
          <w:lang w:val="sr-Cyrl-RS"/>
        </w:rPr>
        <w:t xml:space="preserve"> је непрофитна умјетничка организација коју чине млади позоришни умјетници са циљем стварања и оганизовања позоришних и умјетничких догађаја. Јазавац је, захваљујуци писцу и народном трибуну Петру Кочићу, метафора побуне, истине и борбе. Из имена позоришта провирује жеља да се буде критичан (сатиричан) на двосмислен, афористичан начин.</w:t>
      </w:r>
      <w:bookmarkEnd w:id="45"/>
      <w:r>
        <w:rPr>
          <w:rFonts w:cs="Calibri"/>
          <w:lang w:val="sr-Cyrl-RS"/>
        </w:rPr>
        <w:t xml:space="preserve"> </w:t>
      </w:r>
      <w:r>
        <w:rPr>
          <w:rFonts w:cs="Calibri"/>
          <w:lang w:val="ru-RU"/>
        </w:rPr>
        <w:t xml:space="preserve">Основни проблеми који прате област културно – умјетничког аматеризма </w:t>
      </w:r>
      <w:r>
        <w:rPr>
          <w:rFonts w:cs="Calibri"/>
          <w:lang w:val="sr-Cyrl-RS"/>
        </w:rPr>
        <w:t>су</w:t>
      </w:r>
      <w:r>
        <w:rPr>
          <w:rFonts w:cs="Calibri"/>
          <w:lang w:val="ru-RU"/>
        </w:rPr>
        <w:t xml:space="preserve"> недостатак простора за рад једног броја друштава, те нефункционалност објеката у којима поједина друштва обављају своје активности.</w:t>
      </w:r>
    </w:p>
    <w:p>
      <w:pPr>
        <w:jc w:val="both"/>
        <w:rPr>
          <w:color w:val="FF0000"/>
          <w:lang w:val="sr-Cyrl-CS"/>
        </w:rPr>
      </w:pPr>
    </w:p>
    <w:p>
      <w:pPr>
        <w:rPr>
          <w:rFonts w:cs="Calibri"/>
          <w:b/>
          <w:bCs/>
          <w:i/>
          <w:lang w:val="sr-Cyrl-RS"/>
        </w:rPr>
      </w:pPr>
      <w:r>
        <w:rPr>
          <w:rFonts w:cs="Calibri"/>
          <w:b/>
          <w:bCs/>
          <w:i/>
          <w:lang w:val="sr-Cyrl-RS"/>
        </w:rPr>
        <w:t>Кандидатура Бања Луке за европску пријестоницу културе 2024. године</w:t>
      </w:r>
    </w:p>
    <w:p>
      <w:pPr>
        <w:rPr>
          <w:rFonts w:cs="Calibri"/>
          <w:b/>
          <w:bCs/>
          <w:color w:val="FF0000"/>
          <w:lang w:val="sr-Cyrl-RS"/>
        </w:rPr>
      </w:pPr>
    </w:p>
    <w:p>
      <w:pPr>
        <w:spacing w:line="276" w:lineRule="auto"/>
        <w:jc w:val="both"/>
        <w:rPr>
          <w:rFonts w:asciiTheme="minorHAnsi" w:hAnsiTheme="minorHAnsi" w:cstheme="minorHAnsi"/>
          <w:lang w:val="uz-Cyrl-UZ"/>
        </w:rPr>
      </w:pPr>
      <w:r>
        <w:rPr>
          <w:rFonts w:asciiTheme="minorHAnsi" w:hAnsiTheme="minorHAnsi" w:cstheme="minorHAnsi"/>
          <w:lang w:val="uz-Cyrl-UZ"/>
        </w:rPr>
        <w:t xml:space="preserve">Потенцијална кандидатура отвара простор за бројна партнерства и сарадњу на европском нивоу, укључујући и лакши приступ ЕУ фондовима, са акцентом на програм </w:t>
      </w:r>
      <w:r>
        <w:rPr>
          <w:rFonts w:asciiTheme="minorHAnsi" w:hAnsiTheme="minorHAnsi" w:cstheme="minorHAnsi"/>
          <w:i/>
          <w:lang w:val="uz-Cyrl-UZ"/>
        </w:rPr>
        <w:t>Креативна Европа</w:t>
      </w:r>
      <w:r>
        <w:rPr>
          <w:rFonts w:asciiTheme="minorHAnsi" w:hAnsiTheme="minorHAnsi" w:cstheme="minorHAnsi"/>
          <w:lang w:val="uz-Cyrl-UZ"/>
        </w:rPr>
        <w:t>. С обзиром да је Бања Лука град из земље кандидата/потенцијалног кандидата за ЕУ, то значи да овим пројектом не аплицира за средства, него прави план развоја и трансформације Бања Луке. Циљ програма је довести до системских рјешења путем којих би градови, али и институције, јавне установе културе, организације, компаније и појединци који дјелују на пољу културе, направили такве промјене које би довеле до одрживих културних активности и културе као центра и катализатора тих промјена. Бања Лука, за разлику од осталих градова у окружењу, је у знатној предности, јер је тим који ради на апликацији задужен и за рад на Стратегији развоја културе Града Бања Лука 2018-2028.</w:t>
      </w:r>
    </w:p>
    <w:p>
      <w:pPr>
        <w:spacing w:line="276" w:lineRule="auto"/>
        <w:jc w:val="both"/>
        <w:rPr>
          <w:rFonts w:asciiTheme="minorHAnsi" w:hAnsiTheme="minorHAnsi" w:cstheme="minorHAnsi"/>
          <w:lang w:val="uz-Cyrl-UZ"/>
        </w:rPr>
      </w:pPr>
    </w:p>
    <w:p>
      <w:pPr>
        <w:spacing w:line="276" w:lineRule="auto"/>
        <w:jc w:val="both"/>
        <w:rPr>
          <w:rFonts w:asciiTheme="minorHAnsi" w:hAnsiTheme="minorHAnsi" w:cstheme="minorHAnsi"/>
          <w:lang w:val="uz-Cyrl-UZ"/>
        </w:rPr>
      </w:pPr>
      <w:r>
        <w:rPr>
          <w:rFonts w:asciiTheme="minorHAnsi" w:hAnsiTheme="minorHAnsi" w:cstheme="minorHAnsi"/>
          <w:lang w:val="uz-Cyrl-UZ"/>
        </w:rPr>
        <w:t>Имајући у виду да први критеријум приликом оцјене апликације гласи: “Допринос дугорочној Стратегији развоја културе”, у оквиру њега, задатак тима који ради на апликацији је, комисији која ће оцјењивати апликацију у Бриселу, предочити планове за јачање капацитета културног и креативног сектора, као и развој дугорочних веза између културног, привредног и друштвеног сектора. Такође, оно што се мора урадити јесте изабрати кључне проблеме и изазове, те циљеве који ће се рјешавати Стратегијом и њих затим уврстити у саму апликацију. Проблема је много и не могу се сви адресирати, али могу они најважнији, те ће исти бити дио пројекта. Додатни услов, можда и најважнији, јесте пораст буџета за културу на нивоу Града, и то од оног тренутка када се објави намјера о кандидатури.</w:t>
      </w:r>
    </w:p>
    <w:p>
      <w:pPr>
        <w:spacing w:line="276" w:lineRule="auto"/>
        <w:jc w:val="both"/>
        <w:rPr>
          <w:rFonts w:asciiTheme="minorHAnsi" w:hAnsiTheme="minorHAnsi" w:cstheme="minorHAnsi"/>
          <w:lang w:val="uz-Cyrl-UZ"/>
        </w:rPr>
      </w:pPr>
    </w:p>
    <w:p>
      <w:pPr>
        <w:spacing w:line="276" w:lineRule="auto"/>
        <w:jc w:val="both"/>
        <w:rPr>
          <w:rFonts w:asciiTheme="minorHAnsi" w:hAnsiTheme="minorHAnsi" w:cstheme="minorHAnsi"/>
          <w:lang w:val="sr-Cyrl-BA"/>
        </w:rPr>
      </w:pPr>
      <w:r>
        <w:rPr>
          <w:rFonts w:asciiTheme="minorHAnsi" w:hAnsiTheme="minorHAnsi" w:cstheme="minorHAnsi"/>
          <w:lang w:val="uz-Cyrl-UZ"/>
        </w:rPr>
        <w:t xml:space="preserve">С обзиром на спроведена истарживања, тим који ради на кандидатури и изради Стратегије </w:t>
      </w:r>
      <w:r>
        <w:rPr>
          <w:rFonts w:asciiTheme="minorHAnsi" w:hAnsiTheme="minorHAnsi" w:cstheme="minorHAnsi"/>
          <w:lang w:val="sr-Cyrl-BA"/>
        </w:rPr>
        <w:t>је издвојио неколико циљева који ће бити дио документа Стратегије развоја културе Бања Луке 2018-2028., попут:</w:t>
      </w:r>
    </w:p>
    <w:p>
      <w:pPr>
        <w:pStyle w:val="46"/>
        <w:numPr>
          <w:ilvl w:val="0"/>
          <w:numId w:val="16"/>
        </w:numPr>
        <w:rPr>
          <w:rFonts w:asciiTheme="minorHAnsi" w:hAnsiTheme="minorHAnsi" w:cstheme="minorHAnsi"/>
          <w:b/>
          <w:i/>
          <w:lang w:val="sr-Cyrl-BA"/>
        </w:rPr>
      </w:pPr>
      <w:r>
        <w:rPr>
          <w:rFonts w:asciiTheme="minorHAnsi" w:hAnsiTheme="minorHAnsi" w:cstheme="minorHAnsi"/>
          <w:b/>
          <w:i/>
          <w:lang w:val="sr-Cyrl-BA"/>
        </w:rPr>
        <w:t xml:space="preserve">Успостављен система транспарентне културне политике - </w:t>
      </w:r>
      <w:r>
        <w:rPr>
          <w:rFonts w:asciiTheme="minorHAnsi" w:hAnsiTheme="minorHAnsi" w:cstheme="minorHAnsi"/>
          <w:lang w:val="sr-Cyrl-BA"/>
        </w:rPr>
        <w:t xml:space="preserve">подразумијева стварање једног система при Граду Бања Лука који ће бити отворен, јаван и транспарентан у смислу да би се буџетска средства требала дијелити искључиво путем јавних конкурса, а на основу јасно дефинисаних критеријума; овдје такође говоримо и о редефинисању постојећих конкурса, висине износа средстава која се по конкурсу додјељују и слично. </w:t>
      </w:r>
    </w:p>
    <w:p>
      <w:pPr>
        <w:pStyle w:val="46"/>
        <w:numPr>
          <w:ilvl w:val="0"/>
          <w:numId w:val="16"/>
        </w:numPr>
        <w:rPr>
          <w:rFonts w:asciiTheme="minorHAnsi" w:hAnsiTheme="minorHAnsi" w:cstheme="minorHAnsi"/>
          <w:b/>
          <w:i/>
          <w:lang w:val="sr-Cyrl-BA"/>
        </w:rPr>
      </w:pPr>
      <w:r>
        <w:rPr>
          <w:rFonts w:asciiTheme="minorHAnsi" w:hAnsiTheme="minorHAnsi" w:cstheme="minorHAnsi"/>
          <w:b/>
          <w:i/>
          <w:lang w:val="sr-Cyrl-BA"/>
        </w:rPr>
        <w:t xml:space="preserve">Развој публике </w:t>
      </w:r>
      <w:r>
        <w:rPr>
          <w:rFonts w:asciiTheme="minorHAnsi" w:hAnsiTheme="minorHAnsi" w:cstheme="minorHAnsi"/>
          <w:lang w:val="sr-Cyrl-BA"/>
        </w:rPr>
        <w:t>- успостављањем чврстог односа између културе и образовања (формалног, неформалног, цјеложивотног и слично); увођењем разних едукативних програма који би у будућности били интегрални дио пројеката са којима се аплицира за средства из јавног (градског) буџета; покретање разних облика медијацијских и анимацијских пројеката као новог стандарда у култури и слично.</w:t>
      </w:r>
    </w:p>
    <w:p>
      <w:pPr>
        <w:jc w:val="both"/>
        <w:rPr>
          <w:lang w:val="sr-Cyrl-CS"/>
        </w:rPr>
      </w:pPr>
    </w:p>
    <w:tbl>
      <w:tblPr>
        <w:tblStyle w:val="36"/>
        <w:tblW w:w="9360"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3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PrEx>
        <w:trPr>
          <w:trHeight w:val="95" w:hRule="atLeast"/>
          <w:jc w:val="center"/>
        </w:trPr>
        <w:tc>
          <w:tcPr>
            <w:tcW w:w="9360" w:type="dxa"/>
            <w:shd w:val="clear" w:color="auto" w:fill="C5E0B3" w:themeFill="accent6" w:themeFillTint="66"/>
          </w:tcPr>
          <w:p>
            <w:pPr>
              <w:jc w:val="both"/>
              <w:rPr>
                <w:rFonts w:ascii="Calibri Light" w:hAnsi="Calibri Light" w:eastAsia="Times New Roman"/>
                <w:bCs/>
                <w:iCs/>
                <w:color w:val="7030A0"/>
                <w:lang w:val="sr-Cyrl-RS"/>
              </w:rPr>
            </w:pPr>
            <w:r>
              <w:rPr>
                <w:rFonts w:eastAsia="Times New Roman"/>
                <w:bCs/>
                <w:i/>
                <w:kern w:val="32"/>
                <w:lang w:val="sr-Cyrl-RS"/>
              </w:rPr>
              <w:t>Као  регионални културни центар, град Бања Лука има значајне могућности за развој културе, а нарочито у дијелу културне дипломатије – промовисања сопствене културне баштине и размјене на међунароном нивоу, у великом броју области. Унапређење културе је један од кључних стратешких фокуса Града, што се огледа кроз бројне активности, нарочито у посљедњих неколико година: ревитализацију тврђаве Кастел, кандидатуру за Европску престоницу културе 2024. године, обогаћивање културних садржаја, промоцију и даљи развој Банског двора, те подршку великом броју културно-умјетничких друштава и организација које су активне на територији града Бања Лука.</w:t>
            </w:r>
          </w:p>
        </w:tc>
      </w:tr>
    </w:tbl>
    <w:p/>
    <w:p/>
    <w:p/>
    <w:p>
      <w:pPr>
        <w:pStyle w:val="5"/>
      </w:pPr>
      <w:bookmarkStart w:id="46" w:name="_Toc508060561"/>
      <w:bookmarkStart w:id="47" w:name="_Toc526170591"/>
      <w:r>
        <w:t>IV.1.5.3. Спорт</w:t>
      </w:r>
      <w:bookmarkEnd w:id="46"/>
      <w:bookmarkEnd w:id="47"/>
      <w:r>
        <w:t xml:space="preserve">  </w:t>
      </w:r>
    </w:p>
    <w:p>
      <w:pPr>
        <w:rPr>
          <w:lang w:val="sr-Cyrl-RS"/>
        </w:rPr>
      </w:pPr>
    </w:p>
    <w:p>
      <w:pPr>
        <w:jc w:val="both"/>
        <w:rPr>
          <w:lang w:val="sr-Cyrl-RS"/>
        </w:rPr>
      </w:pPr>
      <w:r>
        <w:t>Град Бања Лука одувијек је био препознатљив као град спорта и младих који има дугу спортску традицију. Завидне успјехе на спортским такмичењима постизали су и бањалучки спортисти који су свом граду подарили 13 медаља са Олимпијских игара (8 златних, 1 сребрна и 4 бронзане медаље) и 15 медаља са Свјетских првенстава, и низ медаља са других првенстава и међународних такмичења. Град Бања Лука се својим олимпијским побједницима одужио - једна од најљепших улица у граду названа је улицом Олимпијских побједника, а у СД „Борик“</w:t>
      </w:r>
      <w:r>
        <w:rPr>
          <w:lang w:val="sr-Cyrl-RS"/>
        </w:rPr>
        <w:t xml:space="preserve"> </w:t>
      </w:r>
      <w:r>
        <w:t>подигнут је олимпијски славолук. </w:t>
      </w:r>
    </w:p>
    <w:p>
      <w:pPr>
        <w:jc w:val="both"/>
      </w:pPr>
    </w:p>
    <w:p>
      <w:pPr>
        <w:jc w:val="both"/>
        <w:rPr>
          <w:shd w:val="clear" w:color="auto" w:fill="FFFFFF"/>
          <w:lang w:val="sr-Cyrl-RS"/>
        </w:rPr>
      </w:pPr>
      <w:r>
        <w:t>Законом о спорт</w:t>
      </w:r>
      <w:r>
        <w:rPr>
          <w:lang w:val="sr-Cyrl-RS"/>
        </w:rPr>
        <w:t>у</w:t>
      </w:r>
      <w:r>
        <w:t xml:space="preserve"> је дефинисано да је спорт у Републици Српској дјелатност од општег интереса, а остварује се доношењем и реализацијом програма развоја спорта.</w:t>
      </w:r>
      <w:r>
        <w:rPr>
          <w:lang w:val="sr-Cyrl-RS"/>
        </w:rPr>
        <w:t xml:space="preserve"> Град Бања Лука је усвојио  </w:t>
      </w:r>
      <w:r>
        <w:rPr>
          <w:i/>
          <w:lang w:val="sr-Cyrl-RS"/>
        </w:rPr>
        <w:t>Програм развоја спорта града Бања Лука за период 2018-2022</w:t>
      </w:r>
      <w:r>
        <w:rPr>
          <w:lang w:val="sr-Cyrl-RS"/>
        </w:rPr>
        <w:t xml:space="preserve">. године. </w:t>
      </w:r>
      <w:r>
        <w:rPr>
          <w:shd w:val="clear" w:color="auto" w:fill="FFFFFF"/>
          <w:lang w:val="sr-Cyrl-RS"/>
        </w:rPr>
        <w:t>Један од најважнијих дијелова програма јесте нови начин суфинансирања програмских активности спортских организација кроз основни, посебни и допунски програм финансирања. Вредновање спортских резултата у складу са наведеним програмом прате нови критеријуми и бодовање ради класификације спортских организација унутар категорисаних спортова, који су разрађени на начин да у великој мјери буду једнаки за све спортске организације које се баве организованим такмичарским спортом. Такође, вредновање спортских резултата кроз наведене програме вршиће се и у спортским организацијама лица са инвалидитетом.</w:t>
      </w:r>
    </w:p>
    <w:p>
      <w:pPr>
        <w:jc w:val="both"/>
        <w:rPr>
          <w:shd w:val="clear" w:color="auto" w:fill="FFFFFF"/>
          <w:lang w:val="sr-Cyrl-RS"/>
        </w:rPr>
      </w:pPr>
    </w:p>
    <w:p>
      <w:pPr>
        <w:jc w:val="both"/>
        <w:rPr>
          <w:lang w:val="sr-Cyrl-RS"/>
        </w:rPr>
      </w:pPr>
      <w:r>
        <w:rPr>
          <w:shd w:val="clear" w:color="auto" w:fill="FFFFFF"/>
          <w:lang w:val="sr-Cyrl-RS"/>
        </w:rPr>
        <w:t xml:space="preserve">Новина предвиђена Програмом развоја спорта је да се, по први пут у Бања Луци, прописује категоризација спортиста која има за циљ вредновање спортских резултата ради додјеле стипендија категорисаним спортистима, јер се кроз системска рјешења жели дати пуна подршка спортистима и њиховом даљем усавршавању.  Битно је напоменути и остале дијелове организације спорта који су обухваћени Програмом, а допринијеће уређењу система спорта у граду, то су: спортска такмичења и манифестације од посебног значаја за град; увођење информационог система ради умрежавања спортских организација које се баве организованим такмичарским спортом; жене у спорту; континуирана обука и образовање у спорту; медији и спорт; проблеми организације и финансирања спорта. </w:t>
      </w:r>
    </w:p>
    <w:p>
      <w:pPr>
        <w:jc w:val="both"/>
        <w:rPr>
          <w:shd w:val="clear" w:color="auto" w:fill="FFFFFF"/>
          <w:lang w:val="sr-Cyrl-RS"/>
        </w:rPr>
      </w:pPr>
    </w:p>
    <w:p>
      <w:pPr>
        <w:jc w:val="both"/>
        <w:rPr>
          <w:shd w:val="clear" w:color="auto" w:fill="FFFFFF"/>
          <w:lang w:val="sr-Cyrl-RS"/>
        </w:rPr>
      </w:pPr>
      <w:r>
        <w:rPr>
          <w:shd w:val="clear" w:color="auto" w:fill="FFFFFF"/>
          <w:lang w:val="sr-Cyrl-RS"/>
        </w:rPr>
        <w:t xml:space="preserve">Важан дио Програма, којим ће се реализовати други стратешки приоритет, јесте пројекат ”Спорт доступан дјеци” у оквиру којег ће Градска управа суфинансирати, одређени број чланарина спортиста у нижим узрасним категоријама у спортовима прве и друге категорије, а све са циљем укључивања што већег броја дјеце у спортске активности. </w:t>
      </w:r>
    </w:p>
    <w:p>
      <w:pPr>
        <w:jc w:val="both"/>
        <w:rPr>
          <w:lang w:val="sr-Cyrl-RS"/>
        </w:rPr>
      </w:pPr>
    </w:p>
    <w:p>
      <w:pPr>
        <w:shd w:val="clear" w:color="auto" w:fill="C5E0B3" w:themeFill="accent6" w:themeFillTint="66"/>
        <w:jc w:val="both"/>
        <w:rPr>
          <w:i/>
          <w:shd w:val="clear" w:color="auto" w:fill="FFFFFF"/>
          <w:lang w:val="sr-Cyrl-RS"/>
        </w:rPr>
      </w:pPr>
      <w:r>
        <w:rPr>
          <w:b/>
          <w:i/>
          <w:shd w:val="clear" w:color="auto" w:fill="C5E0B3" w:themeFill="accent6" w:themeFillTint="66"/>
          <w:lang w:val="sr-Cyrl-RS"/>
        </w:rPr>
        <w:t>Град Бања Лука – Европски град спорта</w:t>
      </w:r>
      <w:r>
        <w:rPr>
          <w:i/>
          <w:shd w:val="clear" w:color="auto" w:fill="C5E0B3" w:themeFill="accent6" w:themeFillTint="66"/>
          <w:lang w:val="sr-Cyrl-RS"/>
        </w:rPr>
        <w:t>. Град је добио статус европског града спорта децембра 2017. године у Бриселу, као један од као један од 23 европска града који су се окитили овим престижним признањем, намијењеним популаризацији бављења спортом. Бања Лука је једини град из БиХ који се окитио овом титулом и уједно једини ван Европске уније који ће носити овај назив у 2018. години. Захваљујући овом признању, Град Бања Лука ће  дати додатни вјетар у леђа недавно усвојеном Програму развоја спорта на подручју града, којим се у први план ставља развој спорта међу дјецом школског узраста.</w:t>
      </w:r>
      <w:r>
        <w:rPr>
          <w:i/>
          <w:shd w:val="clear" w:color="auto" w:fill="FFFFFF"/>
          <w:lang w:val="sr-Cyrl-RS"/>
        </w:rPr>
        <w:t xml:space="preserve"> </w:t>
      </w:r>
    </w:p>
    <w:p>
      <w:pPr>
        <w:jc w:val="both"/>
        <w:rPr>
          <w:lang w:val="sr-Cyrl-RS"/>
        </w:rPr>
      </w:pPr>
    </w:p>
    <w:p>
      <w:pPr>
        <w:jc w:val="both"/>
        <w:rPr>
          <w:shd w:val="clear" w:color="auto" w:fill="FFFFFF"/>
          <w:lang w:val="sr-Cyrl-RS"/>
        </w:rPr>
      </w:pPr>
      <w:r>
        <w:rPr>
          <w:shd w:val="clear" w:color="auto" w:fill="FFFFFF"/>
          <w:lang w:val="sr-Cyrl-RS"/>
        </w:rPr>
        <w:t xml:space="preserve">Кроз реализацију пројекта (признање) ''Европски град спорта'', Град Бања Лука ће унаприједити систем школског спорта и школских спортских секција, а као коначни циљ и излазни резултат је повећања бављења спортом и повећање физичке активности дјеце која се не баве организованим спортским активностима. </w:t>
      </w:r>
    </w:p>
    <w:p>
      <w:pPr>
        <w:jc w:val="both"/>
        <w:rPr>
          <w:lang w:val="sr-Cyrl-RS"/>
        </w:rPr>
      </w:pPr>
    </w:p>
    <w:p>
      <w:pPr>
        <w:jc w:val="both"/>
        <w:rPr>
          <w:shd w:val="clear" w:color="auto" w:fill="FFFFFF"/>
          <w:lang w:val="sr-Cyrl-RS"/>
        </w:rPr>
      </w:pPr>
      <w:r>
        <w:rPr>
          <w:b/>
          <w:i/>
          <w:lang w:val="sr-Cyrl-RS"/>
        </w:rPr>
        <w:t>Развоја спорта кроз школске спортске секције</w:t>
      </w:r>
      <w:r>
        <w:rPr>
          <w:lang w:val="sr-Cyrl-RS"/>
        </w:rPr>
        <w:t xml:space="preserve"> је потпуно бесплатан за дјецу и као такав ће се реализовати у друштву њихових вршњака. Наравно, неопходан је стручни приступ, у складу са важећим законским нормама.</w:t>
      </w:r>
    </w:p>
    <w:p>
      <w:pPr>
        <w:pStyle w:val="54"/>
        <w:ind w:left="426" w:hanging="426"/>
        <w:jc w:val="center"/>
        <w:rPr>
          <w:i/>
          <w:lang w:val="sr-Cyrl-RS"/>
        </w:rPr>
      </w:pPr>
    </w:p>
    <w:p>
      <w:pPr>
        <w:pStyle w:val="54"/>
        <w:jc w:val="both"/>
        <w:rPr>
          <w:lang w:val="sr-Cyrl-RS"/>
        </w:rPr>
      </w:pPr>
      <w:r>
        <w:rPr>
          <w:b/>
          <w:i/>
          <w:lang w:val="sr-Cyrl-RS"/>
        </w:rPr>
        <w:t xml:space="preserve">Спорт у школи. </w:t>
      </w:r>
      <w:r>
        <w:rPr>
          <w:lang w:val="sr-Cyrl-RS"/>
        </w:rPr>
        <w:t xml:space="preserve">У изабраним школама Града Бања Лука обезбјеђују се термини за одржавање Плана и програма Пројекта радним даном у времену од 18,40 до 20,00 часова.  Акценат пројекта је на популаризацији физичке активности код што већег броја дјеце. Из тога разлога нису приоритет ученици који већ учествују у школским секцијама, те су активни чланови спортских клубова, већ управо ученици који се са спортом сусрећу само на основним часовима физичког васпитања. </w:t>
      </w:r>
    </w:p>
    <w:p>
      <w:pPr>
        <w:pStyle w:val="54"/>
        <w:jc w:val="both"/>
        <w:rPr>
          <w:lang w:val="sr-Cyrl-RS"/>
        </w:rPr>
      </w:pPr>
    </w:p>
    <w:p>
      <w:pPr>
        <w:jc w:val="both"/>
        <w:rPr>
          <w:shd w:val="clear" w:color="auto" w:fill="FFFFFF"/>
          <w:lang w:val="sr-Cyrl-RS"/>
        </w:rPr>
      </w:pPr>
      <w:r>
        <w:rPr>
          <w:b/>
          <w:i/>
          <w:shd w:val="clear" w:color="auto" w:fill="FFFFFF"/>
          <w:lang w:val="sr-Cyrl-RS"/>
        </w:rPr>
        <w:t>Мале олимпијске игре.</w:t>
      </w:r>
      <w:r>
        <w:rPr>
          <w:b/>
          <w:shd w:val="clear" w:color="auto" w:fill="FFFFFF"/>
          <w:lang w:val="sr-Cyrl-RS"/>
        </w:rPr>
        <w:t xml:space="preserve"> </w:t>
      </w:r>
      <w:r>
        <w:rPr>
          <w:shd w:val="clear" w:color="auto" w:fill="FFFFFF"/>
          <w:lang w:val="sr-Cyrl-RS"/>
        </w:rPr>
        <w:t xml:space="preserve">Градска управа даје пун допринос организацији Малих олимпијских игара Републике Српске и једина је јединица локалне самоуправе која организује лига такмичења на градском нивоу за све основне и средње школе у одбојци, кошарци, рукомету, малом фудбалу, атлетици и гимнастици. </w:t>
      </w:r>
    </w:p>
    <w:p>
      <w:pPr>
        <w:jc w:val="both"/>
        <w:rPr>
          <w:shd w:val="clear" w:color="auto" w:fill="FFFFFF"/>
          <w:lang w:val="sr-Cyrl-RS"/>
        </w:rPr>
      </w:pPr>
    </w:p>
    <w:p>
      <w:pPr>
        <w:shd w:val="clear" w:color="auto" w:fill="FFFFFF"/>
        <w:jc w:val="both"/>
        <w:rPr>
          <w:lang w:val="sr-Latn-CS"/>
        </w:rPr>
      </w:pPr>
      <w:r>
        <w:rPr>
          <w:b/>
          <w:lang w:val="sr-Cyrl-RS"/>
        </w:rPr>
        <w:t xml:space="preserve">Финансирање спорта. </w:t>
      </w:r>
      <w:r>
        <w:rPr>
          <w:lang w:val="sr-Cyrl-RS"/>
        </w:rPr>
        <w:t xml:space="preserve">На </w:t>
      </w:r>
      <w:r>
        <w:t>нивоу Града Бања Лука</w:t>
      </w:r>
      <w:r>
        <w:rPr>
          <w:lang w:val="sr-Cyrl-RS"/>
        </w:rPr>
        <w:t>, финансирање спорт,</w:t>
      </w:r>
      <w:r>
        <w:t xml:space="preserve"> </w:t>
      </w:r>
      <w:r>
        <w:rPr>
          <w:lang w:val="sr-Cyrl-RS"/>
        </w:rPr>
        <w:t>спроводи</w:t>
      </w:r>
      <w:r>
        <w:t xml:space="preserve"> се из буџета Града, под условима дефинисаних Законом о спорту и Законом о локалној самоуправи. Одјељење за образовање, здравство, омладину и спорт је орган</w:t>
      </w:r>
      <w:r>
        <w:rPr>
          <w:lang w:val="sr-Cyrl-RS"/>
        </w:rPr>
        <w:t>изациона јединица</w:t>
      </w:r>
      <w:r>
        <w:t xml:space="preserve"> Градске управе који је задужен</w:t>
      </w:r>
      <w:r>
        <w:rPr>
          <w:lang w:val="sr-Cyrl-RS"/>
        </w:rPr>
        <w:t>а</w:t>
      </w:r>
      <w:r>
        <w:t xml:space="preserve"> за област спорта. Стратешко опредељење за финансирање спорта у Граду Бања Лука је суфинансирање програмских активности и дјелатности спортских организација и других организација у области спорт кроз основни, посебни и допунски програм финансирања спорта.</w:t>
      </w:r>
      <w:r>
        <w:rPr>
          <w:lang w:val="sr-Cyrl-RS"/>
        </w:rPr>
        <w:t xml:space="preserve"> Преглед финансирања спорта у граду Бања Лука у периоду 2012-2016. године, дат је у сљедећој табели:</w:t>
      </w:r>
    </w:p>
    <w:p>
      <w:pPr>
        <w:shd w:val="clear" w:color="auto" w:fill="FFFFFF"/>
        <w:jc w:val="both"/>
        <w:rPr>
          <w:lang w:val="sr-Latn-CS"/>
        </w:rPr>
      </w:pPr>
    </w:p>
    <w:p>
      <w:pPr>
        <w:shd w:val="clear" w:color="auto" w:fill="FFFFFF"/>
        <w:jc w:val="both"/>
        <w:rPr>
          <w:lang w:val="sr-Latn-CS"/>
        </w:rPr>
      </w:pPr>
    </w:p>
    <w:p>
      <w:pPr>
        <w:jc w:val="both"/>
        <w:rPr>
          <w:lang w:val="sr-Cyrl-RS"/>
        </w:rPr>
      </w:pPr>
    </w:p>
    <w:tbl>
      <w:tblPr>
        <w:tblStyle w:val="36"/>
        <w:tblW w:w="935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64"/>
        <w:gridCol w:w="1557"/>
        <w:gridCol w:w="1343"/>
        <w:gridCol w:w="595"/>
        <w:gridCol w:w="1343"/>
        <w:gridCol w:w="1296"/>
        <w:gridCol w:w="1388"/>
        <w:gridCol w:w="86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5" w:hRule="atLeast"/>
        </w:trPr>
        <w:tc>
          <w:tcPr>
            <w:tcW w:w="964" w:type="dxa"/>
            <w:vMerge w:val="restart"/>
            <w:tcBorders>
              <w:top w:val="single" w:color="FFFFFF" w:sz="4" w:space="0"/>
              <w:left w:val="single" w:color="FFFFFF" w:sz="4" w:space="0"/>
              <w:bottom w:val="single" w:color="FFFFFF" w:sz="4" w:space="0"/>
              <w:right w:val="nil"/>
            </w:tcBorders>
            <w:shd w:val="clear" w:color="auto" w:fill="385623" w:themeFill="accent6" w:themeFillShade="80"/>
            <w:vAlign w:val="center"/>
          </w:tcPr>
          <w:p>
            <w:pPr>
              <w:jc w:val="center"/>
              <w:rPr>
                <w:b/>
                <w:bCs/>
                <w:color w:val="FFFFFF"/>
                <w:sz w:val="20"/>
                <w:szCs w:val="20"/>
                <w:lang w:val="sr-Cyrl-RS"/>
              </w:rPr>
            </w:pPr>
            <w:r>
              <w:rPr>
                <w:b/>
                <w:bCs/>
                <w:color w:val="FFFFFF"/>
                <w:sz w:val="20"/>
                <w:szCs w:val="20"/>
                <w:lang w:val="sr-Cyrl-RS"/>
              </w:rPr>
              <w:t>Период</w:t>
            </w:r>
          </w:p>
          <w:p>
            <w:pPr>
              <w:jc w:val="center"/>
              <w:rPr>
                <w:b/>
                <w:bCs/>
                <w:color w:val="FFFFFF"/>
                <w:sz w:val="20"/>
                <w:szCs w:val="20"/>
                <w:lang w:val="sr-Cyrl-RS"/>
              </w:rPr>
            </w:pPr>
          </w:p>
        </w:tc>
        <w:tc>
          <w:tcPr>
            <w:tcW w:w="1557" w:type="dxa"/>
            <w:vMerge w:val="restart"/>
            <w:tcBorders>
              <w:top w:val="single" w:color="FFFFFF" w:sz="4" w:space="0"/>
              <w:left w:val="nil"/>
              <w:bottom w:val="single" w:color="FFFFFF" w:sz="4" w:space="0"/>
              <w:right w:val="nil"/>
            </w:tcBorders>
            <w:shd w:val="clear" w:color="auto" w:fill="385623" w:themeFill="accent6" w:themeFillShade="80"/>
            <w:vAlign w:val="center"/>
          </w:tcPr>
          <w:p>
            <w:pPr>
              <w:jc w:val="center"/>
              <w:rPr>
                <w:b/>
                <w:bCs/>
                <w:color w:val="FFFFFF"/>
                <w:sz w:val="20"/>
                <w:szCs w:val="20"/>
                <w:lang w:val="sr-Cyrl-RS"/>
              </w:rPr>
            </w:pPr>
            <w:r>
              <w:rPr>
                <w:b/>
                <w:bCs/>
                <w:color w:val="FFFFFF"/>
                <w:sz w:val="20"/>
                <w:szCs w:val="20"/>
                <w:lang w:val="sr-Cyrl-RS"/>
              </w:rPr>
              <w:t>Средства буџета</w:t>
            </w:r>
          </w:p>
        </w:tc>
        <w:tc>
          <w:tcPr>
            <w:tcW w:w="1938" w:type="dxa"/>
            <w:gridSpan w:val="2"/>
            <w:tcBorders>
              <w:top w:val="single" w:color="FFFFFF" w:sz="4" w:space="0"/>
              <w:left w:val="nil"/>
              <w:bottom w:val="single" w:color="FFFFFF" w:sz="4" w:space="0"/>
              <w:right w:val="nil"/>
            </w:tcBorders>
            <w:shd w:val="clear" w:color="auto" w:fill="385623" w:themeFill="accent6" w:themeFillShade="80"/>
          </w:tcPr>
          <w:p>
            <w:pPr>
              <w:jc w:val="center"/>
              <w:rPr>
                <w:b/>
                <w:bCs/>
                <w:color w:val="FFFFFF"/>
                <w:sz w:val="20"/>
                <w:szCs w:val="20"/>
              </w:rPr>
            </w:pPr>
            <w:r>
              <w:rPr>
                <w:b/>
                <w:bCs/>
                <w:color w:val="FFFFFF"/>
                <w:sz w:val="20"/>
                <w:szCs w:val="20"/>
                <w:lang w:val="sr-Cyrl-RS"/>
              </w:rPr>
              <w:t>Непосредно планирано средстава за спорт</w:t>
            </w:r>
          </w:p>
        </w:tc>
        <w:tc>
          <w:tcPr>
            <w:tcW w:w="2639" w:type="dxa"/>
            <w:gridSpan w:val="2"/>
            <w:tcBorders>
              <w:top w:val="single" w:color="FFFFFF" w:sz="4" w:space="0"/>
              <w:left w:val="nil"/>
              <w:bottom w:val="single" w:color="FFFFFF" w:sz="4" w:space="0"/>
              <w:right w:val="nil"/>
            </w:tcBorders>
            <w:shd w:val="clear" w:color="auto" w:fill="385623" w:themeFill="accent6" w:themeFillShade="80"/>
          </w:tcPr>
          <w:p>
            <w:pPr>
              <w:jc w:val="center"/>
              <w:rPr>
                <w:b/>
                <w:bCs/>
                <w:color w:val="FFFFFF"/>
                <w:sz w:val="20"/>
                <w:szCs w:val="20"/>
              </w:rPr>
            </w:pPr>
            <w:r>
              <w:rPr>
                <w:b/>
                <w:bCs/>
                <w:color w:val="FFFFFF"/>
                <w:sz w:val="20"/>
                <w:szCs w:val="20"/>
                <w:lang w:val="sr-Cyrl-RS"/>
              </w:rPr>
              <w:t>Непосредно планирано средстава за спорт</w:t>
            </w:r>
          </w:p>
        </w:tc>
        <w:tc>
          <w:tcPr>
            <w:tcW w:w="1388" w:type="dxa"/>
            <w:vMerge w:val="restart"/>
            <w:tcBorders>
              <w:top w:val="single" w:color="FFFFFF" w:sz="4" w:space="0"/>
              <w:left w:val="nil"/>
              <w:bottom w:val="single" w:color="FFFFFF" w:sz="4" w:space="0"/>
              <w:right w:val="nil"/>
            </w:tcBorders>
            <w:shd w:val="clear" w:color="auto" w:fill="385623" w:themeFill="accent6" w:themeFillShade="80"/>
            <w:vAlign w:val="center"/>
          </w:tcPr>
          <w:p>
            <w:pPr>
              <w:jc w:val="center"/>
              <w:rPr>
                <w:b/>
                <w:bCs/>
                <w:color w:val="FFFFFF"/>
                <w:sz w:val="20"/>
                <w:szCs w:val="20"/>
                <w:lang w:val="sr-Cyrl-RS"/>
              </w:rPr>
            </w:pPr>
            <w:r>
              <w:rPr>
                <w:b/>
                <w:bCs/>
                <w:color w:val="FFFFFF"/>
                <w:sz w:val="20"/>
                <w:szCs w:val="20"/>
                <w:lang w:val="sr-Cyrl-RS"/>
              </w:rPr>
              <w:t>УКУПНО</w:t>
            </w:r>
          </w:p>
        </w:tc>
        <w:tc>
          <w:tcPr>
            <w:tcW w:w="869" w:type="dxa"/>
            <w:vMerge w:val="restart"/>
            <w:tcBorders>
              <w:top w:val="single" w:color="FFFFFF" w:sz="4" w:space="0"/>
              <w:left w:val="nil"/>
              <w:bottom w:val="single" w:color="FFFFFF" w:sz="4" w:space="0"/>
              <w:right w:val="single" w:color="FFFFFF" w:sz="4" w:space="0"/>
            </w:tcBorders>
            <w:shd w:val="clear" w:color="auto" w:fill="385623" w:themeFill="accent6" w:themeFillShade="80"/>
            <w:vAlign w:val="center"/>
          </w:tcPr>
          <w:p>
            <w:pPr>
              <w:jc w:val="center"/>
              <w:rPr>
                <w:b/>
                <w:bCs/>
                <w:color w:val="FFFFFF"/>
                <w:sz w:val="20"/>
                <w:szCs w:val="20"/>
                <w:lang w:val="sr-Cyrl-RS"/>
              </w:rPr>
            </w:pPr>
            <w:r>
              <w:rPr>
                <w:b/>
                <w:bCs/>
                <w:color w:val="FFFFFF"/>
                <w:sz w:val="20"/>
                <w:szCs w:val="20"/>
                <w:lang w:val="sr-Cyrl-RS"/>
              </w:rPr>
              <w:t>%</w:t>
            </w:r>
          </w:p>
          <w:p>
            <w:pPr>
              <w:jc w:val="center"/>
              <w:rPr>
                <w:b/>
                <w:bCs/>
                <w:color w:val="FFFFFF"/>
                <w:sz w:val="20"/>
                <w:szCs w:val="20"/>
                <w:lang w:val="sr-Cyrl-RS"/>
              </w:rPr>
            </w:pPr>
            <w:r>
              <w:rPr>
                <w:b/>
                <w:bCs/>
                <w:color w:val="FFFFFF"/>
                <w:sz w:val="20"/>
                <w:szCs w:val="20"/>
                <w:lang w:val="sr-Cyrl-RS"/>
              </w:rPr>
              <w:t>у односу на буџет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16" w:hRule="atLeast"/>
        </w:trPr>
        <w:tc>
          <w:tcPr>
            <w:tcW w:w="964" w:type="dxa"/>
            <w:vMerge w:val="continue"/>
            <w:tcBorders>
              <w:top w:val="single" w:color="FFFFFF" w:sz="4" w:space="0"/>
              <w:left w:val="single" w:color="FFFFFF" w:sz="4" w:space="0"/>
              <w:bottom w:val="single" w:color="FFFFFF" w:sz="4" w:space="0"/>
              <w:right w:val="nil"/>
            </w:tcBorders>
            <w:shd w:val="clear" w:color="auto" w:fill="385623" w:themeFill="accent6" w:themeFillShade="80"/>
            <w:vAlign w:val="center"/>
          </w:tcPr>
          <w:p>
            <w:pPr>
              <w:rPr>
                <w:b/>
                <w:bCs/>
                <w:color w:val="FFFFFF"/>
                <w:sz w:val="20"/>
                <w:szCs w:val="20"/>
                <w:lang w:val="sr-Cyrl-RS"/>
              </w:rPr>
            </w:pPr>
          </w:p>
        </w:tc>
        <w:tc>
          <w:tcPr>
            <w:tcW w:w="1557" w:type="dxa"/>
            <w:vMerge w:val="continue"/>
            <w:tcBorders>
              <w:top w:val="single" w:color="FFFFFF" w:sz="4" w:space="0"/>
              <w:left w:val="nil"/>
              <w:bottom w:val="single" w:color="FFFFFF" w:sz="4" w:space="0"/>
              <w:right w:val="nil"/>
            </w:tcBorders>
            <w:shd w:val="clear" w:color="auto" w:fill="385623" w:themeFill="accent6" w:themeFillShade="80"/>
            <w:vAlign w:val="center"/>
          </w:tcPr>
          <w:p>
            <w:pPr>
              <w:rPr>
                <w:b/>
                <w:bCs/>
                <w:color w:val="FFFFFF"/>
                <w:sz w:val="20"/>
                <w:szCs w:val="20"/>
                <w:lang w:val="sr-Cyrl-RS"/>
              </w:rPr>
            </w:pPr>
          </w:p>
        </w:tc>
        <w:tc>
          <w:tcPr>
            <w:tcW w:w="1343"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sz w:val="20"/>
                <w:szCs w:val="20"/>
                <w:lang w:val="sr-Cyrl-RS"/>
              </w:rPr>
            </w:pPr>
            <w:r>
              <w:rPr>
                <w:b/>
                <w:sz w:val="20"/>
                <w:szCs w:val="20"/>
                <w:lang w:val="sr-Cyrl-RS"/>
              </w:rPr>
              <w:t>ИЗНОС</w:t>
            </w:r>
          </w:p>
        </w:tc>
        <w:tc>
          <w:tcPr>
            <w:tcW w:w="595"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sz w:val="20"/>
                <w:szCs w:val="20"/>
                <w:lang w:val="sr-Cyrl-RS"/>
              </w:rPr>
            </w:pPr>
            <w:r>
              <w:rPr>
                <w:b/>
                <w:sz w:val="20"/>
                <w:szCs w:val="20"/>
                <w:lang w:val="sr-Cyrl-RS"/>
              </w:rPr>
              <w:t>%</w:t>
            </w:r>
          </w:p>
        </w:tc>
        <w:tc>
          <w:tcPr>
            <w:tcW w:w="1343"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sz w:val="20"/>
                <w:szCs w:val="20"/>
                <w:lang w:val="sr-Cyrl-RS"/>
              </w:rPr>
            </w:pPr>
            <w:r>
              <w:rPr>
                <w:b/>
                <w:sz w:val="20"/>
                <w:szCs w:val="20"/>
                <w:lang w:val="sr-Cyrl-RS"/>
              </w:rPr>
              <w:t>ЈУС Борик</w:t>
            </w:r>
          </w:p>
        </w:tc>
        <w:tc>
          <w:tcPr>
            <w:tcW w:w="1296"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sz w:val="20"/>
                <w:szCs w:val="20"/>
                <w:lang w:val="sr-Cyrl-RS"/>
              </w:rPr>
            </w:pPr>
            <w:r>
              <w:rPr>
                <w:b/>
                <w:sz w:val="20"/>
                <w:szCs w:val="20"/>
                <w:lang w:val="sr-Cyrl-RS"/>
              </w:rPr>
              <w:t>Градски олимпијски базен</w:t>
            </w:r>
          </w:p>
        </w:tc>
        <w:tc>
          <w:tcPr>
            <w:tcW w:w="1388" w:type="dxa"/>
            <w:vMerge w:val="continue"/>
            <w:tcBorders>
              <w:top w:val="single" w:color="FFFFFF" w:sz="4" w:space="0"/>
              <w:left w:val="nil"/>
              <w:bottom w:val="single" w:color="FFFFFF" w:sz="4" w:space="0"/>
              <w:right w:val="nil"/>
            </w:tcBorders>
            <w:shd w:val="clear" w:color="auto" w:fill="385623" w:themeFill="accent6" w:themeFillShade="80"/>
            <w:vAlign w:val="center"/>
          </w:tcPr>
          <w:p>
            <w:pPr>
              <w:rPr>
                <w:b/>
                <w:bCs/>
                <w:color w:val="FFFFFF"/>
                <w:sz w:val="20"/>
                <w:szCs w:val="20"/>
                <w:lang w:val="sr-Cyrl-RS"/>
              </w:rPr>
            </w:pPr>
          </w:p>
        </w:tc>
        <w:tc>
          <w:tcPr>
            <w:tcW w:w="869" w:type="dxa"/>
            <w:vMerge w:val="continue"/>
            <w:tcBorders>
              <w:top w:val="single" w:color="FFFFFF" w:sz="4" w:space="0"/>
              <w:left w:val="nil"/>
              <w:bottom w:val="single" w:color="FFFFFF" w:sz="4" w:space="0"/>
              <w:right w:val="single" w:color="FFFFFF" w:sz="4" w:space="0"/>
            </w:tcBorders>
            <w:shd w:val="clear" w:color="auto" w:fill="385623" w:themeFill="accent6" w:themeFillShade="80"/>
            <w:vAlign w:val="center"/>
          </w:tcPr>
          <w:p>
            <w:pPr>
              <w:rPr>
                <w:b/>
                <w:bCs/>
                <w:color w:val="FFFFFF"/>
                <w:sz w:val="20"/>
                <w:szCs w:val="20"/>
                <w:lang w:val="sr-Cyrl-RS"/>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81" w:hRule="atLeast"/>
        </w:trPr>
        <w:tc>
          <w:tcPr>
            <w:tcW w:w="964"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2012</w:t>
            </w:r>
          </w:p>
        </w:tc>
        <w:tc>
          <w:tcPr>
            <w:tcW w:w="1557"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177.476.000,00</w:t>
            </w:r>
          </w:p>
        </w:tc>
        <w:tc>
          <w:tcPr>
            <w:tcW w:w="1343"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2.407.100,00</w:t>
            </w:r>
          </w:p>
        </w:tc>
        <w:tc>
          <w:tcPr>
            <w:tcW w:w="595"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lang w:val="sr-Cyrl-RS"/>
              </w:rPr>
            </w:pPr>
            <w:r>
              <w:rPr>
                <w:sz w:val="20"/>
                <w:szCs w:val="20"/>
                <w:lang w:val="sr-Cyrl-RS"/>
              </w:rPr>
              <w:t>1.35</w:t>
            </w:r>
          </w:p>
        </w:tc>
        <w:tc>
          <w:tcPr>
            <w:tcW w:w="1343"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1.955.600,00</w:t>
            </w:r>
          </w:p>
        </w:tc>
        <w:tc>
          <w:tcPr>
            <w:tcW w:w="1296"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985.000,00</w:t>
            </w:r>
          </w:p>
        </w:tc>
        <w:tc>
          <w:tcPr>
            <w:tcW w:w="1388"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5.347.700,00</w:t>
            </w:r>
          </w:p>
        </w:tc>
        <w:tc>
          <w:tcPr>
            <w:tcW w:w="869"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lang w:val="sr-Cyrl-RS"/>
              </w:rPr>
            </w:pPr>
            <w:r>
              <w:rPr>
                <w:sz w:val="20"/>
                <w:szCs w:val="20"/>
                <w:lang w:val="sr-Cyrl-RS"/>
              </w:rPr>
              <w:t>3.01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81" w:hRule="atLeast"/>
        </w:trPr>
        <w:tc>
          <w:tcPr>
            <w:tcW w:w="964"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2013</w:t>
            </w:r>
          </w:p>
        </w:tc>
        <w:tc>
          <w:tcPr>
            <w:tcW w:w="1557"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180.932.000,00</w:t>
            </w:r>
          </w:p>
        </w:tc>
        <w:tc>
          <w:tcPr>
            <w:tcW w:w="1343"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1.742.970,00</w:t>
            </w:r>
          </w:p>
        </w:tc>
        <w:tc>
          <w:tcPr>
            <w:tcW w:w="595"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lang w:val="sr-Cyrl-RS"/>
              </w:rPr>
            </w:pPr>
            <w:r>
              <w:rPr>
                <w:sz w:val="20"/>
                <w:szCs w:val="20"/>
                <w:lang w:val="sr-Cyrl-RS"/>
              </w:rPr>
              <w:t>0.96</w:t>
            </w:r>
          </w:p>
        </w:tc>
        <w:tc>
          <w:tcPr>
            <w:tcW w:w="1343"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1.926.700,00</w:t>
            </w:r>
          </w:p>
        </w:tc>
        <w:tc>
          <w:tcPr>
            <w:tcW w:w="1296"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700.000,00</w:t>
            </w:r>
          </w:p>
        </w:tc>
        <w:tc>
          <w:tcPr>
            <w:tcW w:w="1388"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4.369.670,00</w:t>
            </w:r>
          </w:p>
        </w:tc>
        <w:tc>
          <w:tcPr>
            <w:tcW w:w="869"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lang w:val="sr-Cyrl-RS"/>
              </w:rPr>
            </w:pPr>
            <w:r>
              <w:rPr>
                <w:sz w:val="20"/>
                <w:szCs w:val="20"/>
                <w:lang w:val="sr-Cyrl-RS"/>
              </w:rPr>
              <w:t>2.41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81" w:hRule="atLeast"/>
        </w:trPr>
        <w:tc>
          <w:tcPr>
            <w:tcW w:w="964"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2014</w:t>
            </w:r>
          </w:p>
        </w:tc>
        <w:tc>
          <w:tcPr>
            <w:tcW w:w="1557"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121.669.200,00</w:t>
            </w:r>
          </w:p>
        </w:tc>
        <w:tc>
          <w:tcPr>
            <w:tcW w:w="1343"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1.323.310,00</w:t>
            </w:r>
          </w:p>
        </w:tc>
        <w:tc>
          <w:tcPr>
            <w:tcW w:w="595"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lang w:val="sr-Cyrl-RS"/>
              </w:rPr>
            </w:pPr>
            <w:r>
              <w:rPr>
                <w:sz w:val="20"/>
                <w:szCs w:val="20"/>
                <w:lang w:val="sr-Cyrl-RS"/>
              </w:rPr>
              <w:t>1.09</w:t>
            </w:r>
          </w:p>
        </w:tc>
        <w:tc>
          <w:tcPr>
            <w:tcW w:w="1343"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1.940.950,00</w:t>
            </w:r>
          </w:p>
        </w:tc>
        <w:tc>
          <w:tcPr>
            <w:tcW w:w="1296"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800.000,00</w:t>
            </w:r>
          </w:p>
        </w:tc>
        <w:tc>
          <w:tcPr>
            <w:tcW w:w="1388"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4.064.260,00</w:t>
            </w:r>
          </w:p>
        </w:tc>
        <w:tc>
          <w:tcPr>
            <w:tcW w:w="869"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lang w:val="sr-Cyrl-RS"/>
              </w:rPr>
            </w:pPr>
            <w:r>
              <w:rPr>
                <w:sz w:val="20"/>
                <w:szCs w:val="20"/>
                <w:lang w:val="sr-Cyrl-RS"/>
              </w:rPr>
              <w:t>3.43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81" w:hRule="atLeast"/>
        </w:trPr>
        <w:tc>
          <w:tcPr>
            <w:tcW w:w="964"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2015</w:t>
            </w:r>
          </w:p>
        </w:tc>
        <w:tc>
          <w:tcPr>
            <w:tcW w:w="1557"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118.049.000,00</w:t>
            </w:r>
          </w:p>
        </w:tc>
        <w:tc>
          <w:tcPr>
            <w:tcW w:w="1343"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1.307.000,00</w:t>
            </w:r>
          </w:p>
        </w:tc>
        <w:tc>
          <w:tcPr>
            <w:tcW w:w="595"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lang w:val="sr-Cyrl-RS"/>
              </w:rPr>
            </w:pPr>
            <w:r>
              <w:rPr>
                <w:sz w:val="20"/>
                <w:szCs w:val="20"/>
                <w:lang w:val="sr-Cyrl-RS"/>
              </w:rPr>
              <w:t>1.11</w:t>
            </w:r>
          </w:p>
        </w:tc>
        <w:tc>
          <w:tcPr>
            <w:tcW w:w="1343"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1.827.000,00</w:t>
            </w:r>
          </w:p>
        </w:tc>
        <w:tc>
          <w:tcPr>
            <w:tcW w:w="1296"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lang w:val="sr-Cyrl-RS"/>
              </w:rPr>
              <w:t>8</w:t>
            </w:r>
            <w:r>
              <w:rPr>
                <w:sz w:val="20"/>
                <w:szCs w:val="20"/>
              </w:rPr>
              <w:t>00.000,00</w:t>
            </w:r>
          </w:p>
        </w:tc>
        <w:tc>
          <w:tcPr>
            <w:tcW w:w="1388"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3.934.000,00</w:t>
            </w:r>
          </w:p>
        </w:tc>
        <w:tc>
          <w:tcPr>
            <w:tcW w:w="869"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lang w:val="sr-Cyrl-RS"/>
              </w:rPr>
            </w:pPr>
            <w:r>
              <w:rPr>
                <w:sz w:val="20"/>
                <w:szCs w:val="20"/>
                <w:lang w:val="sr-Cyrl-RS"/>
              </w:rPr>
              <w:t>3.33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81" w:hRule="atLeast"/>
        </w:trPr>
        <w:tc>
          <w:tcPr>
            <w:tcW w:w="964"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2016</w:t>
            </w:r>
          </w:p>
        </w:tc>
        <w:tc>
          <w:tcPr>
            <w:tcW w:w="1557"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128.270.000,00</w:t>
            </w:r>
          </w:p>
        </w:tc>
        <w:tc>
          <w:tcPr>
            <w:tcW w:w="1343"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1.283.200,00</w:t>
            </w:r>
          </w:p>
        </w:tc>
        <w:tc>
          <w:tcPr>
            <w:tcW w:w="595"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lang w:val="sr-Cyrl-RS"/>
              </w:rPr>
            </w:pPr>
            <w:r>
              <w:rPr>
                <w:sz w:val="20"/>
                <w:szCs w:val="20"/>
                <w:lang w:val="sr-Cyrl-RS"/>
              </w:rPr>
              <w:t>1.00</w:t>
            </w:r>
          </w:p>
        </w:tc>
        <w:tc>
          <w:tcPr>
            <w:tcW w:w="1343"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2.262.800,00</w:t>
            </w:r>
          </w:p>
        </w:tc>
        <w:tc>
          <w:tcPr>
            <w:tcW w:w="1296"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lang w:val="sr-Cyrl-RS"/>
              </w:rPr>
            </w:pPr>
            <w:r>
              <w:rPr>
                <w:sz w:val="20"/>
                <w:szCs w:val="20"/>
                <w:lang w:val="sr-Cyrl-RS"/>
              </w:rPr>
              <w:t>840.000,00</w:t>
            </w:r>
          </w:p>
        </w:tc>
        <w:tc>
          <w:tcPr>
            <w:tcW w:w="1388"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rPr>
            </w:pPr>
            <w:r>
              <w:rPr>
                <w:sz w:val="20"/>
                <w:szCs w:val="20"/>
              </w:rPr>
              <w:t>4.366.000,00</w:t>
            </w:r>
          </w:p>
        </w:tc>
        <w:tc>
          <w:tcPr>
            <w:tcW w:w="869" w:type="dxa"/>
            <w:tcBorders>
              <w:top w:val="single" w:color="FFFFFF" w:sz="4" w:space="0"/>
              <w:left w:val="single" w:color="FFFFFF" w:sz="4" w:space="0"/>
              <w:bottom w:val="single" w:color="FFFFFF" w:sz="4" w:space="0"/>
              <w:right w:val="single" w:color="FFFFFF" w:sz="4" w:space="0"/>
            </w:tcBorders>
            <w:shd w:val="clear" w:color="auto" w:fill="E2EFD9" w:themeFill="accent6" w:themeFillTint="33"/>
          </w:tcPr>
          <w:p>
            <w:pPr>
              <w:jc w:val="both"/>
              <w:rPr>
                <w:sz w:val="20"/>
                <w:szCs w:val="20"/>
                <w:lang w:val="sr-Cyrl-RS"/>
              </w:rPr>
            </w:pPr>
            <w:r>
              <w:rPr>
                <w:sz w:val="20"/>
                <w:szCs w:val="20"/>
                <w:lang w:val="sr-Cyrl-RS"/>
              </w:rPr>
              <w:t>3.41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81" w:hRule="atLeast"/>
        </w:trPr>
        <w:tc>
          <w:tcPr>
            <w:tcW w:w="964" w:type="dxa"/>
            <w:tcBorders>
              <w:top w:val="single" w:color="FFFFFF" w:sz="4" w:space="0"/>
              <w:left w:val="single" w:color="FFFFFF" w:sz="4" w:space="0"/>
              <w:bottom w:val="single" w:color="FFFFFF" w:sz="4" w:space="0"/>
              <w:righ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УКУПНО</w:t>
            </w:r>
          </w:p>
        </w:tc>
        <w:tc>
          <w:tcPr>
            <w:tcW w:w="1557"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726.396.200,00</w:t>
            </w:r>
          </w:p>
        </w:tc>
        <w:tc>
          <w:tcPr>
            <w:tcW w:w="1343"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8.063.580,00</w:t>
            </w:r>
          </w:p>
        </w:tc>
        <w:tc>
          <w:tcPr>
            <w:tcW w:w="595"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p>
        </w:tc>
        <w:tc>
          <w:tcPr>
            <w:tcW w:w="1343"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9.913.050,00</w:t>
            </w:r>
          </w:p>
        </w:tc>
        <w:tc>
          <w:tcPr>
            <w:tcW w:w="1296"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lang w:val="sr-Cyrl-RS"/>
              </w:rPr>
            </w:pPr>
            <w:r>
              <w:rPr>
                <w:sz w:val="20"/>
                <w:szCs w:val="20"/>
                <w:lang w:val="sr-Cyrl-RS"/>
              </w:rPr>
              <w:t>4.125.000,00</w:t>
            </w:r>
          </w:p>
        </w:tc>
        <w:tc>
          <w:tcPr>
            <w:tcW w:w="1388"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rPr>
            </w:pPr>
            <w:r>
              <w:rPr>
                <w:sz w:val="20"/>
                <w:szCs w:val="20"/>
              </w:rPr>
              <w:t>22.101.630,00</w:t>
            </w:r>
          </w:p>
        </w:tc>
        <w:tc>
          <w:tcPr>
            <w:tcW w:w="869" w:type="dxa"/>
            <w:tcBorders>
              <w:top w:val="single" w:color="FFFFFF" w:sz="4" w:space="0"/>
              <w:left w:val="single" w:color="FFFFFF" w:sz="4" w:space="0"/>
              <w:bottom w:val="single" w:color="FFFFFF" w:sz="4" w:space="0"/>
              <w:right w:val="single" w:color="FFFFFF" w:sz="4" w:space="0"/>
            </w:tcBorders>
            <w:shd w:val="clear" w:color="auto" w:fill="C5E0B3" w:themeFill="accent6" w:themeFillTint="66"/>
          </w:tcPr>
          <w:p>
            <w:pPr>
              <w:jc w:val="both"/>
              <w:rPr>
                <w:sz w:val="20"/>
                <w:szCs w:val="20"/>
                <w:lang w:val="sr-Cyrl-RS"/>
              </w:rPr>
            </w:pPr>
            <w:r>
              <w:rPr>
                <w:sz w:val="20"/>
                <w:szCs w:val="20"/>
                <w:lang w:val="sr-Cyrl-RS"/>
              </w:rPr>
              <w:t>3.04</w:t>
            </w:r>
          </w:p>
        </w:tc>
      </w:tr>
    </w:tbl>
    <w:p>
      <w:pPr>
        <w:jc w:val="both"/>
        <w:rPr>
          <w:i/>
          <w:sz w:val="18"/>
          <w:szCs w:val="18"/>
          <w:lang w:val="sr-Cyrl-RS"/>
        </w:rPr>
      </w:pPr>
      <w:r>
        <w:rPr>
          <w:i/>
          <w:sz w:val="18"/>
          <w:szCs w:val="18"/>
          <w:lang w:val="sr-Cyrl-RS"/>
        </w:rPr>
        <w:t>Извор: Програм развоја спорта 2018-2022.</w:t>
      </w:r>
    </w:p>
    <w:p>
      <w:pPr>
        <w:rPr>
          <w:b/>
          <w:lang w:val="sr-Cyrl-RS"/>
        </w:rPr>
      </w:pPr>
    </w:p>
    <w:p>
      <w:pPr>
        <w:shd w:val="clear" w:color="auto" w:fill="FFFFFF"/>
        <w:jc w:val="both"/>
      </w:pPr>
    </w:p>
    <w:tbl>
      <w:tblPr>
        <w:tblStyle w:val="37"/>
        <w:tblW w:w="93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50" w:type="dxa"/>
            <w:shd w:val="clear" w:color="auto" w:fill="C5E0B3" w:themeFill="accent6" w:themeFillTint="66"/>
          </w:tcPr>
          <w:p>
            <w:pPr>
              <w:shd w:val="clear" w:color="auto" w:fill="C5E0B3" w:themeFill="accent6" w:themeFillTint="66"/>
              <w:jc w:val="both"/>
              <w:rPr>
                <w:i/>
                <w:lang w:val="sr-Cyrl-RS"/>
              </w:rPr>
            </w:pPr>
            <w:r>
              <w:rPr>
                <w:i/>
              </w:rPr>
              <w:t>Према досадашњим пројекциј</w:t>
            </w:r>
            <w:r>
              <w:rPr>
                <w:i/>
                <w:lang w:val="sr-Cyrl-RS"/>
              </w:rPr>
              <w:t>а</w:t>
            </w:r>
            <w:r>
              <w:rPr>
                <w:i/>
              </w:rPr>
              <w:t xml:space="preserve">ма буџета за суфинансирање програмских активности спортских организација и других организација у области спорта дефинисане су сљедеће ставке које се суфинансирају из буџета Града: </w:t>
            </w:r>
            <w:r>
              <w:rPr>
                <w:i/>
                <w:lang w:val="sr-Cyrl-RS"/>
              </w:rPr>
              <w:t>с</w:t>
            </w:r>
            <w:r>
              <w:rPr>
                <w:i/>
              </w:rPr>
              <w:t>редства за текуће одржавање спортско-рекр</w:t>
            </w:r>
            <w:r>
              <w:rPr>
                <w:i/>
                <w:lang w:val="sr-Cyrl-RS"/>
              </w:rPr>
              <w:t>е</w:t>
            </w:r>
            <w:r>
              <w:rPr>
                <w:i/>
              </w:rPr>
              <w:t xml:space="preserve">тивних садржаја,  </w:t>
            </w:r>
            <w:r>
              <w:rPr>
                <w:i/>
                <w:lang w:val="sr-Cyrl-RS"/>
              </w:rPr>
              <w:t>с</w:t>
            </w:r>
            <w:r>
              <w:rPr>
                <w:i/>
              </w:rPr>
              <w:t xml:space="preserve">редства за финансирање здравствене заштите спортиста у спортским клубовима, </w:t>
            </w:r>
            <w:r>
              <w:rPr>
                <w:i/>
                <w:lang w:val="sr-Cyrl-RS"/>
              </w:rPr>
              <w:t>с</w:t>
            </w:r>
            <w:r>
              <w:rPr>
                <w:i/>
              </w:rPr>
              <w:t xml:space="preserve">редства за рад организација и удружења из области спорта, </w:t>
            </w:r>
            <w:r>
              <w:rPr>
                <w:i/>
                <w:lang w:val="sr-Cyrl-RS"/>
              </w:rPr>
              <w:t>с</w:t>
            </w:r>
            <w:r>
              <w:rPr>
                <w:i/>
              </w:rPr>
              <w:t xml:space="preserve">редства за Олимпијски базен, </w:t>
            </w:r>
            <w:r>
              <w:rPr>
                <w:i/>
                <w:lang w:val="sr-Cyrl-RS"/>
              </w:rPr>
              <w:t>с</w:t>
            </w:r>
            <w:r>
              <w:rPr>
                <w:i/>
              </w:rPr>
              <w:t xml:space="preserve">редства за школски, студентски и рекреативни спорт, </w:t>
            </w:r>
            <w:r>
              <w:rPr>
                <w:i/>
                <w:lang w:val="sr-Cyrl-RS"/>
              </w:rPr>
              <w:t>с</w:t>
            </w:r>
            <w:r>
              <w:rPr>
                <w:i/>
              </w:rPr>
              <w:t xml:space="preserve">редства за развој пливачког спорта – школа пливања за дјецу и омладину, </w:t>
            </w:r>
            <w:r>
              <w:rPr>
                <w:i/>
                <w:lang w:val="sr-Cyrl-RS"/>
              </w:rPr>
              <w:t>с</w:t>
            </w:r>
            <w:r>
              <w:rPr>
                <w:i/>
              </w:rPr>
              <w:t>редства за спортске организације лица са инвалидитетом, средства за појединце у области спорта</w:t>
            </w:r>
            <w:r>
              <w:rPr>
                <w:i/>
                <w:lang w:val="sr-Cyrl-RS"/>
              </w:rPr>
              <w:t>.</w:t>
            </w:r>
          </w:p>
        </w:tc>
      </w:tr>
    </w:tbl>
    <w:p>
      <w:pPr>
        <w:jc w:val="both"/>
        <w:rPr>
          <w:lang w:val="sr-Cyrl-RS"/>
        </w:rPr>
      </w:pPr>
    </w:p>
    <w:p>
      <w:pPr>
        <w:rPr>
          <w:b/>
          <w:i/>
          <w:lang w:val="sr-Cyrl-RS"/>
        </w:rPr>
      </w:pPr>
    </w:p>
    <w:p>
      <w:pPr>
        <w:rPr>
          <w:b/>
          <w:i/>
          <w:lang w:val="sr-Cyrl-RS"/>
        </w:rPr>
      </w:pPr>
      <w:r>
        <w:rPr>
          <w:b/>
          <w:i/>
          <w:lang w:val="sr-Cyrl-RS"/>
        </w:rPr>
        <w:t>Институционални капацитети</w:t>
      </w:r>
    </w:p>
    <w:p>
      <w:pPr>
        <w:jc w:val="both"/>
        <w:rPr>
          <w:b/>
          <w:lang w:val="sr-Cyrl-RS"/>
        </w:rPr>
      </w:pPr>
    </w:p>
    <w:p>
      <w:pPr>
        <w:jc w:val="both"/>
      </w:pPr>
      <w:r>
        <w:rPr>
          <w:b/>
          <w:lang w:val="sr-Cyrl-RS"/>
        </w:rPr>
        <w:t>ЈУ Спортски центар Борик</w:t>
      </w:r>
      <w:r>
        <w:rPr>
          <w:lang w:val="sr-Cyrl-RS"/>
        </w:rPr>
        <w:t xml:space="preserve"> - </w:t>
      </w:r>
      <w:r>
        <w:t>Јавнa спортска установa СД „Борик“ основана је 1974. год</w:t>
      </w:r>
      <w:r>
        <w:rPr>
          <w:lang w:val="sr-Cyrl-RS"/>
        </w:rPr>
        <w:t>ине</w:t>
      </w:r>
      <w:r>
        <w:t>. Град Бања Лука је оснивач и власник Установе</w:t>
      </w:r>
      <w:r>
        <w:rPr>
          <w:lang w:val="sr-Cyrl-RS"/>
        </w:rPr>
        <w:t>, из које остварује властите приходе</w:t>
      </w:r>
      <w:r>
        <w:t>. Спортској дворани „Борик“</w:t>
      </w:r>
      <w:r>
        <w:rPr>
          <w:lang w:val="sr-Cyrl-RS"/>
        </w:rPr>
        <w:t xml:space="preserve">, </w:t>
      </w:r>
      <w:r>
        <w:t>1995. је припојен Друштвени дом „Мејдан“</w:t>
      </w:r>
      <w:r>
        <w:rPr>
          <w:lang w:val="sr-Cyrl-RS"/>
        </w:rPr>
        <w:t xml:space="preserve"> </w:t>
      </w:r>
      <w:r>
        <w:t xml:space="preserve">(Дворана „Обилићево“). Одлуком Града Бања Лука од 29.11.2007. године извршено је усклађивање и организовање пословања ЈСУ СД „Борик“ Бања Лука са Законом о систему јавних служби и извршена промјена назива тако да од 01.01.2008. год ЈСУ СД „Борик“ послује као буџетски корисник по називом ЈУ Спортски центар „Борик“ Бања Лука. У оквиру Спортског центра „Борик“ Бања Лука послују регистроване организационе јединице и то: СД „Борик“, ресторан „Борик“, СД „Обилићево“ и Куглана „Лауш“ смјештена у згради „Елмонт“. </w:t>
      </w:r>
    </w:p>
    <w:p>
      <w:pPr>
        <w:jc w:val="both"/>
      </w:pPr>
    </w:p>
    <w:p>
      <w:pPr>
        <w:jc w:val="both"/>
        <w:rPr>
          <w:lang w:val="sr-Cyrl-RS"/>
        </w:rPr>
      </w:pPr>
      <w:r>
        <w:t>Данас у Бања Луци активно рад</w:t>
      </w:r>
      <w:r>
        <w:rPr>
          <w:lang w:val="sr-Cyrl-RS"/>
        </w:rPr>
        <w:t>и</w:t>
      </w:r>
      <w:r>
        <w:t xml:space="preserve"> 246 спортских организација у 40 грана спорта, од чега је 13 спортских организација инвалидних лица. Спортски клубови организовани су у 25 градских гранских савеза. Најмасовнија грана спорта је фудбал који има 30 спортских организација, затим кошарка 16, карате 13, рукомет 12, шах 11, итд.</w:t>
      </w:r>
    </w:p>
    <w:p>
      <w:pPr>
        <w:rPr>
          <w:b/>
          <w:i/>
          <w:lang w:val="sr-Cyrl-RS"/>
        </w:rPr>
      </w:pPr>
    </w:p>
    <w:p>
      <w:pPr>
        <w:rPr>
          <w:b/>
          <w:i/>
          <w:lang w:val="sr-Latn-CS"/>
        </w:rPr>
      </w:pPr>
    </w:p>
    <w:p>
      <w:pPr>
        <w:rPr>
          <w:b/>
          <w:i/>
          <w:lang w:val="sr-Latn-CS"/>
        </w:rPr>
      </w:pPr>
    </w:p>
    <w:p>
      <w:pPr>
        <w:rPr>
          <w:b/>
          <w:i/>
          <w:lang w:val="sr-Latn-CS"/>
        </w:rPr>
      </w:pPr>
    </w:p>
    <w:p>
      <w:pPr>
        <w:rPr>
          <w:b/>
          <w:i/>
          <w:lang w:val="sr-Latn-CS"/>
        </w:rPr>
      </w:pPr>
    </w:p>
    <w:p>
      <w:pPr>
        <w:rPr>
          <w:b/>
          <w:i/>
          <w:lang w:val="sr-Latn-CS"/>
        </w:rPr>
      </w:pPr>
    </w:p>
    <w:p>
      <w:pPr>
        <w:rPr>
          <w:b/>
          <w:i/>
          <w:lang w:val="sr-Latn-CS"/>
        </w:rPr>
      </w:pPr>
    </w:p>
    <w:p>
      <w:pPr>
        <w:rPr>
          <w:b/>
          <w:i/>
          <w:lang w:val="sr-Cyrl-RS"/>
        </w:rPr>
      </w:pPr>
      <w:r>
        <w:rPr>
          <w:b/>
          <w:i/>
          <w:lang w:val="sr-Cyrl-RS"/>
        </w:rPr>
        <w:t>Постојећи спортски објекти и стање објеката</w:t>
      </w:r>
    </w:p>
    <w:p>
      <w:pPr>
        <w:rPr>
          <w:b/>
          <w:i/>
          <w:lang w:val="sr-Cyrl-RS"/>
        </w:rPr>
      </w:pPr>
    </w:p>
    <w:p>
      <w:pPr>
        <w:jc w:val="both"/>
      </w:pPr>
    </w:p>
    <w:tbl>
      <w:tblPr>
        <w:tblStyle w:val="36"/>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5"/>
        <w:gridCol w:w="4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5"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both"/>
              <w:rPr>
                <w:b/>
                <w:color w:val="FFFFFF" w:themeColor="background1"/>
                <w:sz w:val="20"/>
                <w14:textFill>
                  <w14:solidFill>
                    <w14:schemeClr w14:val="bg1"/>
                  </w14:solidFill>
                </w14:textFill>
              </w:rPr>
            </w:pPr>
            <w:r>
              <w:rPr>
                <w:b/>
                <w:color w:val="FFFFFF" w:themeColor="background1"/>
                <w:sz w:val="20"/>
                <w14:textFill>
                  <w14:solidFill>
                    <w14:schemeClr w14:val="bg1"/>
                  </w14:solidFill>
                </w14:textFill>
              </w:rPr>
              <w:t>ОТВОРЕНИ СПОРТСКИ ОБЈЕКТИ</w:t>
            </w:r>
          </w:p>
        </w:tc>
        <w:tc>
          <w:tcPr>
            <w:tcW w:w="4675"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both"/>
              <w:rPr>
                <w:b/>
                <w:color w:val="FFFFFF" w:themeColor="background1"/>
                <w:sz w:val="20"/>
                <w14:textFill>
                  <w14:solidFill>
                    <w14:schemeClr w14:val="bg1"/>
                  </w14:solidFill>
                </w14:textFill>
              </w:rPr>
            </w:pPr>
            <w:r>
              <w:rPr>
                <w:b/>
                <w:color w:val="FFFFFF" w:themeColor="background1"/>
                <w:sz w:val="20"/>
                <w14:textFill>
                  <w14:solidFill>
                    <w14:schemeClr w14:val="bg1"/>
                  </w14:solidFill>
                </w14:textFill>
              </w:rPr>
              <w:t>ЗАТВОРЕНИ СПОРТСКИ ОВЈЕКТИ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5" w:type="dxa"/>
            <w:tcBorders>
              <w:top w:val="single" w:color="auto" w:sz="4" w:space="0"/>
              <w:left w:val="single" w:color="auto" w:sz="4" w:space="0"/>
              <w:bottom w:val="single" w:color="auto" w:sz="4" w:space="0"/>
              <w:right w:val="single" w:color="auto" w:sz="4" w:space="0"/>
            </w:tcBorders>
            <w:shd w:val="clear" w:color="auto" w:fill="auto"/>
          </w:tcPr>
          <w:p>
            <w:pPr>
              <w:pStyle w:val="46"/>
              <w:numPr>
                <w:ilvl w:val="0"/>
                <w:numId w:val="17"/>
              </w:numPr>
              <w:spacing w:before="0" w:line="240" w:lineRule="auto"/>
              <w:rPr>
                <w:sz w:val="20"/>
              </w:rPr>
            </w:pPr>
            <w:r>
              <w:rPr>
                <w:sz w:val="20"/>
              </w:rPr>
              <w:t xml:space="preserve">Фудбалски стадиони (18) </w:t>
            </w:r>
          </w:p>
          <w:p>
            <w:pPr>
              <w:pStyle w:val="46"/>
              <w:numPr>
                <w:ilvl w:val="0"/>
                <w:numId w:val="17"/>
              </w:numPr>
              <w:spacing w:before="0" w:line="240" w:lineRule="auto"/>
              <w:rPr>
                <w:sz w:val="20"/>
              </w:rPr>
            </w:pPr>
            <w:r>
              <w:rPr>
                <w:sz w:val="20"/>
              </w:rPr>
              <w:t xml:space="preserve">Тениски центри (2) </w:t>
            </w:r>
          </w:p>
          <w:p>
            <w:pPr>
              <w:pStyle w:val="46"/>
              <w:numPr>
                <w:ilvl w:val="0"/>
                <w:numId w:val="17"/>
              </w:numPr>
              <w:spacing w:before="0" w:line="240" w:lineRule="auto"/>
              <w:rPr>
                <w:sz w:val="20"/>
              </w:rPr>
            </w:pPr>
            <w:r>
              <w:rPr>
                <w:sz w:val="20"/>
              </w:rPr>
              <w:t xml:space="preserve">Базени (1) </w:t>
            </w:r>
          </w:p>
          <w:p>
            <w:pPr>
              <w:pStyle w:val="46"/>
              <w:numPr>
                <w:ilvl w:val="0"/>
                <w:numId w:val="17"/>
              </w:numPr>
              <w:spacing w:before="0" w:line="240" w:lineRule="auto"/>
              <w:rPr>
                <w:sz w:val="20"/>
              </w:rPr>
            </w:pPr>
            <w:r>
              <w:rPr>
                <w:sz w:val="20"/>
              </w:rPr>
              <w:t xml:space="preserve">Остали спортски и спортско </w:t>
            </w:r>
          </w:p>
          <w:p>
            <w:pPr>
              <w:pStyle w:val="46"/>
              <w:numPr>
                <w:ilvl w:val="0"/>
                <w:numId w:val="17"/>
              </w:numPr>
              <w:spacing w:before="0" w:line="240" w:lineRule="auto"/>
              <w:rPr>
                <w:sz w:val="20"/>
              </w:rPr>
            </w:pPr>
            <w:r>
              <w:rPr>
                <w:sz w:val="20"/>
              </w:rPr>
              <w:t>рекреативни објекти (5)</w:t>
            </w:r>
          </w:p>
        </w:tc>
        <w:tc>
          <w:tcPr>
            <w:tcW w:w="4675" w:type="dxa"/>
            <w:tcBorders>
              <w:top w:val="single" w:color="auto" w:sz="4" w:space="0"/>
              <w:left w:val="single" w:color="auto" w:sz="4" w:space="0"/>
              <w:bottom w:val="single" w:color="auto" w:sz="4" w:space="0"/>
              <w:right w:val="single" w:color="auto" w:sz="4" w:space="0"/>
            </w:tcBorders>
            <w:shd w:val="clear" w:color="auto" w:fill="auto"/>
          </w:tcPr>
          <w:p>
            <w:pPr>
              <w:pStyle w:val="46"/>
              <w:numPr>
                <w:ilvl w:val="0"/>
                <w:numId w:val="17"/>
              </w:numPr>
              <w:spacing w:before="0" w:line="240" w:lineRule="auto"/>
              <w:rPr>
                <w:sz w:val="20"/>
              </w:rPr>
            </w:pPr>
            <w:r>
              <w:rPr>
                <w:sz w:val="20"/>
              </w:rPr>
              <w:t xml:space="preserve">Спортске дворане (2) </w:t>
            </w:r>
          </w:p>
          <w:p>
            <w:pPr>
              <w:pStyle w:val="46"/>
              <w:numPr>
                <w:ilvl w:val="0"/>
                <w:numId w:val="17"/>
              </w:numPr>
              <w:spacing w:before="0" w:line="240" w:lineRule="auto"/>
              <w:rPr>
                <w:sz w:val="20"/>
              </w:rPr>
            </w:pPr>
            <w:r>
              <w:rPr>
                <w:sz w:val="20"/>
              </w:rPr>
              <w:t xml:space="preserve">Базени (1) </w:t>
            </w:r>
          </w:p>
          <w:p>
            <w:pPr>
              <w:pStyle w:val="46"/>
              <w:numPr>
                <w:ilvl w:val="0"/>
                <w:numId w:val="17"/>
              </w:numPr>
              <w:spacing w:before="0" w:line="240" w:lineRule="auto"/>
              <w:rPr>
                <w:sz w:val="20"/>
              </w:rPr>
            </w:pPr>
            <w:r>
              <w:rPr>
                <w:sz w:val="20"/>
              </w:rPr>
              <w:t xml:space="preserve">Фискултурне сале основних школа (27) </w:t>
            </w:r>
          </w:p>
          <w:p>
            <w:pPr>
              <w:pStyle w:val="46"/>
              <w:numPr>
                <w:ilvl w:val="0"/>
                <w:numId w:val="17"/>
              </w:numPr>
              <w:spacing w:before="0" w:line="240" w:lineRule="auto"/>
              <w:rPr>
                <w:sz w:val="20"/>
              </w:rPr>
            </w:pPr>
            <w:r>
              <w:rPr>
                <w:sz w:val="20"/>
              </w:rPr>
              <w:t>Фискултурне сале средњих школа (12)</w:t>
            </w:r>
          </w:p>
        </w:tc>
      </w:tr>
    </w:tbl>
    <w:p>
      <w:pPr>
        <w:jc w:val="both"/>
        <w:rPr>
          <w:lang w:val="sr-Cyrl-RS"/>
        </w:rPr>
      </w:pPr>
    </w:p>
    <w:p>
      <w:pPr>
        <w:jc w:val="both"/>
        <w:rPr>
          <w:lang w:val="sr-Cyrl-RS"/>
        </w:rPr>
      </w:pPr>
      <w:r>
        <w:rPr>
          <w:lang w:val="sr-Cyrl-RS"/>
        </w:rPr>
        <w:t>Детаљан преглед постојећих спортских објеката (отворених – фудбалска игралишта и стадиони, тениски терени, парк „Аквана“ и затворених – спортске дворане, Градски олимпијски базен, фискултурне сале основних и средњих школа) и њиховог стања дат је цјеловитој верзији ситуационе анализе у прилогу овог документа.</w:t>
      </w:r>
    </w:p>
    <w:p>
      <w:pPr>
        <w:jc w:val="both"/>
      </w:pPr>
    </w:p>
    <w:p>
      <w:pPr>
        <w:jc w:val="both"/>
        <w:rPr>
          <w:lang w:val="sr-Cyrl-BA"/>
        </w:rPr>
      </w:pPr>
      <w:r>
        <w:rPr>
          <w:lang w:val="sr-Cyrl-BA"/>
        </w:rPr>
        <w:t>Као најважнија питања која се намећу приликом рјешавања проблема спортских објеката су:</w:t>
      </w:r>
    </w:p>
    <w:p>
      <w:pPr>
        <w:pStyle w:val="46"/>
        <w:numPr>
          <w:ilvl w:val="0"/>
          <w:numId w:val="18"/>
        </w:numPr>
        <w:spacing w:line="240" w:lineRule="auto"/>
        <w:ind w:left="435"/>
        <w:rPr>
          <w:lang w:val="sr-Cyrl-BA"/>
        </w:rPr>
      </w:pPr>
      <w:r>
        <w:rPr>
          <w:lang w:val="sr-Cyrl-BA"/>
        </w:rPr>
        <w:t>Планирање изградње и реконструкције</w:t>
      </w:r>
      <w:r>
        <w:rPr>
          <w:b/>
          <w:lang w:val="sr-Cyrl-BA"/>
        </w:rPr>
        <w:t xml:space="preserve"> </w:t>
      </w:r>
      <w:r>
        <w:rPr>
          <w:lang w:val="sr-Cyrl-BA"/>
        </w:rPr>
        <w:t>спортских објеката мора да буде у складу са захтјевима развоја спорта и са плановима развоја и изградње шире друштвене заједнице. Спортске организације би требало да подстичу и предлажу изградњу и реконструкцију спортских објеката, те да сугеришу приоритете Градској управи, која ће заједно са надлежним министарствима доносити планове изградње и реконструкције спортских објеката.</w:t>
      </w:r>
    </w:p>
    <w:p>
      <w:pPr>
        <w:pStyle w:val="46"/>
        <w:numPr>
          <w:ilvl w:val="0"/>
          <w:numId w:val="18"/>
        </w:numPr>
        <w:spacing w:line="240" w:lineRule="auto"/>
        <w:ind w:left="435"/>
        <w:rPr>
          <w:lang w:val="sr-Cyrl-BA"/>
        </w:rPr>
      </w:pPr>
      <w:r>
        <w:rPr>
          <w:lang w:val="sr-Cyrl-BA"/>
        </w:rPr>
        <w:t>У финансирању изградње и реконструкције спортских објеката морају учествовати све надлежне институције – од града Бања Лука као покретача, односно иницијатора пројекта до надлежних министарстава, па преко донатора и приватног сектора, а у складу са законским и подзаконским прописима.</w:t>
      </w:r>
    </w:p>
    <w:p>
      <w:pPr>
        <w:pStyle w:val="46"/>
        <w:numPr>
          <w:ilvl w:val="0"/>
          <w:numId w:val="18"/>
        </w:numPr>
        <w:spacing w:line="240" w:lineRule="auto"/>
        <w:ind w:left="435"/>
        <w:rPr>
          <w:lang w:val="sr-Cyrl-BA"/>
        </w:rPr>
      </w:pPr>
      <w:r>
        <w:rPr>
          <w:lang w:val="sr-Cyrl-BA"/>
        </w:rPr>
        <w:t>Новоизграђени спортски објекти или објекти на којима се изводи реконструкција током читаве године морају бити лако доступни корисницима свих животних доби, без обзира на њихово тјелесно и здравствено стање (лица с инвалидитетом и старије особе). Осим уклањања архитектонских баријера на улазу у спортски објекат, неопходно је примијенити европске грађевинске стандарде који предвиђају да се спортистима са инвалидитетом омогући несметан прилаз спортском терену и свим пратећим просторијама (свлачионицама, туш кабини, тоалету и сл.).</w:t>
      </w:r>
    </w:p>
    <w:p>
      <w:pPr>
        <w:pStyle w:val="46"/>
        <w:numPr>
          <w:ilvl w:val="0"/>
          <w:numId w:val="18"/>
        </w:numPr>
        <w:spacing w:line="240" w:lineRule="auto"/>
        <w:ind w:left="435"/>
        <w:rPr>
          <w:lang w:val="sr-Cyrl-BA"/>
        </w:rPr>
      </w:pPr>
      <w:r>
        <w:rPr>
          <w:lang w:val="sr-Cyrl-BA"/>
        </w:rPr>
        <w:t>Јединственом евиденцијом спортских објеката неопходно је доћи до података о задовољавању потреба спорта за објектима, као и о неопходности и сврсисходности изградње нових просторних садржаја. Један од важнијих задатака, када је ријеч о евиденцији спортских објеката, јесте да се направи јединствени регистар, односно електронска база за евиденцију спортских објеката, не само у односу на њихов број, већ и на актуелно стање, намјену, експлоатацију/коришћење и исплативост.</w:t>
      </w:r>
    </w:p>
    <w:p>
      <w:pPr>
        <w:pStyle w:val="46"/>
        <w:numPr>
          <w:ilvl w:val="0"/>
          <w:numId w:val="18"/>
        </w:numPr>
        <w:spacing w:line="240" w:lineRule="auto"/>
        <w:ind w:left="435"/>
        <w:rPr>
          <w:lang w:val="sr-Cyrl-BA"/>
        </w:rPr>
      </w:pPr>
      <w:r>
        <w:rPr>
          <w:lang w:val="sr-Cyrl-BA"/>
        </w:rPr>
        <w:t>Одржавање, управљање и коришћење</w:t>
      </w:r>
      <w:r>
        <w:rPr>
          <w:b/>
          <w:lang w:val="sr-Cyrl-BA"/>
        </w:rPr>
        <w:t xml:space="preserve"> </w:t>
      </w:r>
      <w:r>
        <w:rPr>
          <w:lang w:val="sr-Cyrl-BA"/>
        </w:rPr>
        <w:t>спортских објеката је веома важно питање у спорту и неопходно га је ријешити у што краћем року. Поред изградње и реконструкције, највећа материјална издвајања захтијева одржавање спортских објеката. Од великог значаја за ово питање је власништво над објектима и непосредни интерес корисника објекта. Да би дошли до оптималних услова и начина одржавања и управљања спортским објектима неопходно је примијенити модел да сви спортски објекти у власништву Града Бања Лука буду у оквиру истог система одржавања и управљања.</w:t>
      </w:r>
    </w:p>
    <w:p>
      <w:pPr>
        <w:jc w:val="both"/>
        <w:rPr>
          <w:lang w:val="sr-Latn-CS"/>
        </w:rPr>
      </w:pPr>
    </w:p>
    <w:p>
      <w:pPr>
        <w:jc w:val="both"/>
        <w:rPr>
          <w:lang w:val="sr-Latn-CS"/>
        </w:rPr>
      </w:pPr>
    </w:p>
    <w:p>
      <w:pPr>
        <w:jc w:val="both"/>
        <w:rPr>
          <w:lang w:val="sr-Cyrl-CS"/>
        </w:rPr>
      </w:pPr>
      <w:r>
        <w:rPr>
          <w:b/>
          <w:lang w:val="sr-Cyrl-CS"/>
        </w:rPr>
        <w:t xml:space="preserve">Спортско-рекреативна игралишта у граду Бања Лука </w:t>
      </w:r>
      <w:r>
        <w:rPr>
          <w:lang w:val="sr-Cyrl-CS"/>
        </w:rPr>
        <w:t>представљају посебну област физичке културе чијим садржајима требају бити обухваћене све старосне групе и категорије, како у градским, тако и у приградским подручијима. Град је санирао и реконструисао одређен број игралишта у градским и приградским мјесним заједницама који су лако доступни великом броју грађана, али проблем се јавља у кориштењу истих, из разлога што нема организованог система спровођења рекреације на нивоу града, те се наведена игралишта девастирају од стране појединих корисника, док с друге стране велики број потенцијалних корисника из наведених разлога није у могућности да користи исте.</w:t>
      </w:r>
    </w:p>
    <w:p>
      <w:pPr>
        <w:jc w:val="both"/>
        <w:rPr>
          <w:lang w:val="sr-Latn-CS"/>
        </w:rPr>
      </w:pPr>
      <w:r>
        <w:rPr>
          <w:lang w:val="sr-Cyrl-RS"/>
        </w:rPr>
        <w:t>Градска управа града Бања Лука пратећи тренд по угледу на европске градове, приступила је изградњи тзв. теретана у природи, чиме је омогућено свим грађанима, без обзира на пол и узраст, да задовоље своје потребе за физичким вјежбањем на отвореном. У протеклом периоду, на пет локалитета која су препозната као мјеста велике фреквенције гдје се грађани баве рекреативним активностима, постављене су справе за вјежбање на отвореном: између мостова Венеција и Ребровац; на отвореном на Бањ Брду; у насељу Симе Матавуља; у парку Младена Стојановића; у кругу воденог парка „Аквана“.</w:t>
      </w:r>
    </w:p>
    <w:p>
      <w:pPr>
        <w:jc w:val="both"/>
        <w:rPr>
          <w:lang w:val="sr-Latn-CS"/>
        </w:rPr>
      </w:pPr>
    </w:p>
    <w:p>
      <w:pPr>
        <w:tabs>
          <w:tab w:val="left" w:pos="1841"/>
        </w:tabs>
        <w:jc w:val="both"/>
        <w:rPr>
          <w:lang w:val="sr-Cyrl-RS"/>
        </w:rPr>
      </w:pPr>
      <w:r>
        <w:rPr>
          <w:lang w:val="sr-Cyrl-RS"/>
        </w:rPr>
        <w:t>Такође, на подручју града Бања Лука постављене су шаховске гарнитуре за шах на отвореном и то на подручју МЗ Центар, МЗ Обилићево, МЗ Росуље, МЗ Борик, МЗ Старчевица, те су постављени и бетонски столови за стони тенис у парку Младена Стојановића, насељу Симе Матавуља и насељу Ђуре Ђаковића.</w:t>
      </w:r>
    </w:p>
    <w:p>
      <w:pPr>
        <w:jc w:val="both"/>
        <w:rPr>
          <w:lang w:val="sr-Cyrl-CS"/>
        </w:rPr>
      </w:pPr>
    </w:p>
    <w:p>
      <w:pPr>
        <w:rPr>
          <w:b/>
          <w:i/>
          <w:shd w:val="clear" w:color="auto" w:fill="FFFFFF"/>
          <w:lang w:val="sr-Cyrl-RS"/>
        </w:rPr>
      </w:pPr>
      <w:r>
        <w:rPr>
          <w:b/>
          <w:i/>
          <w:shd w:val="clear" w:color="auto" w:fill="FFFFFF"/>
          <w:lang w:val="sr-Cyrl-RS"/>
        </w:rPr>
        <w:t>Спортски садржаји</w:t>
      </w:r>
    </w:p>
    <w:p>
      <w:pPr>
        <w:jc w:val="both"/>
        <w:rPr>
          <w:shd w:val="clear" w:color="auto" w:fill="FFFFFF"/>
        </w:rPr>
      </w:pPr>
    </w:p>
    <w:p>
      <w:pPr>
        <w:jc w:val="both"/>
        <w:rPr>
          <w:shd w:val="clear" w:color="auto" w:fill="FFFFFF"/>
          <w:lang w:val="sr-Cyrl-RS"/>
        </w:rPr>
      </w:pPr>
      <w:r>
        <w:rPr>
          <w:shd w:val="clear" w:color="auto" w:fill="FFFFFF"/>
        </w:rPr>
        <w:t>Имајући у виду традицију спорта и спортских манифестација у Бања</w:t>
      </w:r>
      <w:r>
        <w:rPr>
          <w:shd w:val="clear" w:color="auto" w:fill="FFFFFF"/>
          <w:lang w:val="sr-Cyrl-RS"/>
        </w:rPr>
        <w:t xml:space="preserve"> Л</w:t>
      </w:r>
      <w:r>
        <w:rPr>
          <w:shd w:val="clear" w:color="auto" w:fill="FFFFFF"/>
        </w:rPr>
        <w:t xml:space="preserve">уци, међународни значај и афирмацију спорта града, као и финансијске могућности градског буџета, на основу приједлога градских гранских спортских савеза и спортских организација, које своје програмске активности реализују на подручју Бања Луке, сваке године врши се израда годишњег календара спортских манифестација, тако да је и у 2017. години заступљено </w:t>
      </w:r>
      <w:r>
        <w:rPr>
          <w:shd w:val="clear" w:color="auto" w:fill="FFFFFF"/>
          <w:lang w:val="sr-Cyrl-RS"/>
        </w:rPr>
        <w:t xml:space="preserve">46 </w:t>
      </w:r>
      <w:r>
        <w:rPr>
          <w:shd w:val="clear" w:color="auto" w:fill="FFFFFF"/>
        </w:rPr>
        <w:t>спортских манифестација.</w:t>
      </w:r>
      <w:r>
        <w:rPr>
          <w:shd w:val="clear" w:color="auto" w:fill="FFFFFF"/>
          <w:lang w:val="sr-Cyrl-RS"/>
        </w:rPr>
        <w:t xml:space="preserve"> Осим </w:t>
      </w:r>
      <w:r>
        <w:rPr>
          <w:shd w:val="clear" w:color="auto" w:fill="FFFFFF"/>
        </w:rPr>
        <w:t xml:space="preserve">традиционалних спортских манифестација које се одржавају дужи временски период, годишњим календаром спортских манифестација обухваћена је организација званичних свјетских и европских такмичења, односно међународних спортских такмичења. </w:t>
      </w:r>
    </w:p>
    <w:p>
      <w:pPr>
        <w:jc w:val="both"/>
        <w:rPr>
          <w:shd w:val="clear" w:color="auto" w:fill="FFFFFF"/>
        </w:rPr>
      </w:pPr>
    </w:p>
    <w:p>
      <w:pPr>
        <w:jc w:val="both"/>
        <w:rPr>
          <w:shd w:val="clear" w:color="auto" w:fill="FFFFFF"/>
        </w:rPr>
      </w:pPr>
      <w:r>
        <w:rPr>
          <w:shd w:val="clear" w:color="auto" w:fill="FFFFFF"/>
        </w:rPr>
        <w:t>Водећи рачуна о интересу Града у области спорта, Бања Лука је у протеклом периоду била домаћин значајних међународних спортских манифестација и такмичења, чијом се организацијом допринијело укупном развоју и популаризацији спорта, те међународној афирмацији града, као привредног, културног и спортског центра Републике Српске и ширег региона.</w:t>
      </w:r>
    </w:p>
    <w:p>
      <w:pPr>
        <w:jc w:val="both"/>
        <w:rPr>
          <w:shd w:val="clear" w:color="auto" w:fill="FFFFFF"/>
          <w:lang w:val="sr-Cyrl-RS"/>
        </w:rPr>
      </w:pPr>
    </w:p>
    <w:tbl>
      <w:tblPr>
        <w:tblStyle w:val="36"/>
        <w:tblW w:w="9342"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34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rPr>
          <w:jc w:val="center"/>
        </w:trPr>
        <w:tc>
          <w:tcPr>
            <w:tcW w:w="9342" w:type="dxa"/>
            <w:shd w:val="clear" w:color="auto" w:fill="C5E0B3" w:themeFill="accent6" w:themeFillTint="66"/>
          </w:tcPr>
          <w:p>
            <w:pPr>
              <w:spacing w:after="120"/>
              <w:jc w:val="both"/>
              <w:rPr>
                <w:i/>
                <w:lang w:val="sr-Cyrl-RS"/>
              </w:rPr>
            </w:pPr>
            <w:r>
              <w:rPr>
                <w:i/>
                <w:lang w:val="sr-Cyrl-RS"/>
              </w:rPr>
              <w:t xml:space="preserve">Актуелно стање спорта у граду Бања Лука се може сматрати задовољавајућим, али нема развојну компоненту и адекватан систем организације. Спорт у Републици Српској, па тако и у граду Бања Лука се у великој мјери своди на одржавање постојећег стања, које не даје адекватне резултате. </w:t>
            </w:r>
          </w:p>
          <w:p>
            <w:pPr>
              <w:spacing w:after="120"/>
              <w:jc w:val="both"/>
              <w:rPr>
                <w:i/>
                <w:lang w:val="sr-Cyrl-RS"/>
              </w:rPr>
            </w:pPr>
            <w:r>
              <w:rPr>
                <w:i/>
                <w:lang w:val="sr-Cyrl-RS"/>
              </w:rPr>
              <w:t xml:space="preserve">И поред значајних улагања, тренутно стање спортских објеката у погледу квалитета и квантитета не може задовољити нарасле потребе спортских организација и рекреативаца. </w:t>
            </w:r>
          </w:p>
          <w:p>
            <w:pPr>
              <w:spacing w:after="120"/>
              <w:jc w:val="both"/>
              <w:rPr>
                <w:i/>
                <w:lang w:val="hr-HR"/>
              </w:rPr>
            </w:pPr>
            <w:r>
              <w:rPr>
                <w:i/>
                <w:lang w:val="sr-Cyrl-CS"/>
              </w:rPr>
              <w:t>Узимајући у обзир и достигнути ниво развоја спорта на подручју Града, постојање великог броја спортских организација, недовољне и неадекватне изворе финансирања, као и стање спортских објеката, за развој и унапређење спорта у граду Бања Луци неопходно је систематски, континуирано и у складу са важећим стандардима улагати у изградњу спортске и рекреативне инфраструктуре, те спортских садржаја, с циљем стварања</w:t>
            </w:r>
            <w:r>
              <w:rPr>
                <w:i/>
                <w:lang w:val="hr-HR"/>
              </w:rPr>
              <w:t xml:space="preserve"> услов</w:t>
            </w:r>
            <w:r>
              <w:rPr>
                <w:i/>
                <w:lang w:val="sr-Cyrl-RS"/>
              </w:rPr>
              <w:t>а</w:t>
            </w:r>
            <w:r>
              <w:rPr>
                <w:i/>
                <w:lang w:val="hr-HR"/>
              </w:rPr>
              <w:t xml:space="preserve"> за укључивање што већег броја становника у спортске активности, прије свега</w:t>
            </w:r>
            <w:r>
              <w:rPr>
                <w:i/>
                <w:lang w:val="sr-Cyrl-RS"/>
              </w:rPr>
              <w:t>,</w:t>
            </w:r>
            <w:r>
              <w:rPr>
                <w:i/>
                <w:lang w:val="hr-HR"/>
              </w:rPr>
              <w:t xml:space="preserve"> дјеце и омладине</w:t>
            </w:r>
            <w:r>
              <w:rPr>
                <w:i/>
                <w:lang w:val="sr-Cyrl-RS"/>
              </w:rPr>
              <w:t>.</w:t>
            </w:r>
            <w:r>
              <w:rPr>
                <w:i/>
                <w:lang w:val="sr-Cyrl-CS"/>
              </w:rPr>
              <w:t xml:space="preserve"> </w:t>
            </w:r>
            <w:r>
              <w:rPr>
                <w:rStyle w:val="31"/>
                <w:i/>
                <w:lang w:val="sr-Cyrl-CS"/>
              </w:rPr>
              <w:footnoteReference w:id="48"/>
            </w:r>
            <w:r>
              <w:rPr>
                <w:i/>
                <w:lang w:val="sr-Cyrl-RS"/>
              </w:rPr>
              <w:t xml:space="preserve"> </w:t>
            </w:r>
          </w:p>
        </w:tc>
      </w:tr>
    </w:tbl>
    <w:p/>
    <w:p/>
    <w:p/>
    <w:p>
      <w:pPr>
        <w:pStyle w:val="5"/>
      </w:pPr>
      <w:bookmarkStart w:id="48" w:name="_Toc497473044"/>
      <w:bookmarkStart w:id="49" w:name="_Toc508060562"/>
      <w:bookmarkStart w:id="50" w:name="_Toc526170592"/>
      <w:r>
        <w:t>IV.1.5.4. Здравство</w:t>
      </w:r>
      <w:bookmarkEnd w:id="48"/>
      <w:bookmarkEnd w:id="49"/>
      <w:bookmarkEnd w:id="50"/>
    </w:p>
    <w:p/>
    <w:p>
      <w:pPr>
        <w:autoSpaceDE w:val="0"/>
        <w:autoSpaceDN w:val="0"/>
        <w:adjustRightInd w:val="0"/>
        <w:jc w:val="both"/>
        <w:rPr>
          <w:rFonts w:asciiTheme="minorHAnsi" w:hAnsiTheme="minorHAnsi" w:cstheme="minorHAnsi"/>
          <w:lang w:val="sr-Cyrl-CS"/>
        </w:rPr>
      </w:pPr>
      <w:r>
        <w:rPr>
          <w:rFonts w:asciiTheme="minorHAnsi" w:hAnsiTheme="minorHAnsi" w:cstheme="minorHAnsi"/>
          <w:lang w:val="sr-Cyrl-CS"/>
        </w:rPr>
        <w:t>Здравствена заштита обавља се на примарном, секундарном и терцијарном нивоу, а ингеренције локалне самоуправе су на примарном нивоу здравствене заштите. Здравствена дјелатност обавља се у јавним и приватним здравственим установама које се оснивају под једнаким условима.  Обим, садржај и начин остваривања здравствене заштите утврђује Фонд здравственог осигурања, уз сагласност Министарства здравља и социјалне заштите Републике Српске, а сходно Закону о здравственом осигурању РС.</w:t>
      </w:r>
    </w:p>
    <w:p>
      <w:pPr>
        <w:autoSpaceDE w:val="0"/>
        <w:autoSpaceDN w:val="0"/>
        <w:adjustRightInd w:val="0"/>
        <w:jc w:val="both"/>
        <w:rPr>
          <w:rFonts w:asciiTheme="minorHAnsi" w:hAnsiTheme="minorHAnsi" w:cstheme="minorHAnsi"/>
          <w:lang w:val="sr-Cyrl-CS"/>
        </w:rPr>
      </w:pPr>
    </w:p>
    <w:p>
      <w:pPr>
        <w:autoSpaceDE w:val="0"/>
        <w:autoSpaceDN w:val="0"/>
        <w:adjustRightInd w:val="0"/>
        <w:jc w:val="both"/>
        <w:rPr>
          <w:rFonts w:asciiTheme="minorHAnsi" w:hAnsiTheme="minorHAnsi" w:cstheme="minorHAnsi"/>
          <w:lang w:val="sr-Cyrl-CS"/>
        </w:rPr>
      </w:pPr>
      <w:r>
        <w:rPr>
          <w:rFonts w:asciiTheme="minorHAnsi" w:hAnsiTheme="minorHAnsi" w:cstheme="minorHAnsi"/>
          <w:b/>
          <w:i/>
          <w:lang w:val="sr-Cyrl-CS"/>
        </w:rPr>
        <w:t xml:space="preserve">Надлежности </w:t>
      </w:r>
      <w:r>
        <w:rPr>
          <w:rFonts w:asciiTheme="minorHAnsi" w:hAnsiTheme="minorHAnsi" w:cstheme="minorHAnsi"/>
          <w:b/>
          <w:i/>
        </w:rPr>
        <w:t>јединице</w:t>
      </w:r>
      <w:r>
        <w:rPr>
          <w:rFonts w:asciiTheme="minorHAnsi" w:hAnsiTheme="minorHAnsi" w:cstheme="minorHAnsi"/>
          <w:b/>
          <w:i/>
          <w:lang w:val="sr-Cyrl-CS"/>
        </w:rPr>
        <w:t xml:space="preserve"> локалне самоуправе</w:t>
      </w:r>
      <w:r>
        <w:rPr>
          <w:rFonts w:asciiTheme="minorHAnsi" w:hAnsiTheme="minorHAnsi" w:cstheme="minorHAnsi"/>
          <w:i/>
          <w:lang w:val="sr-Cyrl-RS"/>
        </w:rPr>
        <w:t xml:space="preserve">. </w:t>
      </w:r>
      <w:r>
        <w:rPr>
          <w:rFonts w:asciiTheme="minorHAnsi" w:hAnsiTheme="minorHAnsi" w:cstheme="minorHAnsi"/>
          <w:lang w:val="sr-Cyrl-CS"/>
        </w:rPr>
        <w:t>Град у области з</w:t>
      </w:r>
      <w:r>
        <w:rPr>
          <w:rFonts w:asciiTheme="minorHAnsi" w:hAnsiTheme="minorHAnsi" w:cstheme="minorHAnsi"/>
        </w:rPr>
        <w:t>дравствен</w:t>
      </w:r>
      <w:r>
        <w:rPr>
          <w:rFonts w:asciiTheme="minorHAnsi" w:hAnsiTheme="minorHAnsi" w:cstheme="minorHAnsi"/>
          <w:lang w:val="sr-Cyrl-CS"/>
        </w:rPr>
        <w:t>е</w:t>
      </w:r>
      <w:r>
        <w:rPr>
          <w:rFonts w:asciiTheme="minorHAnsi" w:hAnsiTheme="minorHAnsi" w:cstheme="minorHAnsi"/>
        </w:rPr>
        <w:t xml:space="preserve"> за</w:t>
      </w:r>
      <w:r>
        <w:rPr>
          <w:rFonts w:asciiTheme="minorHAnsi" w:hAnsiTheme="minorHAnsi" w:cstheme="minorHAnsi"/>
          <w:lang w:val="sr-Cyrl-CS"/>
        </w:rPr>
        <w:t>ш</w:t>
      </w:r>
      <w:r>
        <w:rPr>
          <w:rFonts w:asciiTheme="minorHAnsi" w:hAnsiTheme="minorHAnsi" w:cstheme="minorHAnsi"/>
        </w:rPr>
        <w:t>тит</w:t>
      </w:r>
      <w:r>
        <w:rPr>
          <w:rFonts w:asciiTheme="minorHAnsi" w:hAnsiTheme="minorHAnsi" w:cstheme="minorHAnsi"/>
          <w:lang w:val="sr-Cyrl-CS"/>
        </w:rPr>
        <w:t>е</w:t>
      </w:r>
      <w:r>
        <w:rPr>
          <w:rFonts w:asciiTheme="minorHAnsi" w:hAnsiTheme="minorHAnsi" w:cstheme="minorHAnsi"/>
          <w:b/>
          <w:lang w:val="sr-Cyrl-CS"/>
        </w:rPr>
        <w:t xml:space="preserve"> </w:t>
      </w:r>
      <w:r>
        <w:rPr>
          <w:rFonts w:asciiTheme="minorHAnsi" w:hAnsiTheme="minorHAnsi" w:cstheme="minorHAnsi"/>
          <w:lang w:val="bs-Cyrl-BA"/>
        </w:rPr>
        <w:t xml:space="preserve">прати здравствено стање становништва и епидемиолошку ситуацију на територији града и предузима мјере за њихово унапређивање; </w:t>
      </w:r>
      <w:r>
        <w:rPr>
          <w:rFonts w:asciiTheme="minorHAnsi" w:hAnsiTheme="minorHAnsi" w:cstheme="minorHAnsi"/>
          <w:lang w:val="sr-Cyrl-CS"/>
        </w:rPr>
        <w:t>п</w:t>
      </w:r>
      <w:r>
        <w:rPr>
          <w:rFonts w:asciiTheme="minorHAnsi" w:hAnsiTheme="minorHAnsi" w:cstheme="minorHAnsi"/>
        </w:rPr>
        <w:t>ра</w:t>
      </w:r>
      <w:r>
        <w:rPr>
          <w:rFonts w:asciiTheme="minorHAnsi" w:hAnsiTheme="minorHAnsi" w:cstheme="minorHAnsi"/>
          <w:lang w:val="sr-Cyrl-CS"/>
        </w:rPr>
        <w:t xml:space="preserve">ти </w:t>
      </w:r>
      <w:r>
        <w:rPr>
          <w:rFonts w:asciiTheme="minorHAnsi" w:hAnsiTheme="minorHAnsi" w:cstheme="minorHAnsi"/>
        </w:rPr>
        <w:t>рад здравствених установа на примарном</w:t>
      </w:r>
      <w:r>
        <w:rPr>
          <w:rFonts w:asciiTheme="minorHAnsi" w:hAnsiTheme="minorHAnsi" w:cstheme="minorHAnsi"/>
          <w:lang w:val="sr-Cyrl-CS"/>
        </w:rPr>
        <w:t xml:space="preserve"> </w:t>
      </w:r>
      <w:r>
        <w:rPr>
          <w:rFonts w:asciiTheme="minorHAnsi" w:hAnsiTheme="minorHAnsi" w:cstheme="minorHAnsi"/>
        </w:rPr>
        <w:t>нивоу здравствене за</w:t>
      </w:r>
      <w:r>
        <w:rPr>
          <w:rFonts w:asciiTheme="minorHAnsi" w:hAnsiTheme="minorHAnsi" w:cstheme="minorHAnsi"/>
          <w:lang w:val="sr-Cyrl-CS"/>
        </w:rPr>
        <w:t>ш</w:t>
      </w:r>
      <w:r>
        <w:rPr>
          <w:rFonts w:asciiTheme="minorHAnsi" w:hAnsiTheme="minorHAnsi" w:cstheme="minorHAnsi"/>
        </w:rPr>
        <w:t>тите,</w:t>
      </w:r>
      <w:r>
        <w:rPr>
          <w:rFonts w:asciiTheme="minorHAnsi" w:hAnsiTheme="minorHAnsi" w:cstheme="minorHAnsi"/>
          <w:lang w:val="sr-Cyrl-CS"/>
        </w:rPr>
        <w:t xml:space="preserve"> ч</w:t>
      </w:r>
      <w:r>
        <w:rPr>
          <w:rFonts w:asciiTheme="minorHAnsi" w:hAnsiTheme="minorHAnsi" w:cstheme="minorHAnsi"/>
        </w:rPr>
        <w:t>ији је оснива</w:t>
      </w:r>
      <w:r>
        <w:rPr>
          <w:rFonts w:asciiTheme="minorHAnsi" w:hAnsiTheme="minorHAnsi" w:cstheme="minorHAnsi"/>
          <w:lang w:val="sr-Cyrl-CS"/>
        </w:rPr>
        <w:t xml:space="preserve">ч; финансира и </w:t>
      </w:r>
      <w:r>
        <w:rPr>
          <w:rFonts w:asciiTheme="minorHAnsi" w:hAnsiTheme="minorHAnsi" w:cstheme="minorHAnsi"/>
        </w:rPr>
        <w:t>суфинансира изград</w:t>
      </w:r>
      <w:r>
        <w:rPr>
          <w:rFonts w:asciiTheme="minorHAnsi" w:hAnsiTheme="minorHAnsi" w:cstheme="minorHAnsi"/>
          <w:lang w:val="sr-Cyrl-CS"/>
        </w:rPr>
        <w:t xml:space="preserve">њу </w:t>
      </w:r>
      <w:r>
        <w:rPr>
          <w:rFonts w:asciiTheme="minorHAnsi" w:hAnsiTheme="minorHAnsi" w:cstheme="minorHAnsi"/>
        </w:rPr>
        <w:t xml:space="preserve"> и опрема</w:t>
      </w:r>
      <w:r>
        <w:rPr>
          <w:rFonts w:asciiTheme="minorHAnsi" w:hAnsiTheme="minorHAnsi" w:cstheme="minorHAnsi"/>
          <w:lang w:val="sr-Cyrl-CS"/>
        </w:rPr>
        <w:t xml:space="preserve">ње </w:t>
      </w:r>
      <w:r>
        <w:rPr>
          <w:rFonts w:asciiTheme="minorHAnsi" w:hAnsiTheme="minorHAnsi" w:cstheme="minorHAnsi"/>
        </w:rPr>
        <w:t>здравствених</w:t>
      </w:r>
      <w:r>
        <w:rPr>
          <w:rFonts w:asciiTheme="minorHAnsi" w:hAnsiTheme="minorHAnsi" w:cstheme="minorHAnsi"/>
          <w:lang w:val="sr-Cyrl-CS"/>
        </w:rPr>
        <w:t xml:space="preserve"> </w:t>
      </w:r>
      <w:r>
        <w:rPr>
          <w:rFonts w:asciiTheme="minorHAnsi" w:hAnsiTheme="minorHAnsi" w:cstheme="minorHAnsi"/>
        </w:rPr>
        <w:t xml:space="preserve">установа, </w:t>
      </w:r>
      <w:r>
        <w:rPr>
          <w:rFonts w:asciiTheme="minorHAnsi" w:hAnsiTheme="minorHAnsi" w:cstheme="minorHAnsi"/>
          <w:lang w:val="sr-Cyrl-CS"/>
        </w:rPr>
        <w:t>те</w:t>
      </w:r>
      <w:r>
        <w:rPr>
          <w:rFonts w:asciiTheme="minorHAnsi" w:hAnsiTheme="minorHAnsi" w:cstheme="minorHAnsi"/>
        </w:rPr>
        <w:t xml:space="preserve"> обезбје</w:t>
      </w:r>
      <w:r>
        <w:rPr>
          <w:rFonts w:asciiTheme="minorHAnsi" w:hAnsiTheme="minorHAnsi" w:cstheme="minorHAnsi"/>
          <w:lang w:val="sr-Cyrl-CS"/>
        </w:rPr>
        <w:t>ђуј</w:t>
      </w:r>
      <w:r>
        <w:rPr>
          <w:rFonts w:asciiTheme="minorHAnsi" w:hAnsiTheme="minorHAnsi" w:cstheme="minorHAnsi"/>
        </w:rPr>
        <w:t>е средстава за континуирано</w:t>
      </w:r>
      <w:r>
        <w:rPr>
          <w:rFonts w:asciiTheme="minorHAnsi" w:hAnsiTheme="minorHAnsi" w:cstheme="minorHAnsi"/>
          <w:lang w:val="sr-Cyrl-CS"/>
        </w:rPr>
        <w:t xml:space="preserve"> </w:t>
      </w:r>
      <w:r>
        <w:rPr>
          <w:rFonts w:asciiTheme="minorHAnsi" w:hAnsiTheme="minorHAnsi" w:cstheme="minorHAnsi"/>
        </w:rPr>
        <w:t>одр</w:t>
      </w:r>
      <w:r>
        <w:rPr>
          <w:rFonts w:asciiTheme="minorHAnsi" w:hAnsiTheme="minorHAnsi" w:cstheme="minorHAnsi"/>
          <w:lang w:val="sr-Cyrl-CS"/>
        </w:rPr>
        <w:t>ж</w:t>
      </w:r>
      <w:r>
        <w:rPr>
          <w:rFonts w:asciiTheme="minorHAnsi" w:hAnsiTheme="minorHAnsi" w:cstheme="minorHAnsi"/>
        </w:rPr>
        <w:t>ава</w:t>
      </w:r>
      <w:r>
        <w:rPr>
          <w:rFonts w:asciiTheme="minorHAnsi" w:hAnsiTheme="minorHAnsi" w:cstheme="minorHAnsi"/>
          <w:lang w:val="sr-Cyrl-CS"/>
        </w:rPr>
        <w:t>њ</w:t>
      </w:r>
      <w:r>
        <w:rPr>
          <w:rFonts w:asciiTheme="minorHAnsi" w:hAnsiTheme="minorHAnsi" w:cstheme="minorHAnsi"/>
        </w:rPr>
        <w:t>е објеката и опреме, обнав</w:t>
      </w:r>
      <w:r>
        <w:rPr>
          <w:rFonts w:asciiTheme="minorHAnsi" w:hAnsiTheme="minorHAnsi" w:cstheme="minorHAnsi"/>
          <w:lang w:val="sr-Cyrl-CS"/>
        </w:rPr>
        <w:t>љ</w:t>
      </w:r>
      <w:r>
        <w:rPr>
          <w:rFonts w:asciiTheme="minorHAnsi" w:hAnsiTheme="minorHAnsi" w:cstheme="minorHAnsi"/>
        </w:rPr>
        <w:t>а</w:t>
      </w:r>
      <w:r>
        <w:rPr>
          <w:rFonts w:asciiTheme="minorHAnsi" w:hAnsiTheme="minorHAnsi" w:cstheme="minorHAnsi"/>
          <w:lang w:val="sr-Cyrl-CS"/>
        </w:rPr>
        <w:t>њ</w:t>
      </w:r>
      <w:r>
        <w:rPr>
          <w:rFonts w:asciiTheme="minorHAnsi" w:hAnsiTheme="minorHAnsi" w:cstheme="minorHAnsi"/>
        </w:rPr>
        <w:t>е и набавк</w:t>
      </w:r>
      <w:r>
        <w:rPr>
          <w:rFonts w:asciiTheme="minorHAnsi" w:hAnsiTheme="minorHAnsi" w:cstheme="minorHAnsi"/>
          <w:lang w:val="sr-Cyrl-CS"/>
        </w:rPr>
        <w:t xml:space="preserve">у </w:t>
      </w:r>
      <w:r>
        <w:rPr>
          <w:rFonts w:asciiTheme="minorHAnsi" w:hAnsiTheme="minorHAnsi" w:cstheme="minorHAnsi"/>
        </w:rPr>
        <w:t xml:space="preserve"> нове опреме за здравствен</w:t>
      </w:r>
      <w:r>
        <w:rPr>
          <w:rFonts w:asciiTheme="minorHAnsi" w:hAnsiTheme="minorHAnsi" w:cstheme="minorHAnsi"/>
          <w:lang w:val="sr-Cyrl-CS"/>
        </w:rPr>
        <w:t>у</w:t>
      </w:r>
      <w:r>
        <w:rPr>
          <w:rFonts w:asciiTheme="minorHAnsi" w:hAnsiTheme="minorHAnsi" w:cstheme="minorHAnsi"/>
        </w:rPr>
        <w:t xml:space="preserve"> установ</w:t>
      </w:r>
      <w:r>
        <w:rPr>
          <w:rFonts w:asciiTheme="minorHAnsi" w:hAnsiTheme="minorHAnsi" w:cstheme="minorHAnsi"/>
          <w:lang w:val="sr-Cyrl-CS"/>
        </w:rPr>
        <w:t>у ч</w:t>
      </w:r>
      <w:r>
        <w:rPr>
          <w:rFonts w:asciiTheme="minorHAnsi" w:hAnsiTheme="minorHAnsi" w:cstheme="minorHAnsi"/>
        </w:rPr>
        <w:t>ији је оснива</w:t>
      </w:r>
      <w:r>
        <w:rPr>
          <w:rFonts w:asciiTheme="minorHAnsi" w:hAnsiTheme="minorHAnsi" w:cstheme="minorHAnsi"/>
          <w:lang w:val="sr-Cyrl-CS"/>
        </w:rPr>
        <w:t xml:space="preserve">ч; у буџету обезбјеђује додатна средства за остваривање  </w:t>
      </w:r>
      <w:r>
        <w:rPr>
          <w:rFonts w:asciiTheme="minorHAnsi" w:hAnsiTheme="minorHAnsi" w:cstheme="minorHAnsi"/>
          <w:lang w:val="bs-Cyrl-BA"/>
        </w:rPr>
        <w:t>з</w:t>
      </w:r>
      <w:r>
        <w:rPr>
          <w:rFonts w:asciiTheme="minorHAnsi" w:hAnsiTheme="minorHAnsi" w:cstheme="minorHAnsi"/>
        </w:rPr>
        <w:t>дравствен</w:t>
      </w:r>
      <w:r>
        <w:rPr>
          <w:rFonts w:asciiTheme="minorHAnsi" w:hAnsiTheme="minorHAnsi" w:cstheme="minorHAnsi"/>
          <w:lang w:val="bs-Cyrl-BA"/>
        </w:rPr>
        <w:t>е</w:t>
      </w:r>
      <w:r>
        <w:rPr>
          <w:rFonts w:asciiTheme="minorHAnsi" w:hAnsiTheme="minorHAnsi" w:cstheme="minorHAnsi"/>
        </w:rPr>
        <w:t xml:space="preserve"> за</w:t>
      </w:r>
      <w:r>
        <w:rPr>
          <w:rFonts w:asciiTheme="minorHAnsi" w:hAnsiTheme="minorHAnsi" w:cstheme="minorHAnsi"/>
          <w:lang w:val="sr-Cyrl-CS"/>
        </w:rPr>
        <w:t>ш</w:t>
      </w:r>
      <w:r>
        <w:rPr>
          <w:rFonts w:asciiTheme="minorHAnsi" w:hAnsiTheme="minorHAnsi" w:cstheme="minorHAnsi"/>
        </w:rPr>
        <w:t>тит</w:t>
      </w:r>
      <w:r>
        <w:rPr>
          <w:rFonts w:asciiTheme="minorHAnsi" w:hAnsiTheme="minorHAnsi" w:cstheme="minorHAnsi"/>
          <w:lang w:val="bs-Cyrl-BA"/>
        </w:rPr>
        <w:t>е</w:t>
      </w:r>
      <w:r>
        <w:rPr>
          <w:rFonts w:asciiTheme="minorHAnsi" w:hAnsiTheme="minorHAnsi" w:cstheme="minorHAnsi"/>
          <w:lang w:val="sr-Cyrl-CS"/>
        </w:rPr>
        <w:t xml:space="preserve"> која су преко утврђених вриједности стандарда и норматива из обавезног здравственог осигурања;</w:t>
      </w:r>
      <w:r>
        <w:rPr>
          <w:rFonts w:asciiTheme="minorHAnsi" w:hAnsiTheme="minorHAnsi" w:cstheme="minorHAnsi"/>
          <w:b/>
          <w:lang w:val="sr-Cyrl-CS"/>
        </w:rPr>
        <w:t xml:space="preserve"> </w:t>
      </w:r>
      <w:r>
        <w:rPr>
          <w:rFonts w:asciiTheme="minorHAnsi" w:hAnsiTheme="minorHAnsi" w:cstheme="minorHAnsi"/>
          <w:lang w:val="sr-Cyrl-CS"/>
        </w:rPr>
        <w:t xml:space="preserve">Спроводи превентивне мјере дезинсекције и дератизације у складу са Законом  </w:t>
      </w:r>
      <w:r>
        <w:rPr>
          <w:rFonts w:asciiTheme="minorHAnsi" w:hAnsiTheme="minorHAnsi" w:cstheme="minorHAnsi"/>
        </w:rPr>
        <w:t xml:space="preserve">o </w:t>
      </w:r>
      <w:r>
        <w:rPr>
          <w:rFonts w:asciiTheme="minorHAnsi" w:hAnsiTheme="minorHAnsi" w:cstheme="minorHAnsi"/>
          <w:lang w:val="sr-Cyrl-CS"/>
        </w:rPr>
        <w:t xml:space="preserve">заштити становништва од заразних болести  </w:t>
      </w:r>
      <w:r>
        <w:rPr>
          <w:rFonts w:asciiTheme="minorHAnsi" w:hAnsiTheme="minorHAnsi" w:cstheme="minorHAnsi"/>
          <w:lang w:val="ru-RU"/>
        </w:rPr>
        <w:t>(,,</w:t>
      </w:r>
      <w:r>
        <w:rPr>
          <w:rFonts w:asciiTheme="minorHAnsi" w:hAnsiTheme="minorHAnsi" w:cstheme="minorHAnsi"/>
          <w:lang w:val="sr-Cyrl-CS"/>
        </w:rPr>
        <w:t>Службени гласник  Републике Српске</w:t>
      </w:r>
      <w:r>
        <w:rPr>
          <w:rFonts w:asciiTheme="minorHAnsi" w:hAnsiTheme="minorHAnsi" w:cstheme="minorHAnsi"/>
          <w:lang w:val="ru-RU"/>
        </w:rPr>
        <w:t xml:space="preserve">”, </w:t>
      </w:r>
      <w:r>
        <w:rPr>
          <w:rFonts w:asciiTheme="minorHAnsi" w:hAnsiTheme="minorHAnsi" w:cstheme="minorHAnsi"/>
          <w:lang w:val="sr-Cyrl-CS"/>
        </w:rPr>
        <w:t>број 90</w:t>
      </w:r>
      <w:r>
        <w:rPr>
          <w:rFonts w:asciiTheme="minorHAnsi" w:hAnsiTheme="minorHAnsi" w:cstheme="minorHAnsi"/>
          <w:lang w:val="ru-RU"/>
        </w:rPr>
        <w:t>/17 ),</w:t>
      </w:r>
      <w:r>
        <w:rPr>
          <w:rFonts w:asciiTheme="minorHAnsi" w:hAnsiTheme="minorHAnsi" w:cstheme="minorHAnsi"/>
          <w:lang w:val="sr-Cyrl-CS"/>
        </w:rPr>
        <w:t xml:space="preserve"> Скупштина града именује докторе медицине</w:t>
      </w:r>
      <w:r>
        <w:rPr>
          <w:rFonts w:asciiTheme="minorHAnsi" w:hAnsiTheme="minorHAnsi" w:cstheme="minorHAnsi"/>
          <w:lang w:val="sr-Cyrl-RS"/>
        </w:rPr>
        <w:t xml:space="preserve"> </w:t>
      </w:r>
      <w:r>
        <w:rPr>
          <w:rFonts w:asciiTheme="minorHAnsi" w:hAnsiTheme="minorHAnsi" w:cstheme="minorHAnsi"/>
          <w:lang w:val="sr-Cyrl-CS"/>
        </w:rPr>
        <w:t>- мртвозорнике за утврђивање времена и узрока смрти лица умрлих ван здравствене установе на територији града Бања Лука</w:t>
      </w:r>
      <w:r>
        <w:rPr>
          <w:rFonts w:asciiTheme="minorHAnsi" w:hAnsiTheme="minorHAnsi" w:cstheme="minorHAnsi"/>
          <w:lang w:val="bs-Cyrl-BA"/>
        </w:rPr>
        <w:t xml:space="preserve">, а у буџету Града </w:t>
      </w:r>
      <w:r>
        <w:rPr>
          <w:rFonts w:asciiTheme="minorHAnsi" w:hAnsiTheme="minorHAnsi" w:cstheme="minorHAnsi"/>
        </w:rPr>
        <w:t>обезбје</w:t>
      </w:r>
      <w:r>
        <w:rPr>
          <w:rFonts w:asciiTheme="minorHAnsi" w:hAnsiTheme="minorHAnsi" w:cstheme="minorHAnsi"/>
          <w:lang w:val="sr-Cyrl-CS"/>
        </w:rPr>
        <w:t xml:space="preserve">ђују </w:t>
      </w:r>
      <w:r>
        <w:rPr>
          <w:rFonts w:asciiTheme="minorHAnsi" w:hAnsiTheme="minorHAnsi" w:cstheme="minorHAnsi"/>
          <w:lang w:val="bs-Cyrl-BA"/>
        </w:rPr>
        <w:t>се</w:t>
      </w:r>
      <w:r>
        <w:rPr>
          <w:rFonts w:asciiTheme="minorHAnsi" w:hAnsiTheme="minorHAnsi" w:cstheme="minorHAnsi"/>
          <w:lang w:val="sr-Cyrl-CS"/>
        </w:rPr>
        <w:t xml:space="preserve"> средства за услуге мртвозорства;</w:t>
      </w:r>
      <w:r>
        <w:rPr>
          <w:rFonts w:asciiTheme="minorHAnsi" w:hAnsiTheme="minorHAnsi" w:cstheme="minorHAnsi"/>
          <w:bCs/>
          <w:lang w:val="sr-Cyrl-CS"/>
        </w:rPr>
        <w:t xml:space="preserve"> плаћа </w:t>
      </w:r>
      <w:r>
        <w:rPr>
          <w:rFonts w:asciiTheme="minorHAnsi" w:hAnsiTheme="minorHAnsi" w:cstheme="minorHAnsi"/>
          <w:lang w:val="sr-Cyrl-CS"/>
        </w:rPr>
        <w:t>трошкове психијатријског вјештачења ради задржавања душевно болесног лица у здравственој установи,</w:t>
      </w:r>
      <w:r>
        <w:rPr>
          <w:rFonts w:asciiTheme="minorHAnsi" w:hAnsiTheme="minorHAnsi" w:cstheme="minorHAnsi"/>
          <w:bCs/>
          <w:lang w:val="sr-Cyrl-CS"/>
        </w:rPr>
        <w:t xml:space="preserve"> на основу </w:t>
      </w:r>
      <w:r>
        <w:rPr>
          <w:rFonts w:asciiTheme="minorHAnsi" w:hAnsiTheme="minorHAnsi" w:cstheme="minorHAnsi"/>
          <w:lang w:val="sr-Cyrl-CS"/>
        </w:rPr>
        <w:t>рјешења суда ;</w:t>
      </w:r>
      <w:r>
        <w:rPr>
          <w:rFonts w:asciiTheme="minorHAnsi" w:hAnsiTheme="minorHAnsi" w:cstheme="minorHAnsi"/>
        </w:rPr>
        <w:t xml:space="preserve"> обезбје</w:t>
      </w:r>
      <w:r>
        <w:rPr>
          <w:rFonts w:asciiTheme="minorHAnsi" w:hAnsiTheme="minorHAnsi" w:cstheme="minorHAnsi"/>
          <w:lang w:val="sr-Cyrl-CS"/>
        </w:rPr>
        <w:t>ђује</w:t>
      </w:r>
      <w:r>
        <w:rPr>
          <w:rFonts w:asciiTheme="minorHAnsi" w:hAnsiTheme="minorHAnsi" w:cstheme="minorHAnsi"/>
        </w:rPr>
        <w:t xml:space="preserve"> средства за суфинансира</w:t>
      </w:r>
      <w:r>
        <w:rPr>
          <w:rFonts w:asciiTheme="minorHAnsi" w:hAnsiTheme="minorHAnsi" w:cstheme="minorHAnsi"/>
          <w:lang w:val="sr-Cyrl-CS"/>
        </w:rPr>
        <w:t>њ</w:t>
      </w:r>
      <w:r>
        <w:rPr>
          <w:rFonts w:asciiTheme="minorHAnsi" w:hAnsiTheme="minorHAnsi" w:cstheme="minorHAnsi"/>
        </w:rPr>
        <w:t>е програма</w:t>
      </w:r>
      <w:r>
        <w:rPr>
          <w:rFonts w:asciiTheme="minorHAnsi" w:hAnsiTheme="minorHAnsi" w:cstheme="minorHAnsi"/>
          <w:lang w:val="sr-Cyrl-CS"/>
        </w:rPr>
        <w:t xml:space="preserve"> </w:t>
      </w:r>
      <w:r>
        <w:rPr>
          <w:rFonts w:asciiTheme="minorHAnsi" w:hAnsiTheme="minorHAnsi" w:cstheme="minorHAnsi"/>
        </w:rPr>
        <w:t>и пројеката здравствене за</w:t>
      </w:r>
      <w:r>
        <w:rPr>
          <w:rFonts w:asciiTheme="minorHAnsi" w:hAnsiTheme="minorHAnsi" w:cstheme="minorHAnsi"/>
          <w:lang w:val="sr-Cyrl-CS"/>
        </w:rPr>
        <w:t>ш</w:t>
      </w:r>
      <w:r>
        <w:rPr>
          <w:rFonts w:asciiTheme="minorHAnsi" w:hAnsiTheme="minorHAnsi" w:cstheme="minorHAnsi"/>
        </w:rPr>
        <w:t>тите од интереса за локалну</w:t>
      </w:r>
      <w:r>
        <w:rPr>
          <w:rFonts w:asciiTheme="minorHAnsi" w:hAnsiTheme="minorHAnsi" w:cstheme="minorHAnsi"/>
          <w:lang w:val="sr-Cyrl-CS"/>
        </w:rPr>
        <w:t xml:space="preserve"> </w:t>
      </w:r>
      <w:r>
        <w:rPr>
          <w:rFonts w:asciiTheme="minorHAnsi" w:hAnsiTheme="minorHAnsi" w:cstheme="minorHAnsi"/>
        </w:rPr>
        <w:t>самоуправу</w:t>
      </w:r>
      <w:r>
        <w:rPr>
          <w:rFonts w:asciiTheme="minorHAnsi" w:hAnsiTheme="minorHAnsi" w:cstheme="minorHAnsi"/>
          <w:lang w:val="sr-Cyrl-CS"/>
        </w:rPr>
        <w:t>; у</w:t>
      </w:r>
      <w:r>
        <w:rPr>
          <w:rFonts w:asciiTheme="minorHAnsi" w:hAnsiTheme="minorHAnsi" w:cstheme="minorHAnsi"/>
        </w:rPr>
        <w:t xml:space="preserve"> циљу подршке пронаталитетној политици</w:t>
      </w:r>
      <w:r>
        <w:rPr>
          <w:rFonts w:asciiTheme="minorHAnsi" w:hAnsiTheme="minorHAnsi" w:cstheme="minorHAnsi"/>
          <w:lang w:val="sr-Cyrl-CS"/>
        </w:rPr>
        <w:t xml:space="preserve"> Града</w:t>
      </w:r>
      <w:r>
        <w:rPr>
          <w:rFonts w:asciiTheme="minorHAnsi" w:hAnsiTheme="minorHAnsi" w:cstheme="minorHAnsi"/>
        </w:rPr>
        <w:t>,</w:t>
      </w:r>
      <w:r>
        <w:rPr>
          <w:rFonts w:asciiTheme="minorHAnsi" w:hAnsiTheme="minorHAnsi" w:cstheme="minorHAnsi"/>
          <w:lang w:val="ru-RU"/>
        </w:rPr>
        <w:t xml:space="preserve"> </w:t>
      </w:r>
      <w:r>
        <w:rPr>
          <w:rFonts w:asciiTheme="minorHAnsi" w:hAnsiTheme="minorHAnsi" w:cstheme="minorHAnsi"/>
        </w:rPr>
        <w:t xml:space="preserve">суфинансира трошкове једне процедуре </w:t>
      </w:r>
      <w:r>
        <w:rPr>
          <w:rFonts w:asciiTheme="minorHAnsi" w:hAnsiTheme="minorHAnsi" w:cstheme="minorHAnsi"/>
          <w:lang w:val="sr-Cyrl-CS"/>
        </w:rPr>
        <w:t xml:space="preserve">медицински потпомогнуте </w:t>
      </w:r>
      <w:r>
        <w:rPr>
          <w:rFonts w:asciiTheme="minorHAnsi" w:hAnsiTheme="minorHAnsi" w:cstheme="minorHAnsi"/>
          <w:lang w:val="sr-Latn-RS"/>
        </w:rPr>
        <w:t>оплодњ</w:t>
      </w:r>
      <w:r>
        <w:rPr>
          <w:rFonts w:asciiTheme="minorHAnsi" w:hAnsiTheme="minorHAnsi" w:cstheme="minorHAnsi"/>
          <w:lang w:val="sr-Cyrl-CS"/>
        </w:rPr>
        <w:t>е</w:t>
      </w:r>
      <w:r>
        <w:rPr>
          <w:rFonts w:asciiTheme="minorHAnsi" w:hAnsiTheme="minorHAnsi" w:cstheme="minorHAnsi"/>
        </w:rPr>
        <w:t>-вантјелесне оплодње</w:t>
      </w:r>
      <w:r>
        <w:rPr>
          <w:rFonts w:asciiTheme="minorHAnsi" w:hAnsiTheme="minorHAnsi" w:cstheme="minorHAnsi"/>
          <w:lang w:val="sr-Cyrl-CS"/>
        </w:rPr>
        <w:t xml:space="preserve">; </w:t>
      </w:r>
      <w:r>
        <w:rPr>
          <w:rFonts w:asciiTheme="minorHAnsi" w:hAnsiTheme="minorHAnsi" w:cstheme="minorHAnsi"/>
          <w:bCs/>
          <w:lang w:val="sr-Cyrl-CS"/>
        </w:rPr>
        <w:t>Град</w:t>
      </w:r>
      <w:r>
        <w:rPr>
          <w:rFonts w:asciiTheme="minorHAnsi" w:hAnsiTheme="minorHAnsi" w:cstheme="minorHAnsi"/>
          <w:lang w:val="sr-Cyrl-CS"/>
        </w:rPr>
        <w:t xml:space="preserve"> предлаже </w:t>
      </w:r>
      <w:r>
        <w:rPr>
          <w:rFonts w:asciiTheme="minorHAnsi" w:hAnsiTheme="minorHAnsi" w:cstheme="minorHAnsi"/>
        </w:rPr>
        <w:t>Министарству</w:t>
      </w:r>
      <w:r>
        <w:rPr>
          <w:rFonts w:asciiTheme="minorHAnsi" w:hAnsiTheme="minorHAnsi" w:cstheme="minorHAnsi"/>
          <w:lang w:val="sr-Cyrl-CS"/>
        </w:rPr>
        <w:t xml:space="preserve"> </w:t>
      </w:r>
      <w:r>
        <w:rPr>
          <w:rFonts w:asciiTheme="minorHAnsi" w:hAnsiTheme="minorHAnsi" w:cstheme="minorHAnsi"/>
        </w:rPr>
        <w:t xml:space="preserve">план мреже здравствених установа </w:t>
      </w:r>
      <w:r>
        <w:rPr>
          <w:rFonts w:asciiTheme="minorHAnsi" w:hAnsiTheme="minorHAnsi" w:cstheme="minorHAnsi"/>
          <w:lang w:val="sr-Cyrl-CS"/>
        </w:rPr>
        <w:t>за своје подручје (</w:t>
      </w:r>
      <w:r>
        <w:rPr>
          <w:rFonts w:asciiTheme="minorHAnsi" w:hAnsiTheme="minorHAnsi" w:cstheme="minorHAnsi"/>
          <w:lang w:val="hr-HR"/>
        </w:rPr>
        <w:t>Закон</w:t>
      </w:r>
      <w:r>
        <w:rPr>
          <w:rFonts w:asciiTheme="minorHAnsi" w:hAnsiTheme="minorHAnsi" w:cstheme="minorHAnsi"/>
          <w:lang w:val="sr-Cyrl-CS"/>
        </w:rPr>
        <w:t>ом</w:t>
      </w:r>
      <w:r>
        <w:rPr>
          <w:rFonts w:asciiTheme="minorHAnsi" w:hAnsiTheme="minorHAnsi" w:cstheme="minorHAnsi"/>
          <w:lang w:val="hr-HR"/>
        </w:rPr>
        <w:t xml:space="preserve"> о здравственој заштити </w:t>
      </w:r>
      <w:r>
        <w:rPr>
          <w:rFonts w:asciiTheme="minorHAnsi" w:hAnsiTheme="minorHAnsi" w:cstheme="minorHAnsi"/>
          <w:lang w:val="sr-Latn-RS"/>
        </w:rPr>
        <w:t>Р</w:t>
      </w:r>
      <w:r>
        <w:rPr>
          <w:rFonts w:asciiTheme="minorHAnsi" w:hAnsiTheme="minorHAnsi" w:cstheme="minorHAnsi"/>
          <w:lang w:val="bs-Cyrl-BA"/>
        </w:rPr>
        <w:t xml:space="preserve">С </w:t>
      </w:r>
      <w:r>
        <w:rPr>
          <w:rFonts w:asciiTheme="minorHAnsi" w:hAnsiTheme="minorHAnsi" w:cstheme="minorHAnsi"/>
          <w:lang w:val="sr-Cyrl-CS"/>
        </w:rPr>
        <w:t>је дефинисано да л</w:t>
      </w:r>
      <w:r>
        <w:rPr>
          <w:rFonts w:asciiTheme="minorHAnsi" w:hAnsiTheme="minorHAnsi" w:cstheme="minorHAnsi"/>
        </w:rPr>
        <w:t>окална самоуправа оснива дом здравља, а може да оснује и: амбуланту за лијечење, здравствену његу и рехабилитацију, специјалистичку амбуланту породичне медицине, специјалистичку амбуланту, стоматолошку амбуланту, апотеку и дом за</w:t>
      </w:r>
      <w:r>
        <w:rPr>
          <w:rFonts w:asciiTheme="minorHAnsi" w:hAnsiTheme="minorHAnsi" w:cstheme="minorHAnsi"/>
          <w:lang w:val="bs-Cyrl-BA"/>
        </w:rPr>
        <w:t xml:space="preserve"> </w:t>
      </w:r>
      <w:r>
        <w:rPr>
          <w:rFonts w:asciiTheme="minorHAnsi" w:hAnsiTheme="minorHAnsi" w:cstheme="minorHAnsi"/>
        </w:rPr>
        <w:t xml:space="preserve"> здравствену његу</w:t>
      </w:r>
      <w:r>
        <w:rPr>
          <w:rFonts w:asciiTheme="minorHAnsi" w:hAnsiTheme="minorHAnsi" w:cstheme="minorHAnsi"/>
          <w:lang w:val="sr-Latn-RS"/>
        </w:rPr>
        <w:t>)</w:t>
      </w:r>
      <w:r>
        <w:rPr>
          <w:rFonts w:asciiTheme="minorHAnsi" w:hAnsiTheme="minorHAnsi" w:cstheme="minorHAnsi"/>
          <w:lang w:val="sr-Cyrl-CS"/>
        </w:rPr>
        <w:t>.</w:t>
      </w:r>
    </w:p>
    <w:p>
      <w:pPr>
        <w:autoSpaceDE w:val="0"/>
        <w:autoSpaceDN w:val="0"/>
        <w:adjustRightInd w:val="0"/>
        <w:jc w:val="both"/>
        <w:rPr>
          <w:rFonts w:asciiTheme="minorHAnsi" w:hAnsiTheme="minorHAnsi" w:cstheme="minorHAnsi"/>
          <w:b/>
          <w:lang w:val="sr-Cyrl-BA"/>
        </w:rPr>
      </w:pPr>
    </w:p>
    <w:p>
      <w:pPr>
        <w:autoSpaceDE w:val="0"/>
        <w:autoSpaceDN w:val="0"/>
        <w:adjustRightInd w:val="0"/>
        <w:jc w:val="both"/>
        <w:rPr>
          <w:rFonts w:asciiTheme="minorHAnsi" w:hAnsiTheme="minorHAnsi" w:cstheme="minorHAnsi"/>
          <w:bCs/>
          <w:lang w:val="sr-Cyrl-BA"/>
        </w:rPr>
      </w:pPr>
      <w:r>
        <w:rPr>
          <w:rFonts w:asciiTheme="minorHAnsi" w:hAnsiTheme="minorHAnsi" w:cstheme="minorHAnsi"/>
          <w:bCs/>
        </w:rPr>
        <w:t>Одјељење за образовање, здравство, омладину и спорт</w:t>
      </w:r>
      <w:r>
        <w:rPr>
          <w:rFonts w:asciiTheme="minorHAnsi" w:hAnsiTheme="minorHAnsi" w:cstheme="minorHAnsi"/>
          <w:bCs/>
          <w:lang w:val="sr-Cyrl-RS"/>
        </w:rPr>
        <w:t xml:space="preserve"> </w:t>
      </w:r>
      <w:r>
        <w:rPr>
          <w:rFonts w:asciiTheme="minorHAnsi" w:hAnsiTheme="minorHAnsi" w:cstheme="minorHAnsi"/>
          <w:bCs/>
        </w:rPr>
        <w:t xml:space="preserve">надлежно је за послове </w:t>
      </w:r>
      <w:r>
        <w:rPr>
          <w:rFonts w:asciiTheme="minorHAnsi" w:hAnsiTheme="minorHAnsi" w:cstheme="minorHAnsi"/>
          <w:bCs/>
          <w:lang w:val="bs-Cyrl-BA"/>
        </w:rPr>
        <w:t>здравств</w:t>
      </w:r>
      <w:r>
        <w:rPr>
          <w:rFonts w:asciiTheme="minorHAnsi" w:hAnsiTheme="minorHAnsi" w:cstheme="minorHAnsi"/>
          <w:bCs/>
        </w:rPr>
        <w:t xml:space="preserve">а. </w:t>
      </w:r>
      <w:r>
        <w:rPr>
          <w:rFonts w:asciiTheme="minorHAnsi" w:hAnsiTheme="minorHAnsi" w:cstheme="minorHAnsi"/>
          <w:lang w:val="sr-Cyrl-BA"/>
        </w:rPr>
        <w:t xml:space="preserve">При Скупштини Града формирано је стално радно тијело Одбор за здравство, школство и социјалну политику, који, између осталог, има за задатак </w:t>
      </w:r>
      <w:r>
        <w:rPr>
          <w:rFonts w:asciiTheme="minorHAnsi" w:hAnsiTheme="minorHAnsi" w:cstheme="minorHAnsi"/>
        </w:rPr>
        <w:t>у</w:t>
      </w:r>
      <w:r>
        <w:rPr>
          <w:rFonts w:asciiTheme="minorHAnsi" w:hAnsiTheme="minorHAnsi" w:cstheme="minorHAnsi"/>
          <w:lang w:val="sr-Cyrl-CS"/>
        </w:rPr>
        <w:t>ч</w:t>
      </w:r>
      <w:r>
        <w:rPr>
          <w:rFonts w:asciiTheme="minorHAnsi" w:hAnsiTheme="minorHAnsi" w:cstheme="minorHAnsi"/>
        </w:rPr>
        <w:t>е</w:t>
      </w:r>
      <w:r>
        <w:rPr>
          <w:rFonts w:asciiTheme="minorHAnsi" w:hAnsiTheme="minorHAnsi" w:cstheme="minorHAnsi"/>
          <w:lang w:val="sr-Cyrl-CS"/>
        </w:rPr>
        <w:t>шћ</w:t>
      </w:r>
      <w:r>
        <w:rPr>
          <w:rFonts w:asciiTheme="minorHAnsi" w:hAnsiTheme="minorHAnsi" w:cstheme="minorHAnsi"/>
        </w:rPr>
        <w:t>е у остварива</w:t>
      </w:r>
      <w:r>
        <w:rPr>
          <w:rFonts w:asciiTheme="minorHAnsi" w:hAnsiTheme="minorHAnsi" w:cstheme="minorHAnsi"/>
          <w:lang w:val="sr-Cyrl-CS"/>
        </w:rPr>
        <w:t>њ</w:t>
      </w:r>
      <w:r>
        <w:rPr>
          <w:rFonts w:asciiTheme="minorHAnsi" w:hAnsiTheme="minorHAnsi" w:cstheme="minorHAnsi"/>
        </w:rPr>
        <w:t>у</w:t>
      </w:r>
      <w:r>
        <w:rPr>
          <w:rFonts w:asciiTheme="minorHAnsi" w:hAnsiTheme="minorHAnsi" w:cstheme="minorHAnsi"/>
          <w:lang w:val="sr-Cyrl-CS"/>
        </w:rPr>
        <w:t xml:space="preserve"> </w:t>
      </w:r>
      <w:r>
        <w:rPr>
          <w:rFonts w:asciiTheme="minorHAnsi" w:hAnsiTheme="minorHAnsi" w:cstheme="minorHAnsi"/>
        </w:rPr>
        <w:t>ци</w:t>
      </w:r>
      <w:r>
        <w:rPr>
          <w:rFonts w:asciiTheme="minorHAnsi" w:hAnsiTheme="minorHAnsi" w:cstheme="minorHAnsi"/>
          <w:lang w:val="sr-Cyrl-CS"/>
        </w:rPr>
        <w:t>љ</w:t>
      </w:r>
      <w:r>
        <w:rPr>
          <w:rFonts w:asciiTheme="minorHAnsi" w:hAnsiTheme="minorHAnsi" w:cstheme="minorHAnsi"/>
        </w:rPr>
        <w:t>ева здравствених стратегија на нивоу примарне</w:t>
      </w:r>
      <w:r>
        <w:rPr>
          <w:rFonts w:asciiTheme="minorHAnsi" w:hAnsiTheme="minorHAnsi" w:cstheme="minorHAnsi"/>
          <w:lang w:val="sr-Cyrl-CS"/>
        </w:rPr>
        <w:t xml:space="preserve"> </w:t>
      </w:r>
      <w:r>
        <w:rPr>
          <w:rFonts w:asciiTheme="minorHAnsi" w:hAnsiTheme="minorHAnsi" w:cstheme="minorHAnsi"/>
        </w:rPr>
        <w:t>здравствене за</w:t>
      </w:r>
      <w:r>
        <w:rPr>
          <w:rFonts w:asciiTheme="minorHAnsi" w:hAnsiTheme="minorHAnsi" w:cstheme="minorHAnsi"/>
          <w:lang w:val="sr-Cyrl-CS"/>
        </w:rPr>
        <w:t>ш</w:t>
      </w:r>
      <w:r>
        <w:rPr>
          <w:rFonts w:asciiTheme="minorHAnsi" w:hAnsiTheme="minorHAnsi" w:cstheme="minorHAnsi"/>
        </w:rPr>
        <w:t>тите, подр</w:t>
      </w:r>
      <w:r>
        <w:rPr>
          <w:rFonts w:asciiTheme="minorHAnsi" w:hAnsiTheme="minorHAnsi" w:cstheme="minorHAnsi"/>
          <w:lang w:val="sr-Cyrl-CS"/>
        </w:rPr>
        <w:t>ш</w:t>
      </w:r>
      <w:r>
        <w:rPr>
          <w:rFonts w:asciiTheme="minorHAnsi" w:hAnsiTheme="minorHAnsi" w:cstheme="minorHAnsi"/>
        </w:rPr>
        <w:t>к</w:t>
      </w:r>
      <w:r>
        <w:rPr>
          <w:rFonts w:asciiTheme="minorHAnsi" w:hAnsiTheme="minorHAnsi" w:cstheme="minorHAnsi"/>
          <w:lang w:val="bs-Cyrl-BA"/>
        </w:rPr>
        <w:t>у</w:t>
      </w:r>
      <w:r>
        <w:rPr>
          <w:rFonts w:asciiTheme="minorHAnsi" w:hAnsiTheme="minorHAnsi" w:cstheme="minorHAnsi"/>
        </w:rPr>
        <w:t xml:space="preserve"> и помо</w:t>
      </w:r>
      <w:r>
        <w:rPr>
          <w:rFonts w:asciiTheme="minorHAnsi" w:hAnsiTheme="minorHAnsi" w:cstheme="minorHAnsi"/>
          <w:lang w:val="sr-Cyrl-CS"/>
        </w:rPr>
        <w:t>ћ</w:t>
      </w:r>
      <w:r>
        <w:rPr>
          <w:rFonts w:asciiTheme="minorHAnsi" w:hAnsiTheme="minorHAnsi" w:cstheme="minorHAnsi"/>
        </w:rPr>
        <w:t xml:space="preserve"> здравственим</w:t>
      </w:r>
      <w:r>
        <w:rPr>
          <w:rFonts w:asciiTheme="minorHAnsi" w:hAnsiTheme="minorHAnsi" w:cstheme="minorHAnsi"/>
          <w:lang w:val="sr-Cyrl-CS"/>
        </w:rPr>
        <w:t xml:space="preserve"> </w:t>
      </w:r>
      <w:r>
        <w:rPr>
          <w:rFonts w:asciiTheme="minorHAnsi" w:hAnsiTheme="minorHAnsi" w:cstheme="minorHAnsi"/>
        </w:rPr>
        <w:t>установама и здравственим радницима</w:t>
      </w:r>
      <w:r>
        <w:rPr>
          <w:rFonts w:asciiTheme="minorHAnsi" w:hAnsiTheme="minorHAnsi" w:cstheme="minorHAnsi"/>
          <w:lang w:val="sr-Cyrl-BA"/>
        </w:rPr>
        <w:t>, као и предлагање Скупштини предузимање мјера у оквиру њене надлежности, а у циљу побољшања здравствене заштите на територији града. Одбор чине одборници Скупштине града и представници научних и стручних радника из ових области.</w:t>
      </w:r>
    </w:p>
    <w:p>
      <w:pPr>
        <w:rPr>
          <w:b/>
          <w:i/>
        </w:rPr>
      </w:pPr>
      <w:bookmarkStart w:id="51" w:name="_Toc508060563"/>
    </w:p>
    <w:p>
      <w:pPr>
        <w:rPr>
          <w:b/>
          <w:i/>
        </w:rPr>
      </w:pPr>
      <w:r>
        <w:rPr>
          <w:b/>
          <w:i/>
        </w:rPr>
        <w:t>Инфраструктурни капацитети</w:t>
      </w:r>
      <w:bookmarkEnd w:id="51"/>
      <w:r>
        <w:rPr>
          <w:b/>
          <w:i/>
        </w:rPr>
        <w:t xml:space="preserve"> </w:t>
      </w:r>
    </w:p>
    <w:p>
      <w:pPr>
        <w:rPr>
          <w:lang w:val="sr-Cyrl-RS"/>
        </w:rPr>
      </w:pPr>
    </w:p>
    <w:p>
      <w:pPr>
        <w:jc w:val="both"/>
        <w:rPr>
          <w:lang w:val="sr-Cyrl-CS"/>
        </w:rPr>
      </w:pPr>
      <w:r>
        <w:rPr>
          <w:bCs/>
          <w:lang w:val="sr-Cyrl-CS"/>
        </w:rPr>
        <w:t>У</w:t>
      </w:r>
      <w:r>
        <w:rPr>
          <w:bCs/>
          <w:lang w:val="sr-Latn-RS"/>
        </w:rPr>
        <w:t xml:space="preserve"> град</w:t>
      </w:r>
      <w:r>
        <w:rPr>
          <w:bCs/>
          <w:lang w:val="sr-Cyrl-CS"/>
        </w:rPr>
        <w:t>у</w:t>
      </w:r>
      <w:r>
        <w:rPr>
          <w:bCs/>
          <w:lang w:val="sr-Latn-RS"/>
        </w:rPr>
        <w:t xml:space="preserve"> Бањ</w:t>
      </w:r>
      <w:r>
        <w:rPr>
          <w:bCs/>
        </w:rPr>
        <w:t>а</w:t>
      </w:r>
      <w:r>
        <w:rPr>
          <w:bCs/>
          <w:lang w:val="sr-Latn-RS"/>
        </w:rPr>
        <w:t xml:space="preserve"> Лук</w:t>
      </w:r>
      <w:r>
        <w:rPr>
          <w:bCs/>
        </w:rPr>
        <w:t xml:space="preserve">а дјелује осам (8) јавних здравствених установа чији оснивач је Република, </w:t>
      </w:r>
      <w:r>
        <w:rPr>
          <w:bCs/>
          <w:lang w:val="sr-Latn-RS"/>
        </w:rPr>
        <w:t xml:space="preserve">Дом здравља </w:t>
      </w:r>
      <w:r>
        <w:rPr>
          <w:bCs/>
        </w:rPr>
        <w:t xml:space="preserve">чији </w:t>
      </w:r>
      <w:r>
        <w:rPr>
          <w:bCs/>
          <w:lang w:val="sr-Latn-CS"/>
        </w:rPr>
        <w:t xml:space="preserve">је </w:t>
      </w:r>
      <w:r>
        <w:rPr>
          <w:bCs/>
        </w:rPr>
        <w:t xml:space="preserve">оснивач </w:t>
      </w:r>
      <w:r>
        <w:rPr>
          <w:bCs/>
          <w:lang w:val="sr-Latn-RS"/>
        </w:rPr>
        <w:t xml:space="preserve">Скупштина Града Бања Лука, </w:t>
      </w:r>
      <w:r>
        <w:rPr>
          <w:bCs/>
        </w:rPr>
        <w:t xml:space="preserve"> те већи  број приватних здравствених  установа.</w:t>
      </w:r>
      <w:r>
        <w:rPr>
          <w:bCs/>
          <w:lang w:val="sr-Cyrl-RS"/>
        </w:rPr>
        <w:t xml:space="preserve"> </w:t>
      </w:r>
      <w:r>
        <w:rPr>
          <w:lang w:val="sr-Cyrl-CS"/>
        </w:rPr>
        <w:t xml:space="preserve">На територији </w:t>
      </w:r>
      <w:r>
        <w:t>град</w:t>
      </w:r>
      <w:r>
        <w:rPr>
          <w:lang w:val="sr-Cyrl-CS"/>
        </w:rPr>
        <w:t>а</w:t>
      </w:r>
      <w:r>
        <w:t xml:space="preserve"> Бања Луке</w:t>
      </w:r>
      <w:r>
        <w:rPr>
          <w:lang w:val="sr-Cyrl-CS"/>
        </w:rPr>
        <w:t xml:space="preserve"> </w:t>
      </w:r>
      <w:r>
        <w:t>послове примарне здравствене заштите обавља Јавна здравственa установа „Дом здравља“</w:t>
      </w:r>
      <w:r>
        <w:rPr>
          <w:lang w:val="sr-Cyrl-CS"/>
        </w:rPr>
        <w:t xml:space="preserve"> у Бања Луци која пружа услуге за </w:t>
      </w:r>
      <w:r>
        <w:t>17</w:t>
      </w:r>
      <w:r>
        <w:rPr>
          <w:lang w:val="sr-Cyrl-CS"/>
        </w:rPr>
        <w:t>3</w:t>
      </w:r>
      <w:r>
        <w:t>.</w:t>
      </w:r>
      <w:r>
        <w:rPr>
          <w:lang w:val="sr-Cyrl-CS"/>
        </w:rPr>
        <w:t>787</w:t>
      </w:r>
      <w:r>
        <w:rPr>
          <w:i/>
          <w:lang w:val="sr-Cyrl-CS"/>
        </w:rPr>
        <w:t xml:space="preserve"> </w:t>
      </w:r>
      <w:r>
        <w:t xml:space="preserve">регистрованих/верификованих осигураних </w:t>
      </w:r>
      <w:r>
        <w:rPr>
          <w:lang w:val="sr-Cyrl-CS"/>
        </w:rPr>
        <w:t>лица</w:t>
      </w:r>
      <w:r>
        <w:rPr>
          <w:bCs/>
          <w:lang w:val="sr-Cyrl-CS"/>
        </w:rPr>
        <w:t>.</w:t>
      </w:r>
      <w:r>
        <w:rPr>
          <w:i/>
          <w:lang w:val="sr-Cyrl-CS"/>
        </w:rPr>
        <w:t xml:space="preserve"> </w:t>
      </w:r>
      <w:r>
        <w:rPr>
          <w:lang w:val="sr-Cyrl-CS"/>
        </w:rPr>
        <w:t>Поред  Дома здравља, у</w:t>
      </w:r>
      <w:r>
        <w:rPr>
          <w:lang w:val="sr-Latn-RS"/>
        </w:rPr>
        <w:t>слуге примарнo</w:t>
      </w:r>
      <w:r>
        <w:rPr>
          <w:lang w:val="sr-Cyrl-CS"/>
        </w:rPr>
        <w:t xml:space="preserve">г нивоа </w:t>
      </w:r>
      <w:r>
        <w:rPr>
          <w:lang w:val="sr-Latn-RS"/>
        </w:rPr>
        <w:t>здравствене заштите</w:t>
      </w:r>
      <w:r>
        <w:rPr>
          <w:lang w:val="sr-Cyrl-CS"/>
        </w:rPr>
        <w:t xml:space="preserve"> пружају четири приватне ЗУ/а</w:t>
      </w:r>
      <w:r>
        <w:rPr>
          <w:lang w:val="sr-Latn-RS"/>
        </w:rPr>
        <w:t>мбулант</w:t>
      </w:r>
      <w:r>
        <w:rPr>
          <w:lang w:val="sr-Cyrl-CS"/>
        </w:rPr>
        <w:t>е</w:t>
      </w:r>
      <w:r>
        <w:rPr>
          <w:lang w:val="sr-Latn-RS"/>
        </w:rPr>
        <w:t xml:space="preserve"> породичне медицине</w:t>
      </w:r>
      <w:r>
        <w:rPr>
          <w:lang w:val="sr-Cyrl-CS"/>
        </w:rPr>
        <w:t xml:space="preserve"> које имају закључене уговоре са Фондом здравственог осигурања РС:</w:t>
      </w:r>
    </w:p>
    <w:p>
      <w:pPr>
        <w:jc w:val="both"/>
        <w:rPr>
          <w:lang w:val="sr-Cyrl-CS"/>
        </w:rPr>
      </w:pPr>
    </w:p>
    <w:p>
      <w:pPr>
        <w:numPr>
          <w:ilvl w:val="0"/>
          <w:numId w:val="19"/>
        </w:numPr>
        <w:jc w:val="both"/>
        <w:rPr>
          <w:lang w:val="sr-Cyrl-CS"/>
        </w:rPr>
      </w:pPr>
      <w:r>
        <w:rPr>
          <w:lang w:val="bs-Cyrl-BA"/>
        </w:rPr>
        <w:t xml:space="preserve">ЗУ </w:t>
      </w:r>
      <w:r>
        <w:rPr>
          <w:lang w:val="sr-Latn-RS"/>
        </w:rPr>
        <w:t>"</w:t>
      </w:r>
      <w:r>
        <w:rPr>
          <w:lang w:val="sr-Cyrl-CS"/>
        </w:rPr>
        <w:t>ДЕАМЕДИКА</w:t>
      </w:r>
      <w:r>
        <w:rPr>
          <w:lang w:val="sr-Latn-RS"/>
        </w:rPr>
        <w:t>"</w:t>
      </w:r>
      <w:r>
        <w:rPr>
          <w:lang w:val="sr-Cyrl-CS"/>
        </w:rPr>
        <w:t>Бања Лука, ПЈ Медицинска електроника - за 4.525 осигураних лица,</w:t>
      </w:r>
    </w:p>
    <w:p>
      <w:pPr>
        <w:numPr>
          <w:ilvl w:val="0"/>
          <w:numId w:val="19"/>
        </w:numPr>
        <w:jc w:val="both"/>
        <w:rPr>
          <w:lang w:val="sr-Cyrl-CS"/>
        </w:rPr>
      </w:pPr>
      <w:r>
        <w:rPr>
          <w:lang w:val="sr-Cyrl-CS"/>
        </w:rPr>
        <w:t>ЗУ с</w:t>
      </w:r>
      <w:r>
        <w:rPr>
          <w:lang w:val="sr-Latn-RS"/>
        </w:rPr>
        <w:t>пецијалистичк</w:t>
      </w:r>
      <w:r>
        <w:rPr>
          <w:lang w:val="sr-Cyrl-CS"/>
        </w:rPr>
        <w:t>и</w:t>
      </w:r>
      <w:r>
        <w:rPr>
          <w:lang w:val="sr-Latn-RS"/>
        </w:rPr>
        <w:t xml:space="preserve"> цент</w:t>
      </w:r>
      <w:r>
        <w:rPr>
          <w:lang w:val="sr-Cyrl-CS"/>
        </w:rPr>
        <w:t>а</w:t>
      </w:r>
      <w:r>
        <w:rPr>
          <w:lang w:val="sr-Latn-RS"/>
        </w:rPr>
        <w:t>р"</w:t>
      </w:r>
      <w:r>
        <w:rPr>
          <w:lang w:val="sr-Cyrl-RS"/>
        </w:rPr>
        <w:t xml:space="preserve"> </w:t>
      </w:r>
      <w:r>
        <w:rPr>
          <w:lang w:val="sr-Cyrl-CS"/>
        </w:rPr>
        <w:t>ФИРЕНА</w:t>
      </w:r>
      <w:r>
        <w:rPr>
          <w:lang w:val="sr-Latn-RS"/>
        </w:rPr>
        <w:t>"</w:t>
      </w:r>
      <w:r>
        <w:rPr>
          <w:lang w:val="sr-Cyrl-RS"/>
        </w:rPr>
        <w:t xml:space="preserve"> </w:t>
      </w:r>
      <w:r>
        <w:rPr>
          <w:lang w:val="sr-Cyrl-CS"/>
        </w:rPr>
        <w:t>Бања Лука, за 127 осигураних лица,</w:t>
      </w:r>
    </w:p>
    <w:p>
      <w:pPr>
        <w:numPr>
          <w:ilvl w:val="0"/>
          <w:numId w:val="19"/>
        </w:numPr>
        <w:jc w:val="both"/>
        <w:rPr>
          <w:lang w:val="sr-Cyrl-CS"/>
        </w:rPr>
      </w:pPr>
      <w:r>
        <w:rPr>
          <w:lang w:val="sr-Cyrl-CS"/>
        </w:rPr>
        <w:t>ЗУ с</w:t>
      </w:r>
      <w:r>
        <w:rPr>
          <w:lang w:val="sr-Latn-RS"/>
        </w:rPr>
        <w:t>пецијалистичк</w:t>
      </w:r>
      <w:r>
        <w:rPr>
          <w:lang w:val="sr-Cyrl-CS"/>
        </w:rPr>
        <w:t>и</w:t>
      </w:r>
      <w:r>
        <w:rPr>
          <w:lang w:val="sr-Latn-RS"/>
        </w:rPr>
        <w:t xml:space="preserve"> цент</w:t>
      </w:r>
      <w:r>
        <w:rPr>
          <w:lang w:val="sr-Cyrl-CS"/>
        </w:rPr>
        <w:t>а</w:t>
      </w:r>
      <w:r>
        <w:rPr>
          <w:lang w:val="sr-Latn-RS"/>
        </w:rPr>
        <w:t>р"</w:t>
      </w:r>
      <w:r>
        <w:rPr>
          <w:lang w:val="sr-Cyrl-CS"/>
        </w:rPr>
        <w:t xml:space="preserve"> МЕДИКЕР</w:t>
      </w:r>
      <w:r>
        <w:rPr>
          <w:lang w:val="sr-Latn-RS"/>
        </w:rPr>
        <w:t>"</w:t>
      </w:r>
      <w:r>
        <w:rPr>
          <w:lang w:val="sr-Cyrl-CS"/>
        </w:rPr>
        <w:t xml:space="preserve"> Бања Лука,  за 2.324 осигурана лица,</w:t>
      </w:r>
    </w:p>
    <w:p>
      <w:pPr>
        <w:numPr>
          <w:ilvl w:val="0"/>
          <w:numId w:val="19"/>
        </w:numPr>
        <w:jc w:val="both"/>
        <w:rPr>
          <w:lang w:val="sr-Cyrl-CS"/>
        </w:rPr>
      </w:pPr>
      <w:r>
        <w:rPr>
          <w:lang w:val="sr-Cyrl-CS"/>
        </w:rPr>
        <w:t>ЗУ амбуланта породичне медицине ''КУЋА ЗДРАВЉА'' Бања Лука, за 2.294 осигурана лица</w:t>
      </w:r>
    </w:p>
    <w:p>
      <w:pPr>
        <w:jc w:val="both"/>
        <w:rPr>
          <w:rFonts w:asciiTheme="minorHAnsi" w:hAnsiTheme="minorHAnsi" w:cstheme="minorHAnsi"/>
          <w:lang w:val="sr-Cyrl-CS"/>
        </w:rPr>
      </w:pPr>
    </w:p>
    <w:p>
      <w:pPr>
        <w:jc w:val="both"/>
        <w:rPr>
          <w:rFonts w:asciiTheme="minorHAnsi" w:hAnsiTheme="minorHAnsi" w:cstheme="minorHAnsi"/>
          <w:lang w:val="sr-Cyrl-RS"/>
        </w:rPr>
      </w:pPr>
      <w:r>
        <w:rPr>
          <w:rFonts w:asciiTheme="minorHAnsi" w:hAnsiTheme="minorHAnsi" w:cstheme="minorHAnsi"/>
          <w:lang w:val="sr-Cyrl-CS"/>
        </w:rPr>
        <w:t>С</w:t>
      </w:r>
      <w:r>
        <w:rPr>
          <w:rFonts w:asciiTheme="minorHAnsi" w:hAnsiTheme="minorHAnsi" w:cstheme="minorHAnsi"/>
        </w:rPr>
        <w:t>екундарни и терцијарни ниво здравствене заштите су у надлежности Министарствa здравља и социјалне заштите Републике Српске</w:t>
      </w:r>
      <w:r>
        <w:rPr>
          <w:rFonts w:asciiTheme="minorHAnsi" w:hAnsiTheme="minorHAnsi" w:cstheme="minorHAnsi"/>
          <w:lang w:val="sr-Cyrl-CS"/>
        </w:rPr>
        <w:t>, као и вођење Регистра здравствених установа.</w:t>
      </w:r>
    </w:p>
    <w:p>
      <w:pPr>
        <w:pStyle w:val="54"/>
        <w:rPr>
          <w:rFonts w:asciiTheme="minorHAnsi" w:hAnsiTheme="minorHAnsi" w:cstheme="minorHAnsi"/>
          <w:lang w:val="sr-Cyrl-CS" w:eastAsia="hr-BA"/>
        </w:rPr>
      </w:pPr>
    </w:p>
    <w:p>
      <w:pPr>
        <w:pStyle w:val="54"/>
        <w:rPr>
          <w:rFonts w:asciiTheme="minorHAnsi" w:hAnsiTheme="minorHAnsi" w:eastAsiaTheme="majorEastAsia" w:cstheme="minorHAnsi"/>
          <w:b/>
          <w:bCs/>
          <w:lang w:val="sr-Cyrl-CS" w:eastAsia="hr-BA"/>
        </w:rPr>
      </w:pPr>
      <w:r>
        <w:rPr>
          <w:rFonts w:asciiTheme="minorHAnsi" w:hAnsiTheme="minorHAnsi" w:cstheme="minorHAnsi"/>
          <w:b/>
          <w:lang w:val="sr-Cyrl-CS" w:eastAsia="hr-BA"/>
        </w:rPr>
        <w:t>Јавне здравствене установе на територији  града Бања Лука</w:t>
      </w:r>
      <w:r>
        <w:rPr>
          <w:rFonts w:asciiTheme="minorHAnsi" w:hAnsiTheme="minorHAnsi" w:cstheme="minorHAnsi"/>
          <w:b/>
          <w:u w:val="single"/>
          <w:lang w:val="sr-Cyrl-CS" w:eastAsia="hr-BA"/>
        </w:rPr>
        <w:br w:type="textWrapping"/>
      </w:r>
      <w:r>
        <w:rPr>
          <w:rFonts w:asciiTheme="minorHAnsi" w:hAnsiTheme="minorHAnsi" w:eastAsiaTheme="majorEastAsia" w:cstheme="minorHAnsi"/>
          <w:b/>
          <w:bCs/>
          <w:lang w:val="sr-Cyrl-CS" w:eastAsia="hr-BA"/>
        </w:rPr>
        <w:t xml:space="preserve"> </w:t>
      </w:r>
    </w:p>
    <w:p>
      <w:pPr>
        <w:pStyle w:val="54"/>
        <w:jc w:val="both"/>
        <w:rPr>
          <w:rFonts w:asciiTheme="minorHAnsi" w:hAnsiTheme="minorHAnsi" w:cstheme="minorHAnsi"/>
          <w:lang w:val="bs-Latn-BA"/>
        </w:rPr>
      </w:pPr>
      <w:r>
        <w:rPr>
          <w:rFonts w:asciiTheme="minorHAnsi" w:hAnsiTheme="minorHAnsi"/>
          <w:lang w:val="sr-Cyrl-BA"/>
        </w:rPr>
        <w:t xml:space="preserve">Универзитетски клинички центар Републике Српске (УКЦ РС) је највећа и најзначајнија јавна здравствена установа у Републици Српској. Ова здравствена установа пружа здравствену заштиту секундарног и терцијарног нивоа становништву Републике Српске и ширег региона. </w:t>
      </w:r>
    </w:p>
    <w:p>
      <w:pPr>
        <w:pStyle w:val="54"/>
        <w:jc w:val="both"/>
        <w:rPr>
          <w:rFonts w:asciiTheme="minorHAnsi" w:hAnsiTheme="minorHAnsi"/>
          <w:b/>
          <w:lang w:val="sr-Cyrl-BA"/>
        </w:rPr>
      </w:pPr>
    </w:p>
    <w:p>
      <w:pPr>
        <w:jc w:val="both"/>
        <w:rPr>
          <w:rFonts w:asciiTheme="minorHAnsi" w:hAnsiTheme="minorHAnsi" w:cstheme="minorHAnsi"/>
          <w:lang w:val="sr-Cyrl-RS"/>
        </w:rPr>
      </w:pPr>
      <w:r>
        <w:rPr>
          <w:rFonts w:asciiTheme="minorHAnsi" w:hAnsiTheme="minorHAnsi" w:cstheme="minorHAnsi"/>
          <w:lang w:val="sr-Cyrl-BA"/>
        </w:rPr>
        <w:t>Завод за физикалну медицину и рехабилитацију „Др Мирослав Зотовић”</w:t>
      </w:r>
      <w:r>
        <w:rPr>
          <w:rFonts w:asciiTheme="minorHAnsi" w:hAnsiTheme="minorHAnsi" w:cstheme="minorHAnsi"/>
          <w:b/>
          <w:lang w:val="sr-Cyrl-BA"/>
        </w:rPr>
        <w:t xml:space="preserve"> </w:t>
      </w:r>
      <w:r>
        <w:rPr>
          <w:rFonts w:asciiTheme="minorHAnsi" w:hAnsiTheme="minorHAnsi" w:cstheme="minorHAnsi"/>
          <w:lang w:val="sr-Cyrl-BA"/>
        </w:rPr>
        <w:t>је</w:t>
      </w:r>
      <w:r>
        <w:rPr>
          <w:rFonts w:asciiTheme="minorHAnsi" w:hAnsiTheme="minorHAnsi" w:cstheme="minorHAnsi"/>
          <w:lang w:val="en-GB"/>
        </w:rPr>
        <w:t> </w:t>
      </w:r>
      <w:r>
        <w:rPr>
          <w:rFonts w:asciiTheme="minorHAnsi" w:hAnsiTheme="minorHAnsi" w:cstheme="minorHAnsi"/>
          <w:lang w:val="sr-Cyrl-BA"/>
        </w:rPr>
        <w:t xml:space="preserve">специјализована </w:t>
      </w:r>
      <w:r>
        <w:rPr>
          <w:rFonts w:asciiTheme="minorHAnsi" w:hAnsiTheme="minorHAnsi" w:eastAsiaTheme="minorHAnsi" w:cstheme="minorHAnsi"/>
          <w:lang w:val="sr-Latn-CS"/>
        </w:rPr>
        <w:t>здравствена установа која обавља дјелатност у области физикалне медицине, хабилитације, рехабилитације и ортопедије</w:t>
      </w:r>
      <w:r>
        <w:rPr>
          <w:rFonts w:asciiTheme="minorHAnsi" w:hAnsiTheme="minorHAnsi" w:cstheme="minorHAnsi"/>
          <w:lang w:val="sr-Cyrl-BA"/>
        </w:rPr>
        <w:t xml:space="preserve"> у Републици Српској, у којој се у оквиру болничке и ванболничке здравствене заштите пружају услуге секундарног и терцијарног нивоа.</w:t>
      </w:r>
      <w:r>
        <w:rPr>
          <w:rFonts w:asciiTheme="minorHAnsi" w:hAnsiTheme="minorHAnsi" w:eastAsiaTheme="minorHAnsi" w:cstheme="minorHAnsi"/>
          <w:lang w:val="sr-Cyrl-CS"/>
        </w:rPr>
        <w:t xml:space="preserve"> </w:t>
      </w:r>
    </w:p>
    <w:p>
      <w:pPr>
        <w:tabs>
          <w:tab w:val="left" w:pos="4111"/>
        </w:tabs>
        <w:jc w:val="both"/>
        <w:rPr>
          <w:lang w:val="sr-Cyrl-RS"/>
        </w:rPr>
      </w:pPr>
    </w:p>
    <w:p>
      <w:pPr>
        <w:pStyle w:val="54"/>
        <w:jc w:val="both"/>
        <w:rPr>
          <w:rFonts w:eastAsia="Times New Roman" w:asciiTheme="minorHAnsi" w:hAnsiTheme="minorHAnsi" w:cstheme="minorHAnsi"/>
          <w:lang w:val="sr-Cyrl-CS" w:eastAsia="hr-BA"/>
        </w:rPr>
      </w:pPr>
      <w:r>
        <w:rPr>
          <w:rFonts w:eastAsia="Times New Roman" w:asciiTheme="minorHAnsi" w:hAnsiTheme="minorHAnsi" w:cstheme="minorHAnsi"/>
          <w:bCs/>
          <w:lang w:val="sr-Cyrl-CS" w:eastAsia="hr-BA"/>
        </w:rPr>
        <w:t xml:space="preserve">На територији града Бања Луке дјелује </w:t>
      </w:r>
      <w:r>
        <w:rPr>
          <w:rFonts w:eastAsia="Times New Roman" w:asciiTheme="minorHAnsi" w:hAnsiTheme="minorHAnsi" w:cstheme="minorHAnsi"/>
          <w:lang w:val="sr-Cyrl-CS" w:eastAsia="hr-BA"/>
        </w:rPr>
        <w:t xml:space="preserve">већи број приватних здравствених установа и то:  </w:t>
      </w:r>
      <w:r>
        <w:rPr>
          <w:rFonts w:eastAsia="Times New Roman" w:asciiTheme="minorHAnsi" w:hAnsiTheme="minorHAnsi" w:cstheme="minorHAnsi"/>
          <w:bCs/>
          <w:lang w:val="sr-Cyrl-CS" w:eastAsia="hr-BA"/>
        </w:rPr>
        <w:t>4 б</w:t>
      </w:r>
      <w:r>
        <w:rPr>
          <w:rFonts w:eastAsia="Times New Roman" w:asciiTheme="minorHAnsi" w:hAnsiTheme="minorHAnsi" w:cstheme="minorHAnsi"/>
          <w:lang w:val="sr-Latn-RS" w:eastAsia="hr-BA"/>
        </w:rPr>
        <w:t>олниц</w:t>
      </w:r>
      <w:r>
        <w:rPr>
          <w:rFonts w:eastAsia="Times New Roman" w:asciiTheme="minorHAnsi" w:hAnsiTheme="minorHAnsi" w:cstheme="minorHAnsi"/>
          <w:lang w:val="sr-Cyrl-CS" w:eastAsia="hr-BA"/>
        </w:rPr>
        <w:t>е</w:t>
      </w:r>
      <w:r>
        <w:rPr>
          <w:rFonts w:eastAsia="Times New Roman" w:asciiTheme="minorHAnsi" w:hAnsiTheme="minorHAnsi" w:cstheme="minorHAnsi"/>
          <w:lang w:val="sr-Latn-RS" w:eastAsia="hr-BA"/>
        </w:rPr>
        <w:t xml:space="preserve"> из хируршких области</w:t>
      </w:r>
      <w:r>
        <w:rPr>
          <w:rFonts w:eastAsia="Times New Roman" w:asciiTheme="minorHAnsi" w:hAnsiTheme="minorHAnsi" w:cstheme="minorHAnsi"/>
          <w:bCs/>
          <w:lang w:val="sr-Cyrl-CS" w:eastAsia="hr-BA"/>
        </w:rPr>
        <w:t xml:space="preserve">; три </w:t>
      </w:r>
      <w:r>
        <w:rPr>
          <w:rFonts w:eastAsia="Times New Roman" w:asciiTheme="minorHAnsi" w:hAnsiTheme="minorHAnsi" w:cstheme="minorHAnsi"/>
          <w:bCs/>
          <w:i/>
          <w:lang w:val="sr-Cyrl-CS" w:eastAsia="hr-BA"/>
        </w:rPr>
        <w:t>с</w:t>
      </w:r>
      <w:r>
        <w:rPr>
          <w:rFonts w:eastAsia="Times New Roman" w:asciiTheme="minorHAnsi" w:hAnsiTheme="minorHAnsi" w:cstheme="minorHAnsi"/>
          <w:iCs/>
          <w:lang w:val="hr-BA" w:eastAsia="hr-BA"/>
        </w:rPr>
        <w:t>пецијалистичк</w:t>
      </w:r>
      <w:r>
        <w:rPr>
          <w:rFonts w:eastAsia="Times New Roman" w:asciiTheme="minorHAnsi" w:hAnsiTheme="minorHAnsi" w:cstheme="minorHAnsi"/>
          <w:iCs/>
          <w:lang w:val="bs-Cyrl-BA" w:eastAsia="hr-BA"/>
        </w:rPr>
        <w:t>а</w:t>
      </w:r>
      <w:r>
        <w:rPr>
          <w:rFonts w:eastAsia="Times New Roman" w:asciiTheme="minorHAnsi" w:hAnsiTheme="minorHAnsi" w:cstheme="minorHAnsi"/>
          <w:iCs/>
          <w:lang w:val="hr-BA" w:eastAsia="hr-BA"/>
        </w:rPr>
        <w:t xml:space="preserve"> центра</w:t>
      </w:r>
      <w:r>
        <w:rPr>
          <w:rFonts w:eastAsia="Times New Roman" w:asciiTheme="minorHAnsi" w:hAnsiTheme="minorHAnsi" w:cstheme="minorHAnsi"/>
          <w:i/>
          <w:iCs/>
          <w:lang w:val="hr-BA" w:eastAsia="hr-BA"/>
        </w:rPr>
        <w:t>;</w:t>
      </w:r>
      <w:r>
        <w:rPr>
          <w:rFonts w:eastAsia="Times New Roman" w:asciiTheme="minorHAnsi" w:hAnsiTheme="minorHAnsi" w:cstheme="minorHAnsi"/>
          <w:bCs/>
          <w:lang w:val="sr-Cyrl-CS" w:eastAsia="hr-BA"/>
        </w:rPr>
        <w:t xml:space="preserve"> 87 апотека; преко 90 </w:t>
      </w:r>
      <w:r>
        <w:rPr>
          <w:rFonts w:eastAsia="Times New Roman" w:asciiTheme="minorHAnsi" w:hAnsiTheme="minorHAnsi" w:cstheme="minorHAnsi"/>
          <w:lang w:val="sr-Cyrl-CS" w:eastAsia="hr-BA"/>
        </w:rPr>
        <w:t>стоматолошких амбуланти, те већи број с</w:t>
      </w:r>
      <w:r>
        <w:rPr>
          <w:rFonts w:eastAsia="Times New Roman" w:asciiTheme="minorHAnsi" w:hAnsiTheme="minorHAnsi" w:cstheme="minorHAnsi"/>
          <w:lang w:val="sr-Latn-RS" w:eastAsia="hr-BA"/>
        </w:rPr>
        <w:t>пецијалистичк</w:t>
      </w:r>
      <w:r>
        <w:rPr>
          <w:rFonts w:eastAsia="Times New Roman" w:asciiTheme="minorHAnsi" w:hAnsiTheme="minorHAnsi" w:cstheme="minorHAnsi"/>
          <w:lang w:val="sr-Cyrl-CS" w:eastAsia="hr-BA"/>
        </w:rPr>
        <w:t xml:space="preserve">их </w:t>
      </w:r>
      <w:r>
        <w:rPr>
          <w:rFonts w:eastAsia="Times New Roman" w:asciiTheme="minorHAnsi" w:hAnsiTheme="minorHAnsi" w:cstheme="minorHAnsi"/>
          <w:lang w:val="sr-Latn-RS" w:eastAsia="hr-BA"/>
        </w:rPr>
        <w:t>амбулант</w:t>
      </w:r>
      <w:r>
        <w:rPr>
          <w:rFonts w:eastAsia="Times New Roman" w:asciiTheme="minorHAnsi" w:hAnsiTheme="minorHAnsi" w:cstheme="minorHAnsi"/>
          <w:lang w:val="sr-Cyrl-CS" w:eastAsia="hr-BA"/>
        </w:rPr>
        <w:t>и</w:t>
      </w:r>
      <w:r>
        <w:rPr>
          <w:rFonts w:eastAsia="Times New Roman" w:asciiTheme="minorHAnsi" w:hAnsiTheme="minorHAnsi" w:cstheme="minorHAnsi"/>
          <w:lang w:val="sr-Latn-RS" w:eastAsia="hr-BA"/>
        </w:rPr>
        <w:t xml:space="preserve"> </w:t>
      </w:r>
      <w:r>
        <w:rPr>
          <w:rFonts w:eastAsia="Times New Roman" w:asciiTheme="minorHAnsi" w:hAnsiTheme="minorHAnsi" w:cstheme="minorHAnsi"/>
          <w:lang w:val="sr-Cyrl-CS" w:eastAsia="hr-BA"/>
        </w:rPr>
        <w:t xml:space="preserve">разних грана </w:t>
      </w:r>
      <w:r>
        <w:rPr>
          <w:rFonts w:eastAsia="Times New Roman" w:asciiTheme="minorHAnsi" w:hAnsiTheme="minorHAnsi" w:cstheme="minorHAnsi"/>
          <w:lang w:val="sr-Latn-RS" w:eastAsia="hr-BA"/>
        </w:rPr>
        <w:t>медицине</w:t>
      </w:r>
      <w:r>
        <w:rPr>
          <w:rFonts w:eastAsia="Times New Roman" w:asciiTheme="minorHAnsi" w:hAnsiTheme="minorHAnsi" w:cstheme="minorHAnsi"/>
          <w:lang w:val="bs-Cyrl-BA" w:eastAsia="hr-BA"/>
        </w:rPr>
        <w:t xml:space="preserve"> (педијатријске амбуланте, интернистичке, кардиолошке,</w:t>
      </w:r>
      <w:r>
        <w:rPr>
          <w:rFonts w:eastAsia="Times New Roman" w:asciiTheme="minorHAnsi" w:hAnsiTheme="minorHAnsi" w:cstheme="minorHAnsi"/>
          <w:lang w:eastAsia="hr-BA"/>
        </w:rPr>
        <w:t xml:space="preserve"> дерматовенеролошк</w:t>
      </w:r>
      <w:r>
        <w:rPr>
          <w:rFonts w:eastAsia="Times New Roman" w:asciiTheme="minorHAnsi" w:hAnsiTheme="minorHAnsi" w:cstheme="minorHAnsi"/>
          <w:lang w:val="bs-Cyrl-BA" w:eastAsia="hr-BA"/>
        </w:rPr>
        <w:t xml:space="preserve">е, </w:t>
      </w:r>
      <w:r>
        <w:rPr>
          <w:rFonts w:eastAsia="Times New Roman" w:asciiTheme="minorHAnsi" w:hAnsiTheme="minorHAnsi" w:cstheme="minorHAnsi"/>
          <w:lang w:eastAsia="hr-BA"/>
        </w:rPr>
        <w:t>офталмолошке,</w:t>
      </w:r>
      <w:r>
        <w:rPr>
          <w:rFonts w:eastAsia="Times New Roman" w:asciiTheme="minorHAnsi" w:hAnsiTheme="minorHAnsi" w:cstheme="minorHAnsi"/>
          <w:lang w:val="sr-Cyrl-RS" w:eastAsia="hr-BA"/>
        </w:rPr>
        <w:t xml:space="preserve"> </w:t>
      </w:r>
      <w:r>
        <w:rPr>
          <w:rFonts w:eastAsia="Times New Roman" w:asciiTheme="minorHAnsi" w:hAnsiTheme="minorHAnsi" w:cstheme="minorHAnsi"/>
          <w:lang w:val="bs-Cyrl-BA" w:eastAsia="hr-BA"/>
        </w:rPr>
        <w:t>оториноларинголошке и др.</w:t>
      </w:r>
      <w:r>
        <w:rPr>
          <w:rFonts w:eastAsia="Times New Roman" w:asciiTheme="minorHAnsi" w:hAnsiTheme="minorHAnsi" w:cstheme="minorHAnsi"/>
          <w:lang w:eastAsia="hr-BA"/>
        </w:rPr>
        <w:t xml:space="preserve"> </w:t>
      </w:r>
      <w:r>
        <w:rPr>
          <w:rFonts w:eastAsia="Times New Roman" w:asciiTheme="minorHAnsi" w:hAnsiTheme="minorHAnsi" w:cstheme="minorHAnsi"/>
          <w:lang w:val="bs-Cyrl-BA" w:eastAsia="hr-BA"/>
        </w:rPr>
        <w:t>)</w:t>
      </w:r>
      <w:r>
        <w:rPr>
          <w:rFonts w:eastAsia="Times New Roman" w:asciiTheme="minorHAnsi" w:hAnsiTheme="minorHAnsi" w:cstheme="minorHAnsi"/>
          <w:lang w:val="sr-Cyrl-CS" w:eastAsia="hr-BA"/>
        </w:rPr>
        <w:t>, а у поступку је и регистрација нових ЗУ (у прилогу подаци из Регистра здравствених установа за Бањалуку и број запосленуих лица у приватним ЗУ).</w:t>
      </w:r>
    </w:p>
    <w:p>
      <w:pPr>
        <w:rPr>
          <w:rFonts w:ascii="Times New Roman" w:hAnsi="Times New Roman"/>
          <w:b/>
          <w:sz w:val="24"/>
          <w:szCs w:val="24"/>
          <w:lang w:val="sr-Cyrl-CS"/>
        </w:rPr>
      </w:pPr>
    </w:p>
    <w:p>
      <w:pPr>
        <w:autoSpaceDE w:val="0"/>
        <w:autoSpaceDN w:val="0"/>
        <w:adjustRightInd w:val="0"/>
        <w:jc w:val="both"/>
        <w:rPr>
          <w:rFonts w:asciiTheme="minorHAnsi" w:hAnsiTheme="minorHAnsi" w:eastAsiaTheme="minorHAnsi" w:cstheme="minorHAnsi"/>
          <w:lang w:val="bs-Cyrl-BA"/>
        </w:rPr>
      </w:pPr>
      <w:r>
        <w:rPr>
          <w:rFonts w:asciiTheme="minorHAnsi" w:hAnsiTheme="minorHAnsi" w:eastAsiaTheme="minorHAnsi" w:cstheme="minorHAnsi"/>
          <w:bCs/>
          <w:lang w:val="sr-Latn-CS"/>
        </w:rPr>
        <w:t>Фонд здравственог осигурања Републике Српске има потписан</w:t>
      </w:r>
      <w:r>
        <w:rPr>
          <w:rFonts w:asciiTheme="minorHAnsi" w:hAnsiTheme="minorHAnsi" w:eastAsiaTheme="minorHAnsi" w:cstheme="minorHAnsi"/>
          <w:bCs/>
          <w:lang w:val="bs-Cyrl-BA"/>
        </w:rPr>
        <w:t>е</w:t>
      </w:r>
      <w:r>
        <w:rPr>
          <w:rFonts w:asciiTheme="minorHAnsi" w:hAnsiTheme="minorHAnsi" w:eastAsiaTheme="minorHAnsi" w:cstheme="minorHAnsi"/>
          <w:bCs/>
          <w:lang w:val="sr-Latn-CS"/>
        </w:rPr>
        <w:t xml:space="preserve"> уговор</w:t>
      </w:r>
      <w:r>
        <w:rPr>
          <w:rFonts w:asciiTheme="minorHAnsi" w:hAnsiTheme="minorHAnsi" w:eastAsiaTheme="minorHAnsi" w:cstheme="minorHAnsi"/>
          <w:bCs/>
          <w:lang w:val="bs-Cyrl-BA"/>
        </w:rPr>
        <w:t xml:space="preserve">е са већим бројем </w:t>
      </w:r>
      <w:r>
        <w:rPr>
          <w:rFonts w:asciiTheme="minorHAnsi" w:hAnsiTheme="minorHAnsi" w:eastAsiaTheme="minorHAnsi" w:cstheme="minorHAnsi"/>
          <w:bCs/>
          <w:lang w:val="sr-Latn-CS"/>
        </w:rPr>
        <w:t xml:space="preserve"> </w:t>
      </w:r>
      <w:r>
        <w:rPr>
          <w:rFonts w:asciiTheme="minorHAnsi" w:hAnsiTheme="minorHAnsi" w:eastAsiaTheme="minorHAnsi" w:cstheme="minorHAnsi"/>
          <w:bCs/>
          <w:lang w:val="bs-Cyrl-BA"/>
        </w:rPr>
        <w:t xml:space="preserve">приватних </w:t>
      </w:r>
      <w:r>
        <w:rPr>
          <w:rFonts w:asciiTheme="minorHAnsi" w:hAnsiTheme="minorHAnsi" w:eastAsiaTheme="minorHAnsi" w:cstheme="minorHAnsi"/>
          <w:bCs/>
          <w:lang w:val="sr-Latn-CS"/>
        </w:rPr>
        <w:t>здравствених установа</w:t>
      </w:r>
      <w:r>
        <w:rPr>
          <w:rFonts w:asciiTheme="minorHAnsi" w:hAnsiTheme="minorHAnsi" w:eastAsiaTheme="minorHAnsi" w:cstheme="minorHAnsi"/>
          <w:bCs/>
          <w:lang w:val="bs-Cyrl-BA"/>
        </w:rPr>
        <w:t xml:space="preserve"> које дјелују на територији града Бања Лука.</w:t>
      </w:r>
      <w:r>
        <w:rPr>
          <w:rFonts w:eastAsia="Times New Roman" w:asciiTheme="minorHAnsi" w:hAnsiTheme="minorHAnsi" w:cstheme="minorHAnsi"/>
          <w:bCs/>
          <w:kern w:val="32"/>
          <w:lang w:val="bs-Cyrl-BA"/>
        </w:rPr>
        <w:t xml:space="preserve"> </w:t>
      </w:r>
      <w:r>
        <w:rPr>
          <w:rFonts w:asciiTheme="minorHAnsi" w:hAnsiTheme="minorHAnsi" w:eastAsiaTheme="minorHAnsi" w:cstheme="minorHAnsi"/>
          <w:lang w:val="sr-Latn-CS"/>
        </w:rPr>
        <w:t xml:space="preserve">Осигурана лица Фонда здравственог осигурања РС  дијагностичке процедуре </w:t>
      </w:r>
      <w:r>
        <w:rPr>
          <w:rFonts w:asciiTheme="minorHAnsi" w:hAnsiTheme="minorHAnsi" w:eastAsiaTheme="minorHAnsi" w:cstheme="minorHAnsi"/>
          <w:lang w:val="bs-Cyrl-BA"/>
        </w:rPr>
        <w:t>као што су м</w:t>
      </w:r>
      <w:r>
        <w:rPr>
          <w:rFonts w:asciiTheme="minorHAnsi" w:hAnsiTheme="minorHAnsi" w:eastAsiaTheme="minorHAnsi" w:cstheme="minorHAnsi"/>
          <w:bCs/>
          <w:lang w:val="sr-Latn-CS"/>
        </w:rPr>
        <w:t>агнетна резонанса (МР) и компјутеризована томографија (ЦТ)</w:t>
      </w:r>
      <w:r>
        <w:rPr>
          <w:rFonts w:asciiTheme="minorHAnsi" w:hAnsiTheme="minorHAnsi" w:eastAsiaTheme="minorHAnsi" w:cstheme="minorHAnsi"/>
          <w:lang w:val="sr-Latn-CS"/>
        </w:rPr>
        <w:t>,</w:t>
      </w:r>
      <w:r>
        <w:rPr>
          <w:rFonts w:asciiTheme="minorHAnsi" w:hAnsiTheme="minorHAnsi" w:eastAsiaTheme="minorHAnsi" w:cstheme="minorHAnsi"/>
          <w:lang w:val="sr-Cyrl-CS"/>
        </w:rPr>
        <w:t xml:space="preserve"> </w:t>
      </w:r>
      <w:r>
        <w:rPr>
          <w:rFonts w:asciiTheme="minorHAnsi" w:hAnsiTheme="minorHAnsi" w:eastAsiaTheme="minorHAnsi" w:cstheme="minorHAnsi"/>
          <w:lang w:val="sr-Latn-CS"/>
        </w:rPr>
        <w:t xml:space="preserve">могу </w:t>
      </w:r>
      <w:r>
        <w:rPr>
          <w:rFonts w:asciiTheme="minorHAnsi" w:hAnsiTheme="minorHAnsi" w:eastAsiaTheme="minorHAnsi" w:cstheme="minorHAnsi"/>
          <w:lang w:val="bs-Cyrl-BA"/>
        </w:rPr>
        <w:t xml:space="preserve">обавити </w:t>
      </w:r>
      <w:r>
        <w:rPr>
          <w:rFonts w:asciiTheme="minorHAnsi" w:hAnsiTheme="minorHAnsi" w:eastAsiaTheme="minorHAnsi" w:cstheme="minorHAnsi"/>
          <w:lang w:val="sr-Latn-CS"/>
        </w:rPr>
        <w:t xml:space="preserve"> у </w:t>
      </w:r>
      <w:r>
        <w:rPr>
          <w:rStyle w:val="35"/>
          <w:rFonts w:asciiTheme="minorHAnsi" w:hAnsiTheme="minorHAnsi" w:eastAsiaTheme="majorEastAsia" w:cstheme="minorHAnsi"/>
          <w:b w:val="0"/>
          <w:lang w:val="sr-Cyrl-CS"/>
        </w:rPr>
        <w:t>Универзитетском к</w:t>
      </w:r>
      <w:r>
        <w:rPr>
          <w:rStyle w:val="35"/>
          <w:rFonts w:asciiTheme="minorHAnsi" w:hAnsiTheme="minorHAnsi" w:eastAsiaTheme="majorEastAsia" w:cstheme="minorHAnsi"/>
          <w:b w:val="0"/>
          <w:lang w:val="sr-Latn-RS"/>
        </w:rPr>
        <w:t>линичк</w:t>
      </w:r>
      <w:r>
        <w:rPr>
          <w:rStyle w:val="35"/>
          <w:rFonts w:asciiTheme="minorHAnsi" w:hAnsiTheme="minorHAnsi" w:eastAsiaTheme="majorEastAsia" w:cstheme="minorHAnsi"/>
          <w:b w:val="0"/>
          <w:lang w:val="bs-Cyrl-BA"/>
        </w:rPr>
        <w:t xml:space="preserve">ом </w:t>
      </w:r>
      <w:r>
        <w:rPr>
          <w:rStyle w:val="35"/>
          <w:rFonts w:asciiTheme="minorHAnsi" w:hAnsiTheme="minorHAnsi" w:eastAsiaTheme="majorEastAsia" w:cstheme="minorHAnsi"/>
          <w:b w:val="0"/>
          <w:lang w:val="sr-Latn-RS"/>
        </w:rPr>
        <w:t>цент</w:t>
      </w:r>
      <w:r>
        <w:rPr>
          <w:rStyle w:val="35"/>
          <w:rFonts w:asciiTheme="minorHAnsi" w:hAnsiTheme="minorHAnsi" w:eastAsiaTheme="majorEastAsia" w:cstheme="minorHAnsi"/>
          <w:b w:val="0"/>
          <w:lang w:val="sr-Cyrl-CS"/>
        </w:rPr>
        <w:t>ру</w:t>
      </w:r>
      <w:r>
        <w:rPr>
          <w:rFonts w:asciiTheme="minorHAnsi" w:hAnsiTheme="minorHAnsi" w:cstheme="minorHAnsi"/>
          <w:b/>
          <w:bCs/>
          <w:lang w:val="sr-Latn-RS"/>
        </w:rPr>
        <w:t xml:space="preserve"> </w:t>
      </w:r>
      <w:r>
        <w:rPr>
          <w:rFonts w:asciiTheme="minorHAnsi" w:hAnsiTheme="minorHAnsi" w:cstheme="minorHAnsi"/>
          <w:bCs/>
          <w:lang w:val="sr-Cyrl-CS"/>
        </w:rPr>
        <w:t xml:space="preserve">Републике Српске, </w:t>
      </w:r>
      <w:r>
        <w:rPr>
          <w:rFonts w:asciiTheme="minorHAnsi" w:hAnsiTheme="minorHAnsi" w:eastAsiaTheme="minorHAnsi" w:cstheme="minorHAnsi"/>
          <w:lang w:val="sr-Latn-CS"/>
        </w:rPr>
        <w:t>Бања</w:t>
      </w:r>
      <w:r>
        <w:rPr>
          <w:rFonts w:asciiTheme="minorHAnsi" w:hAnsiTheme="minorHAnsi" w:eastAsiaTheme="minorHAnsi" w:cstheme="minorHAnsi"/>
          <w:lang w:val="bs-Cyrl-BA"/>
        </w:rPr>
        <w:t xml:space="preserve"> Л</w:t>
      </w:r>
      <w:r>
        <w:rPr>
          <w:rFonts w:asciiTheme="minorHAnsi" w:hAnsiTheme="minorHAnsi" w:eastAsiaTheme="minorHAnsi" w:cstheme="minorHAnsi"/>
          <w:lang w:val="sr-Latn-CS"/>
        </w:rPr>
        <w:t>ука,</w:t>
      </w:r>
      <w:r>
        <w:rPr>
          <w:rFonts w:asciiTheme="minorHAnsi" w:hAnsiTheme="minorHAnsi" w:eastAsiaTheme="minorHAnsi" w:cstheme="minorHAnsi"/>
          <w:lang w:val="bs-Cyrl-BA"/>
        </w:rPr>
        <w:t xml:space="preserve"> као и у </w:t>
      </w:r>
      <w:r>
        <w:rPr>
          <w:rFonts w:asciiTheme="minorHAnsi" w:hAnsiTheme="minorHAnsi" w:eastAsiaTheme="minorHAnsi" w:cstheme="minorHAnsi"/>
          <w:lang w:val="sr-Latn-CS"/>
        </w:rPr>
        <w:t>приватни</w:t>
      </w:r>
      <w:r>
        <w:rPr>
          <w:rFonts w:asciiTheme="minorHAnsi" w:hAnsiTheme="minorHAnsi" w:eastAsiaTheme="minorHAnsi" w:cstheme="minorHAnsi"/>
          <w:lang w:val="bs-Cyrl-BA"/>
        </w:rPr>
        <w:t>м здравственим установама</w:t>
      </w:r>
      <w:r>
        <w:rPr>
          <w:rFonts w:asciiTheme="minorHAnsi" w:hAnsiTheme="minorHAnsi" w:eastAsiaTheme="minorHAnsi" w:cstheme="minorHAnsi"/>
          <w:lang w:val="sr-Latn-RS"/>
        </w:rPr>
        <w:t>:</w:t>
      </w:r>
      <w:r>
        <w:rPr>
          <w:rFonts w:asciiTheme="minorHAnsi" w:hAnsiTheme="minorHAnsi" w:eastAsiaTheme="minorHAnsi" w:cstheme="minorHAnsi"/>
          <w:lang w:val="bs-Cyrl-BA"/>
        </w:rPr>
        <w:t xml:space="preserve"> ЗУ </w:t>
      </w:r>
      <w:r>
        <w:rPr>
          <w:rFonts w:asciiTheme="minorHAnsi" w:hAnsiTheme="minorHAnsi" w:eastAsiaTheme="minorHAnsi" w:cstheme="minorHAnsi"/>
          <w:lang w:val="sr-Latn-CS"/>
        </w:rPr>
        <w:t>''Еуромедик''</w:t>
      </w:r>
      <w:r>
        <w:rPr>
          <w:rFonts w:asciiTheme="minorHAnsi" w:hAnsiTheme="minorHAnsi" w:eastAsiaTheme="minorHAnsi" w:cstheme="minorHAnsi"/>
          <w:lang w:val="sr-Latn-RS"/>
        </w:rPr>
        <w:t xml:space="preserve">, </w:t>
      </w:r>
      <w:r>
        <w:rPr>
          <w:rFonts w:asciiTheme="minorHAnsi" w:hAnsiTheme="minorHAnsi" w:eastAsiaTheme="minorHAnsi" w:cstheme="minorHAnsi"/>
          <w:lang w:val="sr-Latn-CS"/>
        </w:rPr>
        <w:t>ЗУ ''Др Арар''</w:t>
      </w:r>
      <w:r>
        <w:rPr>
          <w:rFonts w:asciiTheme="minorHAnsi" w:hAnsiTheme="minorHAnsi" w:eastAsiaTheme="minorHAnsi" w:cstheme="minorHAnsi"/>
          <w:lang w:val="sr-Cyrl-RS"/>
        </w:rPr>
        <w:t xml:space="preserve"> и</w:t>
      </w:r>
      <w:r>
        <w:rPr>
          <w:rFonts w:asciiTheme="minorHAnsi" w:hAnsiTheme="minorHAnsi" w:eastAsiaTheme="minorHAnsi" w:cstheme="minorHAnsi"/>
          <w:lang w:val="sr-Latn-CS"/>
        </w:rPr>
        <w:t xml:space="preserve"> ЗУ ''Др </w:t>
      </w:r>
      <w:r>
        <w:rPr>
          <w:rFonts w:asciiTheme="minorHAnsi" w:hAnsiTheme="minorHAnsi" w:eastAsiaTheme="minorHAnsi" w:cstheme="minorHAnsi"/>
          <w:lang w:val="sr-Cyrl-RS"/>
        </w:rPr>
        <w:t>Костић</w:t>
      </w:r>
      <w:r>
        <w:rPr>
          <w:rFonts w:asciiTheme="minorHAnsi" w:hAnsiTheme="minorHAnsi" w:eastAsiaTheme="minorHAnsi" w:cstheme="minorHAnsi"/>
          <w:lang w:val="sr-Latn-CS"/>
        </w:rPr>
        <w:t>''</w:t>
      </w:r>
      <w:r>
        <w:rPr>
          <w:rFonts w:asciiTheme="minorHAnsi" w:hAnsiTheme="minorHAnsi" w:eastAsiaTheme="minorHAnsi" w:cstheme="minorHAnsi"/>
          <w:lang w:val="bs-Cyrl-BA"/>
        </w:rPr>
        <w:t>,</w:t>
      </w:r>
      <w:r>
        <w:rPr>
          <w:rFonts w:asciiTheme="minorHAnsi" w:hAnsiTheme="minorHAnsi" w:eastAsiaTheme="minorHAnsi" w:cstheme="minorHAnsi"/>
          <w:lang w:val="sr-Latn-CS"/>
        </w:rPr>
        <w:t xml:space="preserve"> са којима ФЗО РС има</w:t>
      </w:r>
      <w:r>
        <w:rPr>
          <w:rFonts w:asciiTheme="minorHAnsi" w:hAnsiTheme="minorHAnsi" w:eastAsiaTheme="minorHAnsi" w:cstheme="minorHAnsi"/>
          <w:lang w:val="sr-Cyrl-CS"/>
        </w:rPr>
        <w:t xml:space="preserve"> </w:t>
      </w:r>
      <w:r>
        <w:rPr>
          <w:rFonts w:asciiTheme="minorHAnsi" w:hAnsiTheme="minorHAnsi" w:eastAsiaTheme="minorHAnsi" w:cstheme="minorHAnsi"/>
          <w:lang w:val="sr-Latn-CS"/>
        </w:rPr>
        <w:t>потписане уговоре</w:t>
      </w:r>
      <w:r>
        <w:rPr>
          <w:rFonts w:asciiTheme="minorHAnsi" w:hAnsiTheme="minorHAnsi" w:eastAsiaTheme="minorHAnsi" w:cstheme="minorHAnsi"/>
          <w:lang w:val="bs-Cyrl-BA"/>
        </w:rPr>
        <w:t>.</w:t>
      </w:r>
    </w:p>
    <w:p>
      <w:pPr>
        <w:autoSpaceDE w:val="0"/>
        <w:autoSpaceDN w:val="0"/>
        <w:adjustRightInd w:val="0"/>
        <w:jc w:val="both"/>
        <w:rPr>
          <w:rFonts w:asciiTheme="minorHAnsi" w:hAnsiTheme="minorHAnsi" w:eastAsiaTheme="minorHAnsi" w:cstheme="minorHAnsi"/>
          <w:lang w:val="sr-Cyrl-CS"/>
        </w:rPr>
      </w:pPr>
    </w:p>
    <w:p>
      <w:pPr>
        <w:autoSpaceDE w:val="0"/>
        <w:autoSpaceDN w:val="0"/>
        <w:adjustRightInd w:val="0"/>
        <w:jc w:val="both"/>
        <w:rPr>
          <w:rFonts w:asciiTheme="minorHAnsi" w:hAnsiTheme="minorHAnsi" w:cstheme="minorHAnsi"/>
          <w:b/>
          <w:bCs/>
          <w:lang w:val="sr-Latn-CS"/>
        </w:rPr>
      </w:pPr>
    </w:p>
    <w:p>
      <w:pPr>
        <w:autoSpaceDE w:val="0"/>
        <w:autoSpaceDN w:val="0"/>
        <w:adjustRightInd w:val="0"/>
        <w:jc w:val="both"/>
        <w:rPr>
          <w:rFonts w:asciiTheme="minorHAnsi" w:hAnsiTheme="minorHAnsi" w:cstheme="minorHAnsi"/>
          <w:b/>
          <w:bCs/>
          <w:lang w:val="sr-Latn-CS"/>
        </w:rPr>
      </w:pPr>
    </w:p>
    <w:p>
      <w:pPr>
        <w:autoSpaceDE w:val="0"/>
        <w:autoSpaceDN w:val="0"/>
        <w:adjustRightInd w:val="0"/>
        <w:jc w:val="both"/>
        <w:rPr>
          <w:rFonts w:asciiTheme="minorHAnsi" w:hAnsiTheme="minorHAnsi" w:cstheme="minorHAnsi"/>
          <w:b/>
          <w:bCs/>
          <w:lang w:val="sr-Cyrl-RS"/>
        </w:rPr>
      </w:pPr>
      <w:r>
        <w:rPr>
          <w:rFonts w:asciiTheme="minorHAnsi" w:hAnsiTheme="minorHAnsi" w:cstheme="minorHAnsi"/>
          <w:b/>
          <w:bCs/>
          <w:lang w:val="sr-Cyrl-RS"/>
        </w:rPr>
        <w:t xml:space="preserve">ЈЗУ </w:t>
      </w:r>
      <w:r>
        <w:rPr>
          <w:rFonts w:asciiTheme="minorHAnsi" w:hAnsiTheme="minorHAnsi" w:cstheme="minorHAnsi"/>
          <w:b/>
          <w:bCs/>
        </w:rPr>
        <w:t xml:space="preserve">Дом здравља </w:t>
      </w:r>
      <w:r>
        <w:rPr>
          <w:rFonts w:asciiTheme="minorHAnsi" w:hAnsiTheme="minorHAnsi" w:cstheme="minorHAnsi"/>
          <w:b/>
          <w:bCs/>
          <w:lang w:val="sr-Cyrl-RS"/>
        </w:rPr>
        <w:t>Бања Лука</w:t>
      </w:r>
    </w:p>
    <w:p>
      <w:pPr>
        <w:autoSpaceDE w:val="0"/>
        <w:autoSpaceDN w:val="0"/>
        <w:adjustRightInd w:val="0"/>
        <w:jc w:val="both"/>
        <w:rPr>
          <w:rFonts w:asciiTheme="minorHAnsi" w:hAnsiTheme="minorHAnsi" w:cstheme="minorHAnsi"/>
          <w:bCs/>
          <w:lang w:val="sr-Latn-CS"/>
        </w:rPr>
      </w:pPr>
      <w:r>
        <w:rPr>
          <w:rFonts w:asciiTheme="minorHAnsi" w:hAnsiTheme="minorHAnsi" w:eastAsiaTheme="minorHAnsi" w:cstheme="minorHAnsi"/>
          <w:lang w:val="sr-Cyrl-CS"/>
        </w:rPr>
        <w:br w:type="textWrapping"/>
      </w:r>
      <w:r>
        <w:rPr>
          <w:b/>
          <w:i/>
          <w:lang w:val="sr-Cyrl-RS"/>
        </w:rPr>
        <w:t xml:space="preserve">Инфраструктурни капацитети,  људских ресурси  и услуге </w:t>
      </w:r>
      <w:r>
        <w:rPr>
          <w:b/>
          <w:bCs/>
          <w:i/>
        </w:rPr>
        <w:t>ЈЗУ</w:t>
      </w:r>
      <w:r>
        <w:rPr>
          <w:b/>
          <w:bCs/>
          <w:i/>
          <w:lang w:val="sr-Cyrl-RS"/>
        </w:rPr>
        <w:t xml:space="preserve"> </w:t>
      </w:r>
      <w:r>
        <w:rPr>
          <w:b/>
          <w:bCs/>
          <w:i/>
        </w:rPr>
        <w:t>"Дом здравља" у Бањ</w:t>
      </w:r>
      <w:r>
        <w:rPr>
          <w:b/>
          <w:bCs/>
          <w:i/>
          <w:lang w:val="sr-Cyrl-RS"/>
        </w:rPr>
        <w:t>ој</w:t>
      </w:r>
      <w:r>
        <w:rPr>
          <w:b/>
          <w:bCs/>
          <w:i/>
        </w:rPr>
        <w:t xml:space="preserve"> Луци</w:t>
      </w:r>
      <w:r>
        <w:rPr>
          <w:bCs/>
          <w:i/>
          <w:lang w:val="sr-Cyrl-RS"/>
        </w:rPr>
        <w:t xml:space="preserve">. </w:t>
      </w:r>
      <w:r>
        <w:rPr>
          <w:rFonts w:asciiTheme="minorHAnsi" w:hAnsiTheme="minorHAnsi" w:cstheme="minorHAnsi"/>
          <w:bCs/>
          <w:lang w:val="sr-Cyrl-RS"/>
        </w:rPr>
        <w:t xml:space="preserve">ЈЗУ </w:t>
      </w:r>
      <w:r>
        <w:rPr>
          <w:rFonts w:asciiTheme="minorHAnsi" w:hAnsiTheme="minorHAnsi" w:cstheme="minorHAnsi"/>
          <w:bCs/>
        </w:rPr>
        <w:t xml:space="preserve">Дом здравља </w:t>
      </w:r>
      <w:r>
        <w:rPr>
          <w:rFonts w:asciiTheme="minorHAnsi" w:hAnsiTheme="minorHAnsi" w:cstheme="minorHAnsi"/>
          <w:bCs/>
          <w:lang w:val="sr-Cyrl-RS"/>
        </w:rPr>
        <w:t xml:space="preserve">Бања Лука </w:t>
      </w:r>
      <w:r>
        <w:rPr>
          <w:rFonts w:asciiTheme="minorHAnsi" w:hAnsiTheme="minorHAnsi" w:cstheme="minorHAnsi"/>
          <w:bCs/>
        </w:rPr>
        <w:t xml:space="preserve">је </w:t>
      </w:r>
      <w:r>
        <w:rPr>
          <w:rFonts w:asciiTheme="minorHAnsi" w:hAnsiTheme="minorHAnsi" w:cstheme="minorHAnsi"/>
          <w:lang w:eastAsia="sr-Latn-CS"/>
        </w:rPr>
        <w:t>здравствена установа у државној својини</w:t>
      </w:r>
      <w:r>
        <w:rPr>
          <w:rFonts w:asciiTheme="minorHAnsi" w:hAnsiTheme="minorHAnsi" w:cstheme="minorHAnsi"/>
          <w:lang w:val="sr-Cyrl-CS" w:eastAsia="sr-Latn-CS"/>
        </w:rPr>
        <w:t>,</w:t>
      </w:r>
      <w:r>
        <w:rPr>
          <w:rFonts w:asciiTheme="minorHAnsi" w:hAnsiTheme="minorHAnsi" w:cstheme="minorHAnsi"/>
          <w:lang w:val="sr-Latn-BA"/>
        </w:rPr>
        <w:t xml:space="preserve"> основана за подручје града </w:t>
      </w:r>
      <w:r>
        <w:rPr>
          <w:rFonts w:asciiTheme="minorHAnsi" w:hAnsiTheme="minorHAnsi" w:cstheme="minorHAnsi"/>
          <w:lang w:eastAsia="sr-Latn-CS"/>
        </w:rPr>
        <w:t>Бања Лука</w:t>
      </w:r>
      <w:r>
        <w:rPr>
          <w:rFonts w:asciiTheme="minorHAnsi" w:hAnsiTheme="minorHAnsi" w:cstheme="minorHAnsi"/>
          <w:lang w:val="sr-Cyrl-CS"/>
        </w:rPr>
        <w:t xml:space="preserve">, </w:t>
      </w:r>
      <w:r>
        <w:rPr>
          <w:rFonts w:asciiTheme="minorHAnsi" w:hAnsiTheme="minorHAnsi" w:cstheme="minorHAnsi"/>
          <w:lang w:eastAsia="sr-Latn-CS"/>
        </w:rPr>
        <w:t>од посебног друштвеног интерес</w:t>
      </w:r>
      <w:r>
        <w:rPr>
          <w:rFonts w:asciiTheme="minorHAnsi" w:hAnsiTheme="minorHAnsi" w:cstheme="minorHAnsi"/>
          <w:lang w:val="sr-Cyrl-RS" w:eastAsia="sr-Latn-CS"/>
        </w:rPr>
        <w:t xml:space="preserve">а, основана </w:t>
      </w:r>
      <w:r>
        <w:rPr>
          <w:rFonts w:asciiTheme="minorHAnsi" w:hAnsiTheme="minorHAnsi" w:cstheme="minorHAnsi"/>
          <w:lang w:eastAsia="sr-Latn-CS"/>
        </w:rPr>
        <w:t>1994. године</w:t>
      </w:r>
      <w:r>
        <w:rPr>
          <w:rFonts w:asciiTheme="minorHAnsi" w:hAnsiTheme="minorHAnsi" w:cstheme="minorHAnsi"/>
          <w:lang w:val="sr-Cyrl-CS" w:eastAsia="sr-Latn-CS"/>
        </w:rPr>
        <w:t>. С</w:t>
      </w:r>
      <w:r>
        <w:rPr>
          <w:rFonts w:asciiTheme="minorHAnsi" w:hAnsiTheme="minorHAnsi" w:cstheme="minorHAnsi"/>
          <w:bCs/>
        </w:rPr>
        <w:t xml:space="preserve">а својим капацитетима </w:t>
      </w:r>
      <w:r>
        <w:rPr>
          <w:rFonts w:asciiTheme="minorHAnsi" w:hAnsiTheme="minorHAnsi" w:cstheme="minorHAnsi"/>
          <w:bCs/>
          <w:lang w:val="sr-Cyrl-CS"/>
        </w:rPr>
        <w:t>је</w:t>
      </w:r>
      <w:r>
        <w:rPr>
          <w:rFonts w:asciiTheme="minorHAnsi" w:hAnsiTheme="minorHAnsi" w:cstheme="minorHAnsi"/>
          <w:bCs/>
        </w:rPr>
        <w:t xml:space="preserve"> највећи дом здравља у Републици Српској и референтна је здравствена установа за дјелатност коју обавља. Такође је и наставна и научна база за Медицински факултет Универзитета у Бања Луци и Медицинску школу.</w:t>
      </w:r>
      <w:r>
        <w:rPr>
          <w:rFonts w:asciiTheme="minorHAnsi" w:hAnsiTheme="minorHAnsi" w:cstheme="minorHAnsi"/>
          <w:bCs/>
          <w:lang w:val="sr-Cyrl-CS"/>
        </w:rPr>
        <w:t xml:space="preserve"> </w:t>
      </w:r>
      <w:r>
        <w:rPr>
          <w:rFonts w:asciiTheme="minorHAnsi" w:hAnsiTheme="minorHAnsi" w:cstheme="minorHAnsi"/>
          <w:bCs/>
          <w:lang w:val="sr-Latn-CS"/>
        </w:rPr>
        <w:t xml:space="preserve"> </w:t>
      </w:r>
    </w:p>
    <w:p>
      <w:pPr>
        <w:jc w:val="both"/>
        <w:rPr>
          <w:rFonts w:asciiTheme="minorHAnsi" w:hAnsiTheme="minorHAnsi" w:cstheme="minorHAnsi"/>
          <w:lang w:val="sr-Cyrl-RS"/>
        </w:rPr>
      </w:pPr>
    </w:p>
    <w:p>
      <w:pPr>
        <w:jc w:val="both"/>
        <w:rPr>
          <w:rFonts w:asciiTheme="minorHAnsi" w:hAnsiTheme="minorHAnsi" w:cstheme="minorHAnsi"/>
          <w:bCs/>
          <w:lang w:val="sr-Cyrl-CS"/>
        </w:rPr>
      </w:pPr>
      <w:r>
        <w:rPr>
          <w:rFonts w:asciiTheme="minorHAnsi" w:hAnsiTheme="minorHAnsi" w:cstheme="minorHAnsi"/>
          <w:lang w:val="sr-Cyrl-RS"/>
        </w:rPr>
        <w:t xml:space="preserve">ЈЗУ ДЗ </w:t>
      </w:r>
      <w:r>
        <w:rPr>
          <w:rFonts w:asciiTheme="minorHAnsi" w:hAnsiTheme="minorHAnsi" w:cstheme="minorHAnsi"/>
          <w:bCs/>
        </w:rPr>
        <w:t xml:space="preserve">организује примарну здравствену заштиту </w:t>
      </w:r>
      <w:r>
        <w:rPr>
          <w:rFonts w:asciiTheme="minorHAnsi" w:hAnsiTheme="minorHAnsi" w:cstheme="minorHAnsi"/>
          <w:lang w:val="sr-Latn-BA"/>
        </w:rPr>
        <w:t>по моделу породичне медицине</w:t>
      </w:r>
      <w:r>
        <w:rPr>
          <w:rFonts w:asciiTheme="minorHAnsi" w:hAnsiTheme="minorHAnsi" w:cstheme="minorHAnsi"/>
          <w:bCs/>
        </w:rPr>
        <w:t xml:space="preserve"> и обезбјеђује: дјечију, превентивну и општу стоматологију, хигијенско–епидемиолошку дјелатност, хитну медицинску помоћ, заштиту и унапређење менталног здравља у заједници, амбулантни облик физикалне рехабилитације, лабораторијску и радиолошку дијагностику,обавља послове имунизације, снабдијевање лијековима и медицинским средствима, а организује и рад амбуланти за специјалистичке консултације из педијатрије и гинекологије.  </w:t>
      </w:r>
    </w:p>
    <w:p>
      <w:pPr>
        <w:jc w:val="both"/>
        <w:rPr>
          <w:rFonts w:asciiTheme="minorHAnsi" w:hAnsiTheme="minorHAnsi" w:cstheme="minorHAnsi"/>
          <w:lang w:val="sr-Cyrl-RS"/>
        </w:rPr>
      </w:pPr>
    </w:p>
    <w:p>
      <w:pPr>
        <w:jc w:val="both"/>
        <w:rPr>
          <w:rFonts w:eastAsia="Times New Roman" w:asciiTheme="minorHAnsi" w:hAnsiTheme="minorHAnsi" w:cstheme="minorHAnsi"/>
          <w:lang w:val="sr-Cyrl-RS"/>
        </w:rPr>
      </w:pPr>
      <w:r>
        <w:rPr>
          <w:rFonts w:asciiTheme="minorHAnsi" w:hAnsiTheme="minorHAnsi" w:cstheme="minorHAnsi"/>
          <w:lang w:val="sr-Cyrl-RS"/>
        </w:rPr>
        <w:t xml:space="preserve">Укупан број запослених у ЈЗУ "Дом здравља" у Бања Луци на дан </w:t>
      </w:r>
      <w:r>
        <w:rPr>
          <w:rFonts w:asciiTheme="minorHAnsi" w:hAnsiTheme="minorHAnsi" w:cstheme="minorHAnsi"/>
          <w:lang w:val="bs-Latn-BA"/>
        </w:rPr>
        <w:t>31.</w:t>
      </w:r>
      <w:r>
        <w:rPr>
          <w:rFonts w:asciiTheme="minorHAnsi" w:hAnsiTheme="minorHAnsi" w:cstheme="minorHAnsi"/>
          <w:lang w:val="sr-Cyrl-CS"/>
        </w:rPr>
        <w:t xml:space="preserve"> </w:t>
      </w:r>
      <w:r>
        <w:rPr>
          <w:rFonts w:asciiTheme="minorHAnsi" w:hAnsiTheme="minorHAnsi" w:cstheme="minorHAnsi"/>
          <w:lang w:val="bs-Latn-BA"/>
        </w:rPr>
        <w:t>03.</w:t>
      </w:r>
      <w:r>
        <w:rPr>
          <w:rFonts w:asciiTheme="minorHAnsi" w:hAnsiTheme="minorHAnsi" w:cstheme="minorHAnsi"/>
          <w:lang w:val="sr-Cyrl-CS"/>
        </w:rPr>
        <w:t xml:space="preserve"> </w:t>
      </w:r>
      <w:r>
        <w:rPr>
          <w:rFonts w:asciiTheme="minorHAnsi" w:hAnsiTheme="minorHAnsi" w:cstheme="minorHAnsi"/>
          <w:lang w:val="bs-Latn-BA"/>
        </w:rPr>
        <w:t>2017. године</w:t>
      </w:r>
      <w:r>
        <w:rPr>
          <w:rFonts w:asciiTheme="minorHAnsi" w:hAnsiTheme="minorHAnsi" w:cstheme="minorHAnsi"/>
          <w:lang w:val="sr-Cyrl-RS"/>
        </w:rPr>
        <w:t xml:space="preserve"> износио је </w:t>
      </w:r>
      <w:r>
        <w:rPr>
          <w:rFonts w:asciiTheme="minorHAnsi" w:hAnsiTheme="minorHAnsi" w:cstheme="minorHAnsi"/>
          <w:lang w:val="bs-Latn-BA"/>
        </w:rPr>
        <w:t>864</w:t>
      </w:r>
      <w:r>
        <w:rPr>
          <w:rFonts w:asciiTheme="minorHAnsi" w:hAnsiTheme="minorHAnsi" w:cstheme="minorHAnsi"/>
          <w:lang w:val="sr-Cyrl-RS"/>
        </w:rPr>
        <w:t xml:space="preserve"> </w:t>
      </w:r>
      <w:r>
        <w:rPr>
          <w:rFonts w:asciiTheme="minorHAnsi" w:hAnsiTheme="minorHAnsi" w:cstheme="minorHAnsi"/>
          <w:lang w:val="sr-Cyrl-CS"/>
        </w:rPr>
        <w:t xml:space="preserve">(203М/661Ж). </w:t>
      </w:r>
      <w:r>
        <w:rPr>
          <w:rFonts w:eastAsia="Times New Roman" w:asciiTheme="minorHAnsi" w:hAnsiTheme="minorHAnsi" w:cstheme="minorHAnsi"/>
          <w:lang w:val="sr-Cyrl-RS"/>
        </w:rPr>
        <w:t xml:space="preserve">Од укупног броја запослених радника, </w:t>
      </w:r>
      <w:r>
        <w:rPr>
          <w:rFonts w:eastAsia="Times New Roman" w:asciiTheme="minorHAnsi" w:hAnsiTheme="minorHAnsi" w:cstheme="minorHAnsi"/>
          <w:lang w:val="bs-Latn-BA"/>
        </w:rPr>
        <w:t>645</w:t>
      </w:r>
      <w:r>
        <w:rPr>
          <w:rFonts w:eastAsia="Times New Roman" w:asciiTheme="minorHAnsi" w:hAnsiTheme="minorHAnsi" w:cstheme="minorHAnsi"/>
          <w:lang w:val="sr-Cyrl-RS"/>
        </w:rPr>
        <w:t xml:space="preserve"> радника је распоређено у медицински сегмент, а </w:t>
      </w:r>
      <w:r>
        <w:rPr>
          <w:rFonts w:eastAsia="Times New Roman" w:asciiTheme="minorHAnsi" w:hAnsiTheme="minorHAnsi" w:cstheme="minorHAnsi"/>
          <w:lang w:val="bs-Latn-BA"/>
        </w:rPr>
        <w:t>219</w:t>
      </w:r>
      <w:r>
        <w:rPr>
          <w:rFonts w:eastAsia="Times New Roman" w:asciiTheme="minorHAnsi" w:hAnsiTheme="minorHAnsi" w:cstheme="minorHAnsi"/>
          <w:lang w:val="sr-Cyrl-RS"/>
        </w:rPr>
        <w:t xml:space="preserve"> радника у немедицински (а</w:t>
      </w:r>
      <w:r>
        <w:rPr>
          <w:rFonts w:eastAsia="Times New Roman" w:asciiTheme="minorHAnsi" w:hAnsiTheme="minorHAnsi" w:cstheme="minorHAnsi"/>
          <w:lang w:val="bs-Latn-BA"/>
        </w:rPr>
        <w:t>дминистративно</w:t>
      </w:r>
      <w:r>
        <w:rPr>
          <w:rFonts w:eastAsia="Times New Roman" w:asciiTheme="minorHAnsi" w:hAnsiTheme="minorHAnsi" w:cstheme="minorHAnsi"/>
          <w:lang w:val="sr-Cyrl-CS"/>
        </w:rPr>
        <w:t>-техничко</w:t>
      </w:r>
      <w:r>
        <w:rPr>
          <w:rFonts w:eastAsia="Times New Roman" w:asciiTheme="minorHAnsi" w:hAnsiTheme="minorHAnsi" w:cstheme="minorHAnsi"/>
          <w:lang w:val="bs-Latn-BA"/>
        </w:rPr>
        <w:t xml:space="preserve"> особљ</w:t>
      </w:r>
      <w:r>
        <w:rPr>
          <w:rFonts w:eastAsia="Times New Roman" w:asciiTheme="minorHAnsi" w:hAnsiTheme="minorHAnsi" w:cstheme="minorHAnsi"/>
          <w:lang w:val="sr-Cyrl-CS"/>
        </w:rPr>
        <w:t>е)</w:t>
      </w:r>
      <w:r>
        <w:rPr>
          <w:rFonts w:eastAsia="Times New Roman" w:asciiTheme="minorHAnsi" w:hAnsiTheme="minorHAnsi" w:cstheme="minorHAnsi"/>
          <w:lang w:val="sr-Cyrl-RS"/>
        </w:rPr>
        <w:t xml:space="preserve">. У ЈЗУ ДЗ ради 247 љекара. </w:t>
      </w:r>
    </w:p>
    <w:p>
      <w:pPr>
        <w:jc w:val="both"/>
        <w:rPr>
          <w:rFonts w:eastAsia="Times New Roman" w:asciiTheme="minorHAnsi" w:hAnsiTheme="minorHAnsi" w:cstheme="minorHAnsi"/>
          <w:lang w:val="sr-Cyrl-RS"/>
        </w:rPr>
      </w:pPr>
    </w:p>
    <w:p>
      <w:pPr>
        <w:pStyle w:val="8"/>
        <w:jc w:val="both"/>
        <w:rPr>
          <w:rFonts w:asciiTheme="minorHAnsi" w:hAnsiTheme="minorHAnsi" w:cstheme="minorHAnsi"/>
          <w:bCs/>
          <w:sz w:val="22"/>
          <w:szCs w:val="22"/>
          <w:lang w:val="sr-Cyrl-CS"/>
        </w:rPr>
      </w:pPr>
      <w:r>
        <w:rPr>
          <w:rFonts w:asciiTheme="minorHAnsi" w:hAnsiTheme="minorHAnsi" w:cstheme="minorHAnsi"/>
          <w:b/>
          <w:bCs/>
          <w:i/>
          <w:sz w:val="22"/>
          <w:szCs w:val="22"/>
          <w:lang w:val="sr-Cyrl-CS"/>
        </w:rPr>
        <w:t>Услуге и статистика о прегледима</w:t>
      </w:r>
      <w:r>
        <w:rPr>
          <w:rFonts w:asciiTheme="minorHAnsi" w:hAnsiTheme="minorHAnsi" w:cstheme="minorHAnsi"/>
          <w:bCs/>
          <w:sz w:val="22"/>
          <w:szCs w:val="22"/>
          <w:lang w:val="sr-Cyrl-CS"/>
        </w:rPr>
        <w:t>. О</w:t>
      </w:r>
      <w:r>
        <w:rPr>
          <w:rFonts w:asciiTheme="minorHAnsi" w:hAnsiTheme="minorHAnsi" w:cstheme="minorHAnsi"/>
          <w:bCs/>
          <w:sz w:val="22"/>
          <w:szCs w:val="22"/>
          <w:lang w:val="sr-Latn-BA"/>
        </w:rPr>
        <w:t>бухват превентивним прегледима у Дому здравља није задовољавајући</w:t>
      </w:r>
      <w:r>
        <w:rPr>
          <w:rFonts w:asciiTheme="minorHAnsi" w:hAnsiTheme="minorHAnsi" w:cstheme="minorHAnsi"/>
          <w:bCs/>
          <w:sz w:val="22"/>
          <w:szCs w:val="22"/>
          <w:lang w:val="sr-Cyrl-CS"/>
        </w:rPr>
        <w:t xml:space="preserve">, а разлози су како од стране корисника </w:t>
      </w:r>
      <w:r>
        <w:rPr>
          <w:rFonts w:asciiTheme="minorHAnsi" w:hAnsiTheme="minorHAnsi" w:cstheme="minorHAnsi"/>
          <w:bCs/>
          <w:sz w:val="22"/>
          <w:szCs w:val="22"/>
          <w:lang w:val="sr-Latn-BA"/>
        </w:rPr>
        <w:t>у</w:t>
      </w:r>
      <w:r>
        <w:rPr>
          <w:rFonts w:asciiTheme="minorHAnsi" w:hAnsiTheme="minorHAnsi" w:cstheme="minorHAnsi"/>
          <w:bCs/>
          <w:sz w:val="22"/>
          <w:szCs w:val="22"/>
          <w:lang w:val="sr-Cyrl-CS"/>
        </w:rPr>
        <w:t xml:space="preserve">слуга тако и даваоца </w:t>
      </w:r>
      <w:r>
        <w:rPr>
          <w:rFonts w:asciiTheme="minorHAnsi" w:hAnsiTheme="minorHAnsi" w:cstheme="minorHAnsi"/>
          <w:bCs/>
          <w:sz w:val="22"/>
          <w:szCs w:val="22"/>
          <w:lang w:val="sr-Latn-BA"/>
        </w:rPr>
        <w:t>у</w:t>
      </w:r>
      <w:r>
        <w:rPr>
          <w:rFonts w:asciiTheme="minorHAnsi" w:hAnsiTheme="minorHAnsi" w:cstheme="minorHAnsi"/>
          <w:bCs/>
          <w:sz w:val="22"/>
          <w:szCs w:val="22"/>
          <w:lang w:val="sr-Cyrl-CS"/>
        </w:rPr>
        <w:t xml:space="preserve">слуга. </w:t>
      </w:r>
      <w:r>
        <w:rPr>
          <w:rFonts w:asciiTheme="minorHAnsi" w:hAnsiTheme="minorHAnsi" w:cstheme="minorHAnsi"/>
          <w:bCs/>
          <w:sz w:val="22"/>
          <w:szCs w:val="22"/>
          <w:lang w:val="hr-BA"/>
        </w:rPr>
        <w:t>Од укупно дијагностикованих обољења, стања и повреда у Служби породичне медицине</w:t>
      </w:r>
      <w:r>
        <w:rPr>
          <w:rFonts w:asciiTheme="minorHAnsi" w:hAnsiTheme="minorHAnsi" w:cstheme="minorHAnsi"/>
          <w:sz w:val="22"/>
          <w:szCs w:val="22"/>
          <w:lang w:val="sr-Cyrl-CS"/>
        </w:rPr>
        <w:t xml:space="preserve"> Дома здравља у Бања Луци, у 20</w:t>
      </w:r>
      <w:r>
        <w:rPr>
          <w:rFonts w:asciiTheme="minorHAnsi" w:hAnsiTheme="minorHAnsi" w:cstheme="minorHAnsi"/>
          <w:sz w:val="22"/>
          <w:szCs w:val="22"/>
          <w:lang w:val="ru-RU"/>
        </w:rPr>
        <w:t>16.</w:t>
      </w:r>
      <w:r>
        <w:rPr>
          <w:rFonts w:asciiTheme="minorHAnsi" w:hAnsiTheme="minorHAnsi" w:cstheme="minorHAnsi"/>
          <w:sz w:val="22"/>
          <w:szCs w:val="22"/>
          <w:lang w:val="sr-Cyrl-CS"/>
        </w:rPr>
        <w:t xml:space="preserve"> години</w:t>
      </w:r>
      <w:r>
        <w:rPr>
          <w:rFonts w:asciiTheme="minorHAnsi" w:hAnsiTheme="minorHAnsi" w:cstheme="minorHAnsi"/>
          <w:bCs/>
          <w:sz w:val="22"/>
          <w:szCs w:val="22"/>
          <w:lang w:val="hr-BA"/>
        </w:rPr>
        <w:t>, највећи број заузимају болести система крвотока</w:t>
      </w:r>
      <w:r>
        <w:rPr>
          <w:rFonts w:asciiTheme="minorHAnsi" w:hAnsiTheme="minorHAnsi" w:cstheme="minorHAnsi"/>
          <w:bCs/>
          <w:sz w:val="22"/>
          <w:szCs w:val="22"/>
          <w:lang w:val="sr-Cyrl-CS"/>
        </w:rPr>
        <w:t xml:space="preserve"> </w:t>
      </w:r>
      <w:r>
        <w:rPr>
          <w:rFonts w:asciiTheme="minorHAnsi" w:hAnsiTheme="minorHAnsi" w:cstheme="minorHAnsi"/>
          <w:bCs/>
          <w:sz w:val="22"/>
          <w:szCs w:val="22"/>
          <w:lang w:val="hr-BA"/>
        </w:rPr>
        <w:t>(</w:t>
      </w:r>
      <w:r>
        <w:rPr>
          <w:rFonts w:asciiTheme="minorHAnsi" w:hAnsiTheme="minorHAnsi" w:cstheme="minorHAnsi"/>
          <w:bCs/>
          <w:i/>
          <w:sz w:val="22"/>
          <w:szCs w:val="22"/>
          <w:lang w:val="hr-BA"/>
        </w:rPr>
        <w:t>1</w:t>
      </w:r>
      <w:r>
        <w:rPr>
          <w:rFonts w:asciiTheme="minorHAnsi" w:hAnsiTheme="minorHAnsi" w:cstheme="minorHAnsi"/>
          <w:bCs/>
          <w:i/>
          <w:sz w:val="22"/>
          <w:szCs w:val="22"/>
          <w:lang w:val="sr-Cyrl-CS"/>
        </w:rPr>
        <w:t>2</w:t>
      </w:r>
      <w:r>
        <w:rPr>
          <w:rFonts w:asciiTheme="minorHAnsi" w:hAnsiTheme="minorHAnsi" w:cstheme="minorHAnsi"/>
          <w:bCs/>
          <w:i/>
          <w:sz w:val="22"/>
          <w:szCs w:val="22"/>
          <w:lang w:val="hr-BA"/>
        </w:rPr>
        <w:t>,</w:t>
      </w:r>
      <w:r>
        <w:rPr>
          <w:rFonts w:asciiTheme="minorHAnsi" w:hAnsiTheme="minorHAnsi" w:cstheme="minorHAnsi"/>
          <w:bCs/>
          <w:i/>
          <w:sz w:val="22"/>
          <w:szCs w:val="22"/>
          <w:lang w:val="sr-Cyrl-CS"/>
        </w:rPr>
        <w:t>47</w:t>
      </w:r>
      <w:r>
        <w:rPr>
          <w:rFonts w:asciiTheme="minorHAnsi" w:hAnsiTheme="minorHAnsi" w:cstheme="minorHAnsi"/>
          <w:bCs/>
          <w:i/>
          <w:sz w:val="22"/>
          <w:szCs w:val="22"/>
          <w:lang w:val="hr-BA"/>
        </w:rPr>
        <w:t>%)</w:t>
      </w:r>
      <w:r>
        <w:rPr>
          <w:rFonts w:asciiTheme="minorHAnsi" w:hAnsiTheme="minorHAnsi" w:cstheme="minorHAnsi"/>
          <w:bCs/>
          <w:sz w:val="22"/>
          <w:szCs w:val="22"/>
          <w:lang w:val="hr-BA"/>
        </w:rPr>
        <w:t>, болести система за дисање (</w:t>
      </w:r>
      <w:r>
        <w:rPr>
          <w:rFonts w:asciiTheme="minorHAnsi" w:hAnsiTheme="minorHAnsi" w:cstheme="minorHAnsi"/>
          <w:bCs/>
          <w:i/>
          <w:sz w:val="22"/>
          <w:szCs w:val="22"/>
          <w:lang w:val="hr-BA"/>
        </w:rPr>
        <w:t>1</w:t>
      </w:r>
      <w:r>
        <w:rPr>
          <w:rFonts w:asciiTheme="minorHAnsi" w:hAnsiTheme="minorHAnsi" w:cstheme="minorHAnsi"/>
          <w:bCs/>
          <w:i/>
          <w:sz w:val="22"/>
          <w:szCs w:val="22"/>
          <w:lang w:val="sr-Cyrl-CS"/>
        </w:rPr>
        <w:t>2</w:t>
      </w:r>
      <w:r>
        <w:rPr>
          <w:rFonts w:asciiTheme="minorHAnsi" w:hAnsiTheme="minorHAnsi" w:cstheme="minorHAnsi"/>
          <w:bCs/>
          <w:i/>
          <w:sz w:val="22"/>
          <w:szCs w:val="22"/>
          <w:lang w:val="hr-BA"/>
        </w:rPr>
        <w:t>,</w:t>
      </w:r>
      <w:r>
        <w:rPr>
          <w:rFonts w:asciiTheme="minorHAnsi" w:hAnsiTheme="minorHAnsi" w:cstheme="minorHAnsi"/>
          <w:bCs/>
          <w:i/>
          <w:sz w:val="22"/>
          <w:szCs w:val="22"/>
          <w:lang w:val="sr-Cyrl-CS"/>
        </w:rPr>
        <w:t>0</w:t>
      </w:r>
      <w:r>
        <w:rPr>
          <w:rFonts w:asciiTheme="minorHAnsi" w:hAnsiTheme="minorHAnsi" w:cstheme="minorHAnsi"/>
          <w:bCs/>
          <w:i/>
          <w:sz w:val="22"/>
          <w:szCs w:val="22"/>
          <w:lang w:val="hr-BA"/>
        </w:rPr>
        <w:t>4%)</w:t>
      </w:r>
      <w:r>
        <w:rPr>
          <w:rFonts w:asciiTheme="minorHAnsi" w:hAnsiTheme="minorHAnsi" w:cstheme="minorHAnsi"/>
          <w:bCs/>
          <w:sz w:val="22"/>
          <w:szCs w:val="22"/>
          <w:lang w:val="hr-BA"/>
        </w:rPr>
        <w:t xml:space="preserve"> и болести </w:t>
      </w:r>
      <w:r>
        <w:rPr>
          <w:rFonts w:asciiTheme="minorHAnsi" w:hAnsiTheme="minorHAnsi" w:cstheme="minorHAnsi"/>
          <w:bCs/>
          <w:sz w:val="22"/>
          <w:szCs w:val="22"/>
          <w:lang w:val="sr-Cyrl-CS"/>
        </w:rPr>
        <w:t>мокраћно-полног система</w:t>
      </w:r>
      <w:r>
        <w:rPr>
          <w:rFonts w:asciiTheme="minorHAnsi" w:hAnsiTheme="minorHAnsi" w:cstheme="minorHAnsi"/>
          <w:bCs/>
          <w:sz w:val="22"/>
          <w:szCs w:val="22"/>
          <w:lang w:val="hr-BA"/>
        </w:rPr>
        <w:t xml:space="preserve"> (</w:t>
      </w:r>
      <w:r>
        <w:rPr>
          <w:rFonts w:asciiTheme="minorHAnsi" w:hAnsiTheme="minorHAnsi" w:cstheme="minorHAnsi"/>
          <w:bCs/>
          <w:sz w:val="22"/>
          <w:szCs w:val="22"/>
          <w:lang w:val="sr-Cyrl-CS"/>
        </w:rPr>
        <w:t>7</w:t>
      </w:r>
      <w:r>
        <w:rPr>
          <w:rFonts w:asciiTheme="minorHAnsi" w:hAnsiTheme="minorHAnsi" w:cstheme="minorHAnsi"/>
          <w:bCs/>
          <w:i/>
          <w:sz w:val="22"/>
          <w:szCs w:val="22"/>
          <w:lang w:val="hr-BA"/>
        </w:rPr>
        <w:t>,</w:t>
      </w:r>
      <w:r>
        <w:rPr>
          <w:rFonts w:asciiTheme="minorHAnsi" w:hAnsiTheme="minorHAnsi" w:cstheme="minorHAnsi"/>
          <w:bCs/>
          <w:i/>
          <w:sz w:val="22"/>
          <w:szCs w:val="22"/>
          <w:lang w:val="sr-Cyrl-CS"/>
        </w:rPr>
        <w:t>12</w:t>
      </w:r>
      <w:r>
        <w:rPr>
          <w:rFonts w:asciiTheme="minorHAnsi" w:hAnsiTheme="minorHAnsi" w:cstheme="minorHAnsi"/>
          <w:bCs/>
          <w:i/>
          <w:sz w:val="22"/>
          <w:szCs w:val="22"/>
          <w:lang w:val="hr-BA"/>
        </w:rPr>
        <w:t>%)</w:t>
      </w:r>
      <w:r>
        <w:rPr>
          <w:rFonts w:asciiTheme="minorHAnsi" w:hAnsiTheme="minorHAnsi" w:cstheme="minorHAnsi"/>
          <w:bCs/>
          <w:i/>
          <w:sz w:val="22"/>
          <w:szCs w:val="22"/>
          <w:lang w:val="sr-Cyrl-CS"/>
        </w:rPr>
        <w:t>.</w:t>
      </w:r>
      <w:r>
        <w:rPr>
          <w:rFonts w:asciiTheme="minorHAnsi" w:hAnsiTheme="minorHAnsi" w:cstheme="minorHAnsi"/>
          <w:bCs/>
          <w:sz w:val="22"/>
          <w:szCs w:val="22"/>
          <w:lang w:val="sr-Cyrl-CS"/>
        </w:rPr>
        <w:t xml:space="preserve"> </w:t>
      </w:r>
      <w:r>
        <w:rPr>
          <w:rFonts w:asciiTheme="minorHAnsi" w:hAnsiTheme="minorHAnsi" w:cstheme="minorHAnsi"/>
          <w:bCs/>
          <w:sz w:val="22"/>
          <w:szCs w:val="22"/>
        </w:rPr>
        <w:t>Водећи здравствени проблем савременог свијета, свакако су масовне незаразне болести</w:t>
      </w:r>
      <w:r>
        <w:rPr>
          <w:rFonts w:asciiTheme="minorHAnsi" w:hAnsiTheme="minorHAnsi" w:cstheme="minorHAnsi"/>
          <w:bCs/>
          <w:sz w:val="22"/>
          <w:szCs w:val="22"/>
          <w:lang w:val="sr-Cyrl-CS"/>
        </w:rPr>
        <w:t xml:space="preserve">, а Установа проводи </w:t>
      </w:r>
      <w:r>
        <w:rPr>
          <w:rFonts w:asciiTheme="minorHAnsi" w:hAnsiTheme="minorHAnsi" w:cstheme="minorHAnsi"/>
          <w:bCs/>
          <w:sz w:val="22"/>
          <w:szCs w:val="22"/>
        </w:rPr>
        <w:t xml:space="preserve"> Програм превенције и контроле масовних незаразних болести у граду Бања Луци</w:t>
      </w:r>
      <w:r>
        <w:rPr>
          <w:rFonts w:asciiTheme="minorHAnsi" w:hAnsiTheme="minorHAnsi" w:cstheme="minorHAnsi"/>
          <w:bCs/>
          <w:sz w:val="22"/>
          <w:szCs w:val="22"/>
          <w:lang w:val="sr-Cyrl-CS"/>
        </w:rPr>
        <w:t>.</w:t>
      </w:r>
    </w:p>
    <w:p>
      <w:pPr>
        <w:pStyle w:val="8"/>
        <w:jc w:val="both"/>
        <w:rPr>
          <w:rFonts w:eastAsia="Calibri" w:asciiTheme="minorHAnsi" w:hAnsiTheme="minorHAnsi" w:cstheme="minorHAnsi"/>
          <w:sz w:val="22"/>
          <w:szCs w:val="22"/>
          <w:lang w:val="sr-Cyrl-CS"/>
        </w:rPr>
      </w:pPr>
      <w:r>
        <w:rPr>
          <w:rFonts w:eastAsia="Calibri" w:asciiTheme="minorHAnsi" w:hAnsiTheme="minorHAnsi" w:cstheme="minorHAnsi"/>
          <w:sz w:val="22"/>
          <w:szCs w:val="22"/>
          <w:lang w:val="sr-Cyrl-CS"/>
        </w:rPr>
        <w:t xml:space="preserve">У нашој земљи, као и у развијеним дијеловима свијета, малигнe болести су један од водећих јавноздравствених проблема и налазе се иза болести срца и крвних судова као други водећи узрок смртности, одговоран за сваки пети смртни случај у Републици Српској. </w:t>
      </w:r>
    </w:p>
    <w:p>
      <w:pPr>
        <w:pStyle w:val="8"/>
        <w:jc w:val="both"/>
        <w:rPr>
          <w:rFonts w:asciiTheme="minorHAnsi" w:hAnsiTheme="minorHAnsi" w:cstheme="minorHAnsi"/>
          <w:bCs/>
          <w:sz w:val="22"/>
          <w:szCs w:val="22"/>
          <w:lang w:val="bs-Cyrl-BA"/>
        </w:rPr>
      </w:pPr>
      <w:r>
        <w:rPr>
          <w:rFonts w:eastAsia="Calibri" w:asciiTheme="minorHAnsi" w:hAnsiTheme="minorHAnsi" w:cstheme="minorHAnsi"/>
          <w:sz w:val="22"/>
          <w:szCs w:val="22"/>
          <w:lang w:val="sr-Cyrl-CS"/>
        </w:rPr>
        <w:t>Најчешћи узрок умирања у 2016. години у Републици Српској су била обољења из групе болести система крвотока са удјелом 49,5%, затим тумори са удјелом 21,10%, док су болести система за дисање били пети узрок умирања са удјелом 3,6%.''</w:t>
      </w:r>
      <w:r>
        <w:rPr>
          <w:rStyle w:val="31"/>
          <w:rFonts w:eastAsia="Calibri" w:asciiTheme="minorHAnsi" w:hAnsiTheme="minorHAnsi" w:cstheme="minorHAnsi"/>
          <w:sz w:val="22"/>
          <w:szCs w:val="22"/>
          <w:lang w:val="sr-Cyrl-CS"/>
        </w:rPr>
        <w:footnoteReference w:id="49"/>
      </w:r>
    </w:p>
    <w:p>
      <w:pPr>
        <w:pStyle w:val="8"/>
        <w:jc w:val="both"/>
        <w:rPr>
          <w:rFonts w:asciiTheme="minorHAnsi" w:hAnsiTheme="minorHAnsi" w:cstheme="minorHAnsi"/>
          <w:sz w:val="22"/>
          <w:szCs w:val="22"/>
          <w:lang w:val="hr-BA"/>
        </w:rPr>
      </w:pPr>
      <w:r>
        <w:rPr>
          <w:rFonts w:asciiTheme="minorHAnsi" w:hAnsiTheme="minorHAnsi" w:cstheme="minorHAnsi"/>
          <w:b/>
          <w:bCs/>
          <w:i/>
          <w:sz w:val="22"/>
          <w:szCs w:val="22"/>
          <w:lang w:val="sr-Cyrl-RS"/>
        </w:rPr>
        <w:t>П</w:t>
      </w:r>
      <w:r>
        <w:rPr>
          <w:rFonts w:asciiTheme="minorHAnsi" w:hAnsiTheme="minorHAnsi" w:cstheme="minorHAnsi"/>
          <w:b/>
          <w:bCs/>
          <w:i/>
          <w:sz w:val="22"/>
          <w:szCs w:val="22"/>
          <w:lang w:val="sr-Latn-BA"/>
        </w:rPr>
        <w:t>роблеми у пружању здравствених услуга</w:t>
      </w:r>
      <w:r>
        <w:rPr>
          <w:rFonts w:asciiTheme="minorHAnsi" w:hAnsiTheme="minorHAnsi" w:cstheme="minorHAnsi"/>
          <w:b/>
          <w:bCs/>
          <w:i/>
          <w:sz w:val="22"/>
          <w:szCs w:val="22"/>
          <w:lang w:val="sr-Cyrl-RS"/>
        </w:rPr>
        <w:t xml:space="preserve">. </w:t>
      </w:r>
      <w:r>
        <w:rPr>
          <w:rFonts w:asciiTheme="minorHAnsi" w:hAnsiTheme="minorHAnsi" w:cstheme="minorHAnsi"/>
          <w:sz w:val="22"/>
          <w:szCs w:val="22"/>
          <w:lang w:val="hr-BA"/>
        </w:rPr>
        <w:t xml:space="preserve">Приликом пружања здравствених услуга </w:t>
      </w:r>
      <w:r>
        <w:rPr>
          <w:rFonts w:asciiTheme="minorHAnsi" w:hAnsiTheme="minorHAnsi" w:cstheme="minorHAnsi"/>
          <w:sz w:val="22"/>
          <w:szCs w:val="22"/>
          <w:lang w:val="sr-Cyrl-RS"/>
        </w:rPr>
        <w:t>Дом здравља</w:t>
      </w:r>
      <w:r>
        <w:rPr>
          <w:rFonts w:asciiTheme="minorHAnsi" w:hAnsiTheme="minorHAnsi" w:cstheme="minorHAnsi"/>
          <w:sz w:val="22"/>
          <w:szCs w:val="22"/>
          <w:lang w:val="hr-BA"/>
        </w:rPr>
        <w:t xml:space="preserve"> се сусреће </w:t>
      </w:r>
      <w:r>
        <w:rPr>
          <w:rFonts w:asciiTheme="minorHAnsi" w:hAnsiTheme="minorHAnsi" w:cstheme="minorHAnsi"/>
          <w:sz w:val="22"/>
          <w:szCs w:val="22"/>
          <w:lang w:val="sr-Cyrl-CS"/>
        </w:rPr>
        <w:t>са</w:t>
      </w:r>
      <w:r>
        <w:rPr>
          <w:rFonts w:asciiTheme="minorHAnsi" w:hAnsiTheme="minorHAnsi" w:cstheme="minorHAnsi"/>
          <w:sz w:val="22"/>
          <w:szCs w:val="22"/>
          <w:lang w:val="hr-BA"/>
        </w:rPr>
        <w:t xml:space="preserve"> проблемима</w:t>
      </w:r>
      <w:r>
        <w:rPr>
          <w:rFonts w:asciiTheme="minorHAnsi" w:hAnsiTheme="minorHAnsi" w:cstheme="minorHAnsi"/>
          <w:sz w:val="22"/>
          <w:szCs w:val="22"/>
          <w:lang w:val="sr-Cyrl-CS"/>
        </w:rPr>
        <w:t xml:space="preserve"> </w:t>
      </w:r>
      <w:r>
        <w:rPr>
          <w:rFonts w:asciiTheme="minorHAnsi" w:hAnsiTheme="minorHAnsi" w:cstheme="minorHAnsi"/>
          <w:sz w:val="22"/>
          <w:szCs w:val="22"/>
          <w:lang w:val="hr-BA"/>
        </w:rPr>
        <w:t>застарјел</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и дотрајал</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медицинск</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опрем</w:t>
      </w:r>
      <w:r>
        <w:rPr>
          <w:rFonts w:asciiTheme="minorHAnsi" w:hAnsiTheme="minorHAnsi" w:cstheme="minorHAnsi"/>
          <w:sz w:val="22"/>
          <w:szCs w:val="22"/>
          <w:lang w:val="sr-Cyrl-CS"/>
        </w:rPr>
        <w:t>е. У</w:t>
      </w:r>
      <w:r>
        <w:rPr>
          <w:rFonts w:asciiTheme="minorHAnsi" w:hAnsiTheme="minorHAnsi" w:cstheme="minorHAnsi"/>
          <w:sz w:val="22"/>
          <w:szCs w:val="22"/>
          <w:lang w:val="hr-BA"/>
        </w:rPr>
        <w:t xml:space="preserve"> Служби за стоматолошку здравствену заштиту је већина стоматолошких машина стара 30 и више година</w:t>
      </w:r>
      <w:r>
        <w:rPr>
          <w:rFonts w:asciiTheme="minorHAnsi" w:hAnsiTheme="minorHAnsi" w:cstheme="minorHAnsi"/>
          <w:sz w:val="22"/>
          <w:szCs w:val="22"/>
          <w:lang w:val="sr-Cyrl-RS"/>
        </w:rPr>
        <w:t>,</w:t>
      </w:r>
      <w:r>
        <w:rPr>
          <w:rFonts w:asciiTheme="minorHAnsi" w:hAnsiTheme="minorHAnsi" w:cstheme="minorHAnsi"/>
          <w:sz w:val="22"/>
          <w:szCs w:val="22"/>
          <w:lang w:val="hr-BA"/>
        </w:rPr>
        <w:t xml:space="preserve"> </w:t>
      </w:r>
      <w:r>
        <w:rPr>
          <w:rFonts w:asciiTheme="minorHAnsi" w:hAnsiTheme="minorHAnsi" w:cstheme="minorHAnsi"/>
          <w:sz w:val="22"/>
          <w:szCs w:val="22"/>
          <w:lang w:val="sr-Cyrl-CS"/>
        </w:rPr>
        <w:t>а</w:t>
      </w:r>
      <w:r>
        <w:rPr>
          <w:rFonts w:asciiTheme="minorHAnsi" w:hAnsiTheme="minorHAnsi" w:cstheme="minorHAnsi"/>
          <w:sz w:val="22"/>
          <w:szCs w:val="22"/>
          <w:lang w:val="hr-BA"/>
        </w:rPr>
        <w:t xml:space="preserve"> Одјељењ</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радиолошке и ултразвучне дијагностике посједује рендген апарат стар 40 година. Наведена опрема се често квари, што утиче на процес пружања услуга пацијентима. </w:t>
      </w:r>
    </w:p>
    <w:p>
      <w:pPr>
        <w:pStyle w:val="8"/>
        <w:jc w:val="both"/>
        <w:rPr>
          <w:rFonts w:asciiTheme="minorHAnsi" w:hAnsiTheme="minorHAnsi" w:cstheme="minorHAnsi"/>
          <w:sz w:val="22"/>
          <w:szCs w:val="22"/>
          <w:lang w:val="hr-BA"/>
        </w:rPr>
      </w:pPr>
      <w:r>
        <w:rPr>
          <w:rFonts w:asciiTheme="minorHAnsi" w:hAnsiTheme="minorHAnsi" w:cstheme="minorHAnsi"/>
          <w:sz w:val="22"/>
          <w:szCs w:val="22"/>
          <w:lang w:val="sr-Cyrl-CS"/>
        </w:rPr>
        <w:t>Неопходна је д</w:t>
      </w:r>
      <w:r>
        <w:rPr>
          <w:rFonts w:asciiTheme="minorHAnsi" w:hAnsiTheme="minorHAnsi" w:cstheme="minorHAnsi"/>
          <w:sz w:val="22"/>
          <w:szCs w:val="22"/>
          <w:lang w:val="hr-BA"/>
        </w:rPr>
        <w:t>игитализација у рендген дијагностици</w:t>
      </w:r>
      <w:r>
        <w:rPr>
          <w:rFonts w:asciiTheme="minorHAnsi" w:hAnsiTheme="minorHAnsi" w:cstheme="minorHAnsi"/>
          <w:sz w:val="22"/>
          <w:szCs w:val="22"/>
          <w:lang w:val="sr-Cyrl-CS"/>
        </w:rPr>
        <w:t xml:space="preserve"> која би ом</w:t>
      </w:r>
      <w:r>
        <w:rPr>
          <w:rFonts w:asciiTheme="minorHAnsi" w:hAnsiTheme="minorHAnsi" w:cstheme="minorHAnsi"/>
          <w:sz w:val="22"/>
          <w:szCs w:val="22"/>
          <w:lang w:val="hr-BA"/>
        </w:rPr>
        <w:t>огућ</w:t>
      </w:r>
      <w:r>
        <w:rPr>
          <w:rFonts w:asciiTheme="minorHAnsi" w:hAnsiTheme="minorHAnsi" w:cstheme="minorHAnsi"/>
          <w:sz w:val="22"/>
          <w:szCs w:val="22"/>
          <w:lang w:val="sr-Cyrl-CS"/>
        </w:rPr>
        <w:t xml:space="preserve">ила </w:t>
      </w:r>
      <w:r>
        <w:rPr>
          <w:rFonts w:asciiTheme="minorHAnsi" w:hAnsiTheme="minorHAnsi" w:cstheme="minorHAnsi"/>
          <w:sz w:val="22"/>
          <w:szCs w:val="22"/>
          <w:lang w:val="hr-BA"/>
        </w:rPr>
        <w:t xml:space="preserve"> директно достављањ</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очитаних рендгенских снимака и других налаза из Одјељења радиолошке и ултразвучне дијагностике тимовима породичне медицине</w:t>
      </w:r>
      <w:r>
        <w:rPr>
          <w:rFonts w:asciiTheme="minorHAnsi" w:hAnsiTheme="minorHAnsi" w:cstheme="minorHAnsi"/>
          <w:sz w:val="22"/>
          <w:szCs w:val="22"/>
          <w:lang w:val="sr-Cyrl-CS"/>
        </w:rPr>
        <w:t xml:space="preserve">. </w:t>
      </w:r>
      <w:r>
        <w:rPr>
          <w:rFonts w:asciiTheme="minorHAnsi" w:hAnsiTheme="minorHAnsi" w:cstheme="minorHAnsi"/>
          <w:sz w:val="22"/>
          <w:szCs w:val="22"/>
          <w:lang w:val="hr-BA"/>
        </w:rPr>
        <w:t xml:space="preserve"> Због повећаних потреба пацијената за ултразвучним прегледима, неопходна је набавка </w:t>
      </w:r>
      <w:r>
        <w:rPr>
          <w:rFonts w:asciiTheme="minorHAnsi" w:hAnsiTheme="minorHAnsi" w:cstheme="minorHAnsi"/>
          <w:sz w:val="22"/>
          <w:szCs w:val="22"/>
          <w:lang w:val="sr-Cyrl-CS"/>
        </w:rPr>
        <w:t xml:space="preserve">бар </w:t>
      </w:r>
      <w:r>
        <w:rPr>
          <w:rFonts w:asciiTheme="minorHAnsi" w:hAnsiTheme="minorHAnsi" w:cstheme="minorHAnsi"/>
          <w:sz w:val="22"/>
          <w:szCs w:val="22"/>
          <w:lang w:val="hr-BA"/>
        </w:rPr>
        <w:t>још једног ултразвучног апарата како би се смањиле листе чекања</w:t>
      </w:r>
      <w:r>
        <w:rPr>
          <w:rFonts w:asciiTheme="minorHAnsi" w:hAnsiTheme="minorHAnsi" w:cstheme="minorHAnsi"/>
          <w:sz w:val="22"/>
          <w:szCs w:val="22"/>
          <w:lang w:val="sr-Cyrl-CS"/>
        </w:rPr>
        <w:t xml:space="preserve">. Такође, потребна је </w:t>
      </w:r>
      <w:r>
        <w:rPr>
          <w:rFonts w:asciiTheme="minorHAnsi" w:hAnsiTheme="minorHAnsi" w:cstheme="minorHAnsi"/>
          <w:sz w:val="22"/>
          <w:szCs w:val="22"/>
          <w:lang w:val="hr-BA"/>
        </w:rPr>
        <w:t xml:space="preserve">набавка одређеног броја нових санитетских возила </w:t>
      </w:r>
      <w:r>
        <w:rPr>
          <w:rFonts w:asciiTheme="minorHAnsi" w:hAnsiTheme="minorHAnsi" w:cstheme="minorHAnsi"/>
          <w:sz w:val="22"/>
          <w:szCs w:val="22"/>
          <w:lang w:val="sr-Cyrl-CS"/>
        </w:rPr>
        <w:t xml:space="preserve">као и </w:t>
      </w:r>
      <w:r>
        <w:rPr>
          <w:rFonts w:asciiTheme="minorHAnsi" w:hAnsiTheme="minorHAnsi" w:cstheme="minorHAnsi"/>
          <w:sz w:val="22"/>
          <w:szCs w:val="22"/>
          <w:lang w:val="hr-BA"/>
        </w:rPr>
        <w:t>већ</w:t>
      </w:r>
      <w:r>
        <w:rPr>
          <w:rFonts w:asciiTheme="minorHAnsi" w:hAnsiTheme="minorHAnsi" w:cstheme="minorHAnsi"/>
          <w:sz w:val="22"/>
          <w:szCs w:val="22"/>
          <w:lang w:val="sr-Cyrl-CS"/>
        </w:rPr>
        <w:t>ег</w:t>
      </w:r>
      <w:r>
        <w:rPr>
          <w:rFonts w:asciiTheme="minorHAnsi" w:hAnsiTheme="minorHAnsi" w:cstheme="minorHAnsi"/>
          <w:sz w:val="22"/>
          <w:szCs w:val="22"/>
          <w:lang w:val="hr-BA"/>
        </w:rPr>
        <w:t xml:space="preserve"> број путничких возила</w:t>
      </w:r>
      <w:r>
        <w:rPr>
          <w:rFonts w:asciiTheme="minorHAnsi" w:hAnsiTheme="minorHAnsi" w:cstheme="minorHAnsi"/>
          <w:sz w:val="22"/>
          <w:szCs w:val="22"/>
          <w:lang w:val="sr-Cyrl-CS"/>
        </w:rPr>
        <w:t xml:space="preserve"> </w:t>
      </w:r>
      <w:r>
        <w:rPr>
          <w:rFonts w:asciiTheme="minorHAnsi" w:hAnsiTheme="minorHAnsi" w:cstheme="minorHAnsi"/>
          <w:sz w:val="22"/>
          <w:szCs w:val="22"/>
          <w:lang w:val="hr-BA"/>
        </w:rPr>
        <w:t>за обављање кућних посјета</w:t>
      </w:r>
      <w:r>
        <w:rPr>
          <w:rFonts w:asciiTheme="minorHAnsi" w:hAnsiTheme="minorHAnsi" w:cstheme="minorHAnsi"/>
          <w:sz w:val="22"/>
          <w:szCs w:val="22"/>
          <w:lang w:val="sr-Cyrl-CS"/>
        </w:rPr>
        <w:t>.</w:t>
      </w:r>
    </w:p>
    <w:p>
      <w:pPr>
        <w:rPr>
          <w:lang w:val="sr-Cyrl-RS"/>
        </w:rPr>
      </w:pPr>
    </w:p>
    <w:p>
      <w:pPr>
        <w:jc w:val="both"/>
        <w:rPr>
          <w:rFonts w:asciiTheme="minorHAnsi" w:hAnsiTheme="minorHAnsi" w:cstheme="minorHAnsi"/>
        </w:rPr>
      </w:pPr>
      <w:r>
        <w:rPr>
          <w:rFonts w:asciiTheme="minorHAnsi" w:hAnsiTheme="minorHAnsi" w:cstheme="minorHAnsi"/>
          <w:b/>
          <w:i/>
          <w:lang w:val="sr-Cyrl-RS"/>
        </w:rPr>
        <w:t xml:space="preserve">Инфраструктура - </w:t>
      </w:r>
      <w:r>
        <w:rPr>
          <w:rFonts w:asciiTheme="minorHAnsi" w:hAnsiTheme="minorHAnsi" w:cstheme="minorHAnsi"/>
          <w:b/>
          <w:i/>
          <w:lang w:val="sr-Cyrl-CS"/>
        </w:rPr>
        <w:t>Простор</w:t>
      </w:r>
      <w:r>
        <w:rPr>
          <w:rFonts w:asciiTheme="minorHAnsi" w:hAnsiTheme="minorHAnsi" w:cstheme="minorHAnsi"/>
          <w:b/>
          <w:i/>
          <w:lang w:val="ru-RU"/>
        </w:rPr>
        <w:t xml:space="preserve"> </w:t>
      </w:r>
      <w:r>
        <w:rPr>
          <w:rFonts w:asciiTheme="minorHAnsi" w:hAnsiTheme="minorHAnsi" w:cstheme="minorHAnsi"/>
          <w:b/>
          <w:i/>
        </w:rPr>
        <w:t>Домa здравља</w:t>
      </w:r>
      <w:r>
        <w:rPr>
          <w:rFonts w:asciiTheme="minorHAnsi" w:hAnsiTheme="minorHAnsi" w:cstheme="minorHAnsi"/>
          <w:b/>
          <w:i/>
          <w:lang w:val="sr-Cyrl-CS"/>
        </w:rPr>
        <w:t xml:space="preserve">. </w:t>
      </w:r>
      <w:r>
        <w:rPr>
          <w:rFonts w:asciiTheme="minorHAnsi" w:hAnsiTheme="minorHAnsi" w:cstheme="minorHAnsi"/>
        </w:rPr>
        <w:t xml:space="preserve">Интензивним грађевинским активностима, уз активно укључивање града Бања Лука и Министарства здравља и социјалне заштите Републике Српске, проблем просторних капацитета Установе значајно је умањен. </w:t>
      </w:r>
    </w:p>
    <w:p>
      <w:pPr>
        <w:jc w:val="both"/>
        <w:rPr>
          <w:rFonts w:asciiTheme="minorHAnsi" w:hAnsiTheme="minorHAnsi" w:cstheme="minorHAnsi"/>
        </w:rPr>
      </w:pPr>
    </w:p>
    <w:p>
      <w:pPr>
        <w:jc w:val="both"/>
        <w:rPr>
          <w:rFonts w:asciiTheme="minorHAnsi" w:hAnsiTheme="minorHAnsi" w:cstheme="minorHAnsi"/>
          <w:lang w:val="sr-Cyrl-CS"/>
        </w:rPr>
      </w:pPr>
      <w:r>
        <w:rPr>
          <w:rFonts w:asciiTheme="minorHAnsi" w:hAnsiTheme="minorHAnsi" w:cstheme="minorHAnsi"/>
          <w:lang w:val="sr-Cyrl-CS"/>
        </w:rPr>
        <w:t>О</w:t>
      </w:r>
      <w:r>
        <w:rPr>
          <w:rFonts w:asciiTheme="minorHAnsi" w:hAnsiTheme="minorHAnsi" w:cstheme="minorHAnsi"/>
        </w:rPr>
        <w:t xml:space="preserve">бјекат Војно-медицинског центра Бања Лука, који је 2006. године, закључком Владе Републике Српске, додијељен на кориштење „Дому здравља“, потпуно је адаптиран и опремљен. У њега су усељени Управа, Центар за ментално здравље и Служба хитне медицинске помоћи са едукативним центром. Завршена је санација и адаптација сутерена и приземља у објекту Поликлинике у који су </w:t>
      </w:r>
      <w:r>
        <w:rPr>
          <w:rFonts w:asciiTheme="minorHAnsi" w:hAnsiTheme="minorHAnsi" w:cstheme="minorHAnsi"/>
          <w:lang w:val="sr-Cyrl-RS"/>
        </w:rPr>
        <w:t>смјештени</w:t>
      </w:r>
      <w:r>
        <w:rPr>
          <w:rFonts w:asciiTheme="minorHAnsi" w:hAnsiTheme="minorHAnsi" w:cstheme="minorHAnsi"/>
        </w:rPr>
        <w:t>: Центар базичне рехабилитације</w:t>
      </w:r>
      <w:r>
        <w:rPr>
          <w:rFonts w:asciiTheme="minorHAnsi" w:hAnsiTheme="minorHAnsi" w:cstheme="minorHAnsi"/>
          <w:lang w:val="sr-Cyrl-CS"/>
        </w:rPr>
        <w:t>,</w:t>
      </w:r>
      <w:r>
        <w:rPr>
          <w:rFonts w:asciiTheme="minorHAnsi" w:hAnsiTheme="minorHAnsi" w:cstheme="minorHAnsi"/>
        </w:rPr>
        <w:t xml:space="preserve"> Хигијенско-епидемиолошка служба, амбуланте породичне медицине и Едукативни центар за специјализанте породичне медицине Републике Српске</w:t>
      </w:r>
      <w:r>
        <w:rPr>
          <w:rFonts w:asciiTheme="minorHAnsi" w:hAnsiTheme="minorHAnsi" w:cstheme="minorHAnsi"/>
          <w:lang w:val="sr-Cyrl-CS"/>
        </w:rPr>
        <w:t>.</w:t>
      </w:r>
    </w:p>
    <w:p>
      <w:pPr>
        <w:jc w:val="both"/>
        <w:rPr>
          <w:rFonts w:asciiTheme="minorHAnsi" w:hAnsiTheme="minorHAnsi" w:cstheme="minorHAnsi"/>
          <w:lang w:val="sr-Cyrl-CS"/>
        </w:rPr>
      </w:pPr>
    </w:p>
    <w:p>
      <w:pPr>
        <w:jc w:val="both"/>
        <w:rPr>
          <w:rFonts w:asciiTheme="minorHAnsi" w:hAnsiTheme="minorHAnsi" w:cstheme="minorHAnsi"/>
          <w:bCs/>
          <w:lang w:val="hr-HR"/>
        </w:rPr>
      </w:pPr>
      <w:r>
        <w:rPr>
          <w:rFonts w:asciiTheme="minorHAnsi" w:hAnsiTheme="minorHAnsi" w:cstheme="minorHAnsi"/>
        </w:rPr>
        <w:t xml:space="preserve">Што се тиче највеће службе </w:t>
      </w:r>
      <w:r>
        <w:rPr>
          <w:rFonts w:asciiTheme="minorHAnsi" w:hAnsiTheme="minorHAnsi" w:cstheme="minorHAnsi"/>
          <w:bCs/>
          <w:lang w:val="hr-HR"/>
        </w:rPr>
        <w:t xml:space="preserve">– </w:t>
      </w:r>
      <w:r>
        <w:rPr>
          <w:rFonts w:asciiTheme="minorHAnsi" w:hAnsiTheme="minorHAnsi" w:cstheme="minorHAnsi"/>
        </w:rPr>
        <w:t>Службе породичне медицине у протеклих десетак година, изграђено је 1</w:t>
      </w:r>
      <w:r>
        <w:rPr>
          <w:rFonts w:asciiTheme="minorHAnsi" w:hAnsiTheme="minorHAnsi" w:cstheme="minorHAnsi"/>
          <w:lang w:val="sr-Cyrl-CS"/>
        </w:rPr>
        <w:t>1</w:t>
      </w:r>
      <w:r>
        <w:rPr>
          <w:rFonts w:asciiTheme="minorHAnsi" w:hAnsiTheme="minorHAnsi" w:cstheme="minorHAnsi"/>
        </w:rPr>
        <w:t xml:space="preserve"> нових објеката са 2</w:t>
      </w:r>
      <w:r>
        <w:rPr>
          <w:rFonts w:asciiTheme="minorHAnsi" w:hAnsiTheme="minorHAnsi" w:cstheme="minorHAnsi"/>
          <w:lang w:val="sr-Cyrl-CS"/>
        </w:rPr>
        <w:t>8</w:t>
      </w:r>
      <w:r>
        <w:rPr>
          <w:rFonts w:asciiTheme="minorHAnsi" w:hAnsiTheme="minorHAnsi" w:cstheme="minorHAnsi"/>
        </w:rPr>
        <w:t xml:space="preserve"> амбуланти породичне медицине</w:t>
      </w:r>
      <w:r>
        <w:rPr>
          <w:rFonts w:asciiTheme="minorHAnsi" w:hAnsiTheme="minorHAnsi" w:cstheme="minorHAnsi"/>
          <w:lang w:val="sr-Cyrl-RS"/>
        </w:rPr>
        <w:t xml:space="preserve">. </w:t>
      </w:r>
      <w:r>
        <w:rPr>
          <w:rFonts w:asciiTheme="minorHAnsi" w:hAnsiTheme="minorHAnsi" w:cstheme="minorHAnsi"/>
        </w:rPr>
        <w:t>Због побољшања доступности примарне здравствене заштите пет амбуланти породичне медицине ради</w:t>
      </w:r>
      <w:r>
        <w:rPr>
          <w:rFonts w:asciiTheme="minorHAnsi" w:hAnsiTheme="minorHAnsi" w:cstheme="minorHAnsi"/>
          <w:lang w:val="sr-Cyrl-CS"/>
        </w:rPr>
        <w:t xml:space="preserve">ло је </w:t>
      </w:r>
      <w:r>
        <w:rPr>
          <w:rFonts w:asciiTheme="minorHAnsi" w:hAnsiTheme="minorHAnsi" w:cstheme="minorHAnsi"/>
        </w:rPr>
        <w:t>у закупљеним просторима (Шарговац, Куљани, Ада, Чесма, Паприковац).</w:t>
      </w:r>
      <w:r>
        <w:rPr>
          <w:rFonts w:asciiTheme="minorHAnsi" w:hAnsiTheme="minorHAnsi" w:cstheme="minorHAnsi"/>
          <w:lang w:val="sr-Cyrl-CS"/>
        </w:rPr>
        <w:t xml:space="preserve"> </w:t>
      </w:r>
      <w:r>
        <w:rPr>
          <w:rFonts w:asciiTheme="minorHAnsi" w:hAnsiTheme="minorHAnsi" w:cstheme="minorHAnsi"/>
          <w:bCs/>
          <w:lang w:val="sr-Cyrl-RS"/>
        </w:rPr>
        <w:t>М</w:t>
      </w:r>
      <w:r>
        <w:rPr>
          <w:rFonts w:asciiTheme="minorHAnsi" w:hAnsiTheme="minorHAnsi" w:cstheme="minorHAnsi"/>
          <w:bCs/>
        </w:rPr>
        <w:t>јере и услуге примарне здравствене заштите</w:t>
      </w:r>
      <w:r>
        <w:rPr>
          <w:rFonts w:asciiTheme="minorHAnsi" w:hAnsiTheme="minorHAnsi" w:cstheme="minorHAnsi"/>
          <w:b/>
          <w:bCs/>
        </w:rPr>
        <w:t xml:space="preserve"> </w:t>
      </w:r>
      <w:r>
        <w:rPr>
          <w:rFonts w:asciiTheme="minorHAnsi" w:hAnsiTheme="minorHAnsi" w:cstheme="minorHAnsi"/>
          <w:bCs/>
        </w:rPr>
        <w:t>становницима града Бања Лука у 2017. години</w:t>
      </w:r>
      <w:r>
        <w:rPr>
          <w:rFonts w:asciiTheme="minorHAnsi" w:hAnsiTheme="minorHAnsi" w:cstheme="minorHAnsi"/>
          <w:bCs/>
          <w:lang w:val="sr-Cyrl-RS"/>
        </w:rPr>
        <w:t>,</w:t>
      </w:r>
      <w:r>
        <w:rPr>
          <w:rFonts w:asciiTheme="minorHAnsi" w:hAnsiTheme="minorHAnsi" w:cstheme="minorHAnsi"/>
          <w:bCs/>
        </w:rPr>
        <w:t xml:space="preserve"> </w:t>
      </w:r>
      <w:r>
        <w:rPr>
          <w:rFonts w:asciiTheme="minorHAnsi" w:hAnsiTheme="minorHAnsi" w:cstheme="minorHAnsi"/>
          <w:bCs/>
          <w:lang w:val="sr-Cyrl-RS"/>
        </w:rPr>
        <w:t xml:space="preserve">су пружане у </w:t>
      </w:r>
      <w:r>
        <w:rPr>
          <w:rFonts w:asciiTheme="minorHAnsi" w:hAnsiTheme="minorHAnsi" w:cstheme="minorHAnsi"/>
          <w:bCs/>
        </w:rPr>
        <w:t>укупно 37</w:t>
      </w:r>
      <w:r>
        <w:rPr>
          <w:rFonts w:asciiTheme="minorHAnsi" w:hAnsiTheme="minorHAnsi" w:cstheme="minorHAnsi"/>
          <w:bCs/>
          <w:lang w:val="sr-Cyrl-RS"/>
        </w:rPr>
        <w:t xml:space="preserve"> објеката у градским, приградским и сеоским мјесним заједницама. </w:t>
      </w:r>
      <w:r>
        <w:rPr>
          <w:rFonts w:asciiTheme="minorHAnsi" w:hAnsiTheme="minorHAnsi" w:cstheme="minorHAnsi"/>
          <w:bCs/>
          <w:lang w:val="sr-Cyrl-CS"/>
        </w:rPr>
        <w:t>Слу</w:t>
      </w:r>
      <w:r>
        <w:rPr>
          <w:rFonts w:asciiTheme="minorHAnsi" w:hAnsiTheme="minorHAnsi" w:cstheme="minorHAnsi"/>
          <w:bCs/>
          <w:lang w:val="hr-HR"/>
        </w:rPr>
        <w:t>ж</w:t>
      </w:r>
      <w:r>
        <w:rPr>
          <w:rFonts w:asciiTheme="minorHAnsi" w:hAnsiTheme="minorHAnsi" w:cstheme="minorHAnsi"/>
          <w:bCs/>
          <w:lang w:val="sr-Cyrl-CS"/>
        </w:rPr>
        <w:t>ба</w:t>
      </w:r>
      <w:r>
        <w:rPr>
          <w:rFonts w:asciiTheme="minorHAnsi" w:hAnsiTheme="minorHAnsi" w:cstheme="minorHAnsi"/>
          <w:bCs/>
          <w:lang w:val="hr-HR"/>
        </w:rPr>
        <w:t xml:space="preserve"> </w:t>
      </w:r>
      <w:r>
        <w:rPr>
          <w:rFonts w:asciiTheme="minorHAnsi" w:hAnsiTheme="minorHAnsi" w:cstheme="minorHAnsi"/>
          <w:bCs/>
          <w:lang w:val="sr-Cyrl-CS"/>
        </w:rPr>
        <w:t>за</w:t>
      </w:r>
      <w:r>
        <w:rPr>
          <w:rFonts w:asciiTheme="minorHAnsi" w:hAnsiTheme="minorHAnsi" w:cstheme="minorHAnsi"/>
          <w:bCs/>
          <w:lang w:val="hr-HR"/>
        </w:rPr>
        <w:t xml:space="preserve"> </w:t>
      </w:r>
      <w:r>
        <w:rPr>
          <w:rFonts w:asciiTheme="minorHAnsi" w:hAnsiTheme="minorHAnsi" w:cstheme="minorHAnsi"/>
          <w:bCs/>
          <w:lang w:val="sr-Cyrl-CS"/>
        </w:rPr>
        <w:t>стоматоло</w:t>
      </w:r>
      <w:r>
        <w:rPr>
          <w:rFonts w:asciiTheme="minorHAnsi" w:hAnsiTheme="minorHAnsi" w:cstheme="minorHAnsi"/>
          <w:bCs/>
          <w:lang w:val="hr-HR"/>
        </w:rPr>
        <w:t>ш</w:t>
      </w:r>
      <w:r>
        <w:rPr>
          <w:rFonts w:asciiTheme="minorHAnsi" w:hAnsiTheme="minorHAnsi" w:cstheme="minorHAnsi"/>
          <w:bCs/>
          <w:lang w:val="sr-Cyrl-CS"/>
        </w:rPr>
        <w:t>ку</w:t>
      </w:r>
      <w:r>
        <w:rPr>
          <w:rFonts w:asciiTheme="minorHAnsi" w:hAnsiTheme="minorHAnsi" w:cstheme="minorHAnsi"/>
          <w:bCs/>
          <w:lang w:val="hr-HR"/>
        </w:rPr>
        <w:t xml:space="preserve"> </w:t>
      </w:r>
      <w:r>
        <w:rPr>
          <w:rFonts w:asciiTheme="minorHAnsi" w:hAnsiTheme="minorHAnsi" w:cstheme="minorHAnsi"/>
          <w:bCs/>
          <w:lang w:val="sr-Cyrl-CS"/>
        </w:rPr>
        <w:t>здравствену</w:t>
      </w:r>
      <w:r>
        <w:rPr>
          <w:rFonts w:asciiTheme="minorHAnsi" w:hAnsiTheme="minorHAnsi" w:cstheme="minorHAnsi"/>
          <w:bCs/>
          <w:lang w:val="hr-HR"/>
        </w:rPr>
        <w:t xml:space="preserve"> </w:t>
      </w:r>
      <w:r>
        <w:rPr>
          <w:rFonts w:asciiTheme="minorHAnsi" w:hAnsiTheme="minorHAnsi" w:cstheme="minorHAnsi"/>
          <w:bCs/>
          <w:lang w:val="sr-Cyrl-CS"/>
        </w:rPr>
        <w:t>за</w:t>
      </w:r>
      <w:r>
        <w:rPr>
          <w:rFonts w:asciiTheme="minorHAnsi" w:hAnsiTheme="minorHAnsi" w:cstheme="minorHAnsi"/>
          <w:bCs/>
          <w:lang w:val="hr-HR"/>
        </w:rPr>
        <w:t>ш</w:t>
      </w:r>
      <w:r>
        <w:rPr>
          <w:rFonts w:asciiTheme="minorHAnsi" w:hAnsiTheme="minorHAnsi" w:cstheme="minorHAnsi"/>
          <w:bCs/>
          <w:lang w:val="sr-Cyrl-CS"/>
        </w:rPr>
        <w:t>титу</w:t>
      </w:r>
      <w:r>
        <w:rPr>
          <w:rFonts w:asciiTheme="minorHAnsi" w:hAnsiTheme="minorHAnsi" w:cstheme="minorHAnsi"/>
          <w:bCs/>
          <w:lang w:val="hr-HR"/>
        </w:rPr>
        <w:t xml:space="preserve"> </w:t>
      </w:r>
      <w:r>
        <w:rPr>
          <w:rFonts w:asciiTheme="minorHAnsi" w:hAnsiTheme="minorHAnsi" w:cstheme="minorHAnsi"/>
          <w:lang w:val="sr-Cyrl-CS"/>
        </w:rPr>
        <w:t xml:space="preserve">Дома здравља </w:t>
      </w:r>
      <w:r>
        <w:rPr>
          <w:rFonts w:asciiTheme="minorHAnsi" w:hAnsiTheme="minorHAnsi" w:cstheme="minorHAnsi"/>
          <w:bCs/>
          <w:lang w:val="sr-Cyrl-CS"/>
        </w:rPr>
        <w:t>путем</w:t>
      </w:r>
      <w:r>
        <w:rPr>
          <w:rFonts w:asciiTheme="minorHAnsi" w:hAnsiTheme="minorHAnsi" w:cstheme="minorHAnsi"/>
          <w:bCs/>
          <w:lang w:val="hr-HR"/>
        </w:rPr>
        <w:t xml:space="preserve"> </w:t>
      </w:r>
      <w:r>
        <w:rPr>
          <w:rFonts w:asciiTheme="minorHAnsi" w:hAnsiTheme="minorHAnsi" w:cstheme="minorHAnsi"/>
          <w:bCs/>
          <w:lang w:val="sr-Cyrl-CS"/>
        </w:rPr>
        <w:t>амбуланти</w:t>
      </w:r>
      <w:r>
        <w:rPr>
          <w:rFonts w:asciiTheme="minorHAnsi" w:hAnsiTheme="minorHAnsi" w:cstheme="minorHAnsi"/>
          <w:bCs/>
          <w:lang w:val="hr-HR"/>
        </w:rPr>
        <w:t xml:space="preserve"> </w:t>
      </w:r>
      <w:r>
        <w:rPr>
          <w:rFonts w:asciiTheme="minorHAnsi" w:hAnsiTheme="minorHAnsi" w:cstheme="minorHAnsi"/>
          <w:bCs/>
          <w:lang w:val="sr-Cyrl-CS"/>
        </w:rPr>
        <w:t>дје</w:t>
      </w:r>
      <w:r>
        <w:rPr>
          <w:rFonts w:asciiTheme="minorHAnsi" w:hAnsiTheme="minorHAnsi" w:cstheme="minorHAnsi"/>
          <w:bCs/>
          <w:lang w:val="hr-HR"/>
        </w:rPr>
        <w:t>ч</w:t>
      </w:r>
      <w:r>
        <w:rPr>
          <w:rFonts w:asciiTheme="minorHAnsi" w:hAnsiTheme="minorHAnsi" w:cstheme="minorHAnsi"/>
          <w:bCs/>
          <w:lang w:val="sr-Cyrl-CS"/>
        </w:rPr>
        <w:t>ије</w:t>
      </w:r>
      <w:r>
        <w:rPr>
          <w:rFonts w:asciiTheme="minorHAnsi" w:hAnsiTheme="minorHAnsi" w:cstheme="minorHAnsi"/>
          <w:bCs/>
          <w:lang w:val="hr-HR"/>
        </w:rPr>
        <w:t xml:space="preserve"> </w:t>
      </w:r>
      <w:r>
        <w:rPr>
          <w:rFonts w:asciiTheme="minorHAnsi" w:hAnsiTheme="minorHAnsi" w:cstheme="minorHAnsi"/>
          <w:bCs/>
          <w:lang w:val="sr-Cyrl-CS"/>
        </w:rPr>
        <w:t>и</w:t>
      </w:r>
      <w:r>
        <w:rPr>
          <w:rFonts w:asciiTheme="minorHAnsi" w:hAnsiTheme="minorHAnsi" w:cstheme="minorHAnsi"/>
          <w:bCs/>
          <w:lang w:val="hr-HR"/>
        </w:rPr>
        <w:t xml:space="preserve"> </w:t>
      </w:r>
      <w:r>
        <w:rPr>
          <w:rFonts w:asciiTheme="minorHAnsi" w:hAnsiTheme="minorHAnsi" w:cstheme="minorHAnsi"/>
          <w:bCs/>
          <w:lang w:val="sr-Cyrl-CS"/>
        </w:rPr>
        <w:t>превентивне</w:t>
      </w:r>
      <w:r>
        <w:rPr>
          <w:rFonts w:asciiTheme="minorHAnsi" w:hAnsiTheme="minorHAnsi" w:cstheme="minorHAnsi"/>
          <w:bCs/>
          <w:lang w:val="hr-HR"/>
        </w:rPr>
        <w:t xml:space="preserve"> </w:t>
      </w:r>
      <w:r>
        <w:rPr>
          <w:rFonts w:asciiTheme="minorHAnsi" w:hAnsiTheme="minorHAnsi" w:cstheme="minorHAnsi"/>
          <w:bCs/>
          <w:lang w:val="sr-Cyrl-CS"/>
        </w:rPr>
        <w:t>стоматологије</w:t>
      </w:r>
      <w:r>
        <w:rPr>
          <w:rFonts w:asciiTheme="minorHAnsi" w:hAnsiTheme="minorHAnsi" w:cstheme="minorHAnsi"/>
          <w:bCs/>
          <w:lang w:val="hr-HR"/>
        </w:rPr>
        <w:t xml:space="preserve">,  </w:t>
      </w:r>
      <w:r>
        <w:rPr>
          <w:rFonts w:asciiTheme="minorHAnsi" w:hAnsiTheme="minorHAnsi" w:cstheme="minorHAnsi"/>
          <w:bCs/>
          <w:lang w:val="sr-Cyrl-CS"/>
        </w:rPr>
        <w:t>пру</w:t>
      </w:r>
      <w:r>
        <w:rPr>
          <w:rFonts w:asciiTheme="minorHAnsi" w:hAnsiTheme="minorHAnsi" w:cstheme="minorHAnsi"/>
          <w:bCs/>
          <w:lang w:val="hr-HR"/>
        </w:rPr>
        <w:t>ж</w:t>
      </w:r>
      <w:r>
        <w:rPr>
          <w:rFonts w:asciiTheme="minorHAnsi" w:hAnsiTheme="minorHAnsi" w:cstheme="minorHAnsi"/>
          <w:bCs/>
          <w:lang w:val="sr-Cyrl-CS"/>
        </w:rPr>
        <w:t>а</w:t>
      </w:r>
      <w:r>
        <w:rPr>
          <w:rFonts w:asciiTheme="minorHAnsi" w:hAnsiTheme="minorHAnsi" w:cstheme="minorHAnsi"/>
          <w:bCs/>
          <w:lang w:val="hr-HR"/>
        </w:rPr>
        <w:t xml:space="preserve"> </w:t>
      </w:r>
      <w:r>
        <w:rPr>
          <w:rFonts w:asciiTheme="minorHAnsi" w:hAnsiTheme="minorHAnsi" w:cstheme="minorHAnsi"/>
          <w:bCs/>
          <w:lang w:val="sr-Cyrl-CS"/>
        </w:rPr>
        <w:t>услуге</w:t>
      </w:r>
      <w:r>
        <w:rPr>
          <w:rFonts w:asciiTheme="minorHAnsi" w:hAnsiTheme="minorHAnsi" w:cstheme="minorHAnsi"/>
          <w:bCs/>
          <w:lang w:val="hr-HR"/>
        </w:rPr>
        <w:t xml:space="preserve"> </w:t>
      </w:r>
      <w:r>
        <w:rPr>
          <w:rFonts w:asciiTheme="minorHAnsi" w:hAnsiTheme="minorHAnsi" w:cstheme="minorHAnsi"/>
          <w:bCs/>
          <w:lang w:val="sr-Cyrl-CS"/>
        </w:rPr>
        <w:t>дје</w:t>
      </w:r>
      <w:r>
        <w:rPr>
          <w:rFonts w:asciiTheme="minorHAnsi" w:hAnsiTheme="minorHAnsi" w:cstheme="minorHAnsi"/>
          <w:bCs/>
          <w:lang w:val="hr-HR"/>
        </w:rPr>
        <w:t>ч</w:t>
      </w:r>
      <w:r>
        <w:rPr>
          <w:rFonts w:asciiTheme="minorHAnsi" w:hAnsiTheme="minorHAnsi" w:cstheme="minorHAnsi"/>
          <w:bCs/>
          <w:lang w:val="sr-Cyrl-CS"/>
        </w:rPr>
        <w:t>јој</w:t>
      </w:r>
      <w:r>
        <w:rPr>
          <w:rFonts w:asciiTheme="minorHAnsi" w:hAnsiTheme="minorHAnsi" w:cstheme="minorHAnsi"/>
          <w:bCs/>
          <w:lang w:val="hr-HR"/>
        </w:rPr>
        <w:t xml:space="preserve"> </w:t>
      </w:r>
      <w:r>
        <w:rPr>
          <w:rFonts w:asciiTheme="minorHAnsi" w:hAnsiTheme="minorHAnsi" w:cstheme="minorHAnsi"/>
          <w:bCs/>
          <w:lang w:val="sr-Cyrl-CS"/>
        </w:rPr>
        <w:t>популацији</w:t>
      </w:r>
      <w:r>
        <w:rPr>
          <w:rFonts w:asciiTheme="minorHAnsi" w:hAnsiTheme="minorHAnsi" w:cstheme="minorHAnsi"/>
          <w:bCs/>
          <w:lang w:val="hr-HR"/>
        </w:rPr>
        <w:t xml:space="preserve"> </w:t>
      </w:r>
      <w:r>
        <w:rPr>
          <w:rFonts w:asciiTheme="minorHAnsi" w:hAnsiTheme="minorHAnsi" w:cstheme="minorHAnsi"/>
          <w:lang w:val="sr-Cyrl-CS"/>
        </w:rPr>
        <w:t xml:space="preserve">у објекту Поликлинике и </w:t>
      </w:r>
      <w:r>
        <w:rPr>
          <w:rFonts w:asciiTheme="minorHAnsi" w:hAnsiTheme="minorHAnsi" w:cstheme="minorHAnsi"/>
          <w:lang w:val="sr-Latn-RS"/>
        </w:rPr>
        <w:t>у просторима  7 основних школа</w:t>
      </w:r>
      <w:r>
        <w:rPr>
          <w:rFonts w:asciiTheme="minorHAnsi" w:hAnsiTheme="minorHAnsi" w:cstheme="minorHAnsi"/>
          <w:lang w:val="bs-Cyrl-BA"/>
        </w:rPr>
        <w:t xml:space="preserve"> и то: </w:t>
      </w:r>
      <w:r>
        <w:rPr>
          <w:rFonts w:asciiTheme="minorHAnsi" w:hAnsiTheme="minorHAnsi" w:cstheme="minorHAnsi"/>
          <w:bCs/>
          <w:lang w:val="hr-HR"/>
        </w:rPr>
        <w:t>"</w:t>
      </w:r>
      <w:r>
        <w:rPr>
          <w:rFonts w:asciiTheme="minorHAnsi" w:hAnsiTheme="minorHAnsi" w:cstheme="minorHAnsi"/>
          <w:bCs/>
          <w:lang w:val="sr-Cyrl-CS"/>
        </w:rPr>
        <w:t>Иво</w:t>
      </w:r>
      <w:r>
        <w:rPr>
          <w:rFonts w:asciiTheme="minorHAnsi" w:hAnsiTheme="minorHAnsi" w:cstheme="minorHAnsi"/>
          <w:bCs/>
          <w:lang w:val="hr-HR"/>
        </w:rPr>
        <w:t xml:space="preserve"> </w:t>
      </w:r>
      <w:r>
        <w:rPr>
          <w:rFonts w:asciiTheme="minorHAnsi" w:hAnsiTheme="minorHAnsi" w:cstheme="minorHAnsi"/>
          <w:bCs/>
          <w:lang w:val="sr-Cyrl-CS"/>
        </w:rPr>
        <w:t>Андри</w:t>
      </w:r>
      <w:r>
        <w:rPr>
          <w:rFonts w:asciiTheme="minorHAnsi" w:hAnsiTheme="minorHAnsi" w:cstheme="minorHAnsi"/>
          <w:bCs/>
          <w:lang w:val="hr-HR"/>
        </w:rPr>
        <w:t>ћ", "</w:t>
      </w:r>
      <w:r>
        <w:rPr>
          <w:rFonts w:asciiTheme="minorHAnsi" w:hAnsiTheme="minorHAnsi" w:cstheme="minorHAnsi"/>
          <w:bCs/>
          <w:lang w:val="sr-Cyrl-CS"/>
        </w:rPr>
        <w:t>Георги</w:t>
      </w:r>
      <w:r>
        <w:rPr>
          <w:rFonts w:asciiTheme="minorHAnsi" w:hAnsiTheme="minorHAnsi" w:cstheme="minorHAnsi"/>
          <w:bCs/>
          <w:lang w:val="hr-HR"/>
        </w:rPr>
        <w:t xml:space="preserve">  </w:t>
      </w:r>
      <w:r>
        <w:rPr>
          <w:rFonts w:asciiTheme="minorHAnsi" w:hAnsiTheme="minorHAnsi" w:cstheme="minorHAnsi"/>
          <w:bCs/>
          <w:lang w:val="sr-Cyrl-CS"/>
        </w:rPr>
        <w:t>Стојков</w:t>
      </w:r>
      <w:r>
        <w:rPr>
          <w:rFonts w:asciiTheme="minorHAnsi" w:hAnsiTheme="minorHAnsi" w:cstheme="minorHAnsi"/>
          <w:bCs/>
          <w:lang w:val="hr-HR"/>
        </w:rPr>
        <w:t xml:space="preserve"> </w:t>
      </w:r>
      <w:r>
        <w:rPr>
          <w:rFonts w:asciiTheme="minorHAnsi" w:hAnsiTheme="minorHAnsi" w:cstheme="minorHAnsi"/>
          <w:bCs/>
          <w:lang w:val="sr-Cyrl-CS"/>
        </w:rPr>
        <w:t>Раковски</w:t>
      </w:r>
      <w:r>
        <w:rPr>
          <w:rFonts w:asciiTheme="minorHAnsi" w:hAnsiTheme="minorHAnsi" w:cstheme="minorHAnsi"/>
          <w:bCs/>
          <w:lang w:val="hr-HR"/>
        </w:rPr>
        <w:t>", "</w:t>
      </w:r>
      <w:r>
        <w:rPr>
          <w:rFonts w:asciiTheme="minorHAnsi" w:hAnsiTheme="minorHAnsi" w:cstheme="minorHAnsi"/>
          <w:bCs/>
          <w:lang w:val="sr-Cyrl-CS"/>
        </w:rPr>
        <w:t>Борисав</w:t>
      </w:r>
      <w:r>
        <w:rPr>
          <w:rFonts w:asciiTheme="minorHAnsi" w:hAnsiTheme="minorHAnsi" w:cstheme="minorHAnsi"/>
          <w:bCs/>
          <w:lang w:val="hr-HR"/>
        </w:rPr>
        <w:t xml:space="preserve"> </w:t>
      </w:r>
      <w:r>
        <w:rPr>
          <w:rFonts w:asciiTheme="minorHAnsi" w:hAnsiTheme="minorHAnsi" w:cstheme="minorHAnsi"/>
          <w:bCs/>
          <w:lang w:val="sr-Cyrl-CS"/>
        </w:rPr>
        <w:t>Станкови</w:t>
      </w:r>
      <w:r>
        <w:rPr>
          <w:rFonts w:asciiTheme="minorHAnsi" w:hAnsiTheme="minorHAnsi" w:cstheme="minorHAnsi"/>
          <w:bCs/>
          <w:lang w:val="hr-HR"/>
        </w:rPr>
        <w:t>ћ", "</w:t>
      </w:r>
      <w:r>
        <w:rPr>
          <w:rFonts w:asciiTheme="minorHAnsi" w:hAnsiTheme="minorHAnsi" w:cstheme="minorHAnsi"/>
          <w:bCs/>
          <w:lang w:val="sr-Cyrl-CS"/>
        </w:rPr>
        <w:t>Змај</w:t>
      </w:r>
      <w:r>
        <w:rPr>
          <w:rFonts w:asciiTheme="minorHAnsi" w:hAnsiTheme="minorHAnsi" w:cstheme="minorHAnsi"/>
          <w:bCs/>
        </w:rPr>
        <w:t xml:space="preserve"> </w:t>
      </w:r>
      <w:r>
        <w:rPr>
          <w:rFonts w:asciiTheme="minorHAnsi" w:hAnsiTheme="minorHAnsi" w:cstheme="minorHAnsi"/>
          <w:bCs/>
          <w:lang w:val="sr-Cyrl-CS"/>
        </w:rPr>
        <w:t>Јова</w:t>
      </w:r>
      <w:r>
        <w:rPr>
          <w:rFonts w:asciiTheme="minorHAnsi" w:hAnsiTheme="minorHAnsi" w:cstheme="minorHAnsi"/>
          <w:bCs/>
        </w:rPr>
        <w:t xml:space="preserve"> </w:t>
      </w:r>
      <w:r>
        <w:rPr>
          <w:rFonts w:asciiTheme="minorHAnsi" w:hAnsiTheme="minorHAnsi" w:cstheme="minorHAnsi"/>
          <w:bCs/>
          <w:lang w:val="sr-Cyrl-CS"/>
        </w:rPr>
        <w:t>Јовановић</w:t>
      </w:r>
      <w:r>
        <w:rPr>
          <w:rFonts w:asciiTheme="minorHAnsi" w:hAnsiTheme="minorHAnsi" w:cstheme="minorHAnsi"/>
          <w:bCs/>
          <w:lang w:val="hr-HR"/>
        </w:rPr>
        <w:t>", "</w:t>
      </w:r>
      <w:r>
        <w:rPr>
          <w:rFonts w:asciiTheme="minorHAnsi" w:hAnsiTheme="minorHAnsi" w:cstheme="minorHAnsi"/>
          <w:bCs/>
          <w:lang w:val="sr-Cyrl-CS"/>
        </w:rPr>
        <w:t>Бранко</w:t>
      </w:r>
      <w:r>
        <w:rPr>
          <w:rFonts w:asciiTheme="minorHAnsi" w:hAnsiTheme="minorHAnsi" w:cstheme="minorHAnsi"/>
          <w:bCs/>
          <w:lang w:val="hr-HR"/>
        </w:rPr>
        <w:t xml:space="preserve"> </w:t>
      </w:r>
      <w:r>
        <w:rPr>
          <w:rFonts w:asciiTheme="minorHAnsi" w:hAnsiTheme="minorHAnsi" w:cstheme="minorHAnsi"/>
          <w:bCs/>
          <w:lang w:val="sr-Cyrl-CS"/>
        </w:rPr>
        <w:t>Ради</w:t>
      </w:r>
      <w:r>
        <w:rPr>
          <w:rFonts w:asciiTheme="minorHAnsi" w:hAnsiTheme="minorHAnsi" w:cstheme="minorHAnsi"/>
          <w:bCs/>
          <w:lang w:val="hr-HR"/>
        </w:rPr>
        <w:t>ч</w:t>
      </w:r>
      <w:r>
        <w:rPr>
          <w:rFonts w:asciiTheme="minorHAnsi" w:hAnsiTheme="minorHAnsi" w:cstheme="minorHAnsi"/>
          <w:bCs/>
          <w:lang w:val="sr-Cyrl-CS"/>
        </w:rPr>
        <w:t>еви</w:t>
      </w:r>
      <w:r>
        <w:rPr>
          <w:rFonts w:asciiTheme="minorHAnsi" w:hAnsiTheme="minorHAnsi" w:cstheme="minorHAnsi"/>
          <w:bCs/>
          <w:lang w:val="hr-HR"/>
        </w:rPr>
        <w:t>ћ",  "</w:t>
      </w:r>
      <w:r>
        <w:rPr>
          <w:rFonts w:asciiTheme="minorHAnsi" w:hAnsiTheme="minorHAnsi" w:cstheme="minorHAnsi"/>
          <w:bCs/>
          <w:lang w:val="sr-Cyrl-CS"/>
        </w:rPr>
        <w:t>Доситеј</w:t>
      </w:r>
      <w:r>
        <w:rPr>
          <w:rFonts w:asciiTheme="minorHAnsi" w:hAnsiTheme="minorHAnsi" w:cstheme="minorHAnsi"/>
          <w:bCs/>
          <w:lang w:val="hr-HR"/>
        </w:rPr>
        <w:t xml:space="preserve"> </w:t>
      </w:r>
      <w:r>
        <w:rPr>
          <w:rFonts w:asciiTheme="minorHAnsi" w:hAnsiTheme="minorHAnsi" w:cstheme="minorHAnsi"/>
          <w:bCs/>
          <w:lang w:val="sr-Cyrl-CS"/>
        </w:rPr>
        <w:t>Обрадови</w:t>
      </w:r>
      <w:r>
        <w:rPr>
          <w:rFonts w:asciiTheme="minorHAnsi" w:hAnsiTheme="minorHAnsi" w:cstheme="minorHAnsi"/>
          <w:bCs/>
          <w:lang w:val="hr-HR"/>
        </w:rPr>
        <w:t xml:space="preserve">ћ" </w:t>
      </w:r>
      <w:r>
        <w:rPr>
          <w:rFonts w:asciiTheme="minorHAnsi" w:hAnsiTheme="minorHAnsi" w:cstheme="minorHAnsi"/>
          <w:bCs/>
          <w:lang w:val="sr-Cyrl-CS"/>
        </w:rPr>
        <w:t>и</w:t>
      </w:r>
      <w:r>
        <w:rPr>
          <w:rFonts w:asciiTheme="minorHAnsi" w:hAnsiTheme="minorHAnsi" w:cstheme="minorHAnsi"/>
          <w:bCs/>
          <w:lang w:val="hr-HR"/>
        </w:rPr>
        <w:t xml:space="preserve"> "</w:t>
      </w:r>
      <w:r>
        <w:rPr>
          <w:rFonts w:asciiTheme="minorHAnsi" w:hAnsiTheme="minorHAnsi" w:cstheme="minorHAnsi"/>
          <w:bCs/>
          <w:lang w:val="sr-Cyrl-CS"/>
        </w:rPr>
        <w:t>Свети</w:t>
      </w:r>
      <w:r>
        <w:rPr>
          <w:rFonts w:asciiTheme="minorHAnsi" w:hAnsiTheme="minorHAnsi" w:cstheme="minorHAnsi"/>
          <w:bCs/>
          <w:lang w:val="hr-HR"/>
        </w:rPr>
        <w:t xml:space="preserve"> </w:t>
      </w:r>
      <w:r>
        <w:rPr>
          <w:rFonts w:asciiTheme="minorHAnsi" w:hAnsiTheme="minorHAnsi" w:cstheme="minorHAnsi"/>
          <w:bCs/>
          <w:lang w:val="sr-Cyrl-CS"/>
        </w:rPr>
        <w:t>Сава</w:t>
      </w:r>
      <w:r>
        <w:rPr>
          <w:rFonts w:asciiTheme="minorHAnsi" w:hAnsiTheme="minorHAnsi" w:cstheme="minorHAnsi"/>
          <w:bCs/>
          <w:lang w:val="hr-HR"/>
        </w:rPr>
        <w:t>".</w:t>
      </w:r>
    </w:p>
    <w:p>
      <w:pPr>
        <w:jc w:val="both"/>
        <w:rPr>
          <w:rFonts w:asciiTheme="minorHAnsi" w:hAnsiTheme="minorHAnsi" w:cstheme="minorHAnsi"/>
          <w:lang w:val="sr-Cyrl-CS"/>
        </w:rPr>
      </w:pPr>
    </w:p>
    <w:p>
      <w:pPr>
        <w:autoSpaceDE w:val="0"/>
        <w:autoSpaceDN w:val="0"/>
        <w:adjustRightInd w:val="0"/>
        <w:jc w:val="both"/>
        <w:rPr>
          <w:rFonts w:asciiTheme="minorHAnsi" w:hAnsiTheme="minorHAnsi"/>
          <w:lang w:val="sr-Cyrl-CS"/>
        </w:rPr>
      </w:pPr>
      <w:r>
        <w:rPr>
          <w:rFonts w:asciiTheme="minorHAnsi" w:hAnsiTheme="minorHAnsi"/>
          <w:lang w:val="sr-Latn-RS"/>
        </w:rPr>
        <w:t>На подручју Града Бања Лука налази се 57 мјесних заједница</w:t>
      </w:r>
      <w:r>
        <w:rPr>
          <w:rFonts w:asciiTheme="minorHAnsi" w:hAnsiTheme="minorHAnsi"/>
          <w:lang w:val="sr-Cyrl-CS"/>
        </w:rPr>
        <w:t xml:space="preserve">, а </w:t>
      </w:r>
      <w:r>
        <w:rPr>
          <w:rFonts w:asciiTheme="minorHAnsi" w:hAnsiTheme="minorHAnsi"/>
          <w:lang w:val="sr-Latn-RS"/>
        </w:rPr>
        <w:t xml:space="preserve">План којим су предвиђени објекти амбуланти породичне медицине у </w:t>
      </w:r>
      <w:r>
        <w:rPr>
          <w:rFonts w:asciiTheme="minorHAnsi" w:hAnsiTheme="minorHAnsi"/>
          <w:bCs/>
          <w:iCs/>
          <w:lang w:val="sr-Latn-RS"/>
        </w:rPr>
        <w:t>38</w:t>
      </w:r>
      <w:r>
        <w:rPr>
          <w:rFonts w:asciiTheme="minorHAnsi" w:hAnsiTheme="minorHAnsi"/>
          <w:lang w:val="sr-Latn-RS"/>
        </w:rPr>
        <w:t xml:space="preserve"> мјесних заједница, до сада је реализован са </w:t>
      </w:r>
      <w:r>
        <w:rPr>
          <w:rFonts w:asciiTheme="minorHAnsi" w:hAnsiTheme="minorHAnsi"/>
          <w:iCs/>
          <w:lang w:val="sr-Cyrl-CS"/>
        </w:rPr>
        <w:t>85</w:t>
      </w:r>
      <w:r>
        <w:rPr>
          <w:rFonts w:asciiTheme="minorHAnsi" w:hAnsiTheme="minorHAnsi"/>
          <w:iCs/>
          <w:lang w:val="sr-Latn-RS"/>
        </w:rPr>
        <w:t>%</w:t>
      </w:r>
      <w:r>
        <w:rPr>
          <w:rFonts w:asciiTheme="minorHAnsi" w:hAnsiTheme="minorHAnsi"/>
          <w:lang w:val="sr-Cyrl-CS"/>
        </w:rPr>
        <w:t xml:space="preserve">, укључујући изграђени објекат амбуланте </w:t>
      </w:r>
      <w:r>
        <w:rPr>
          <w:rFonts w:asciiTheme="minorHAnsi" w:hAnsiTheme="minorHAnsi"/>
          <w:lang w:val="sr-Latn-RS"/>
        </w:rPr>
        <w:t>породичне медицине</w:t>
      </w:r>
      <w:r>
        <w:rPr>
          <w:rFonts w:asciiTheme="minorHAnsi" w:hAnsiTheme="minorHAnsi"/>
          <w:lang w:val="sr-Cyrl-CS"/>
        </w:rPr>
        <w:t xml:space="preserve"> у МЗ </w:t>
      </w:r>
      <w:r>
        <w:rPr>
          <w:rFonts w:asciiTheme="minorHAnsi" w:hAnsiTheme="minorHAnsi"/>
          <w:lang w:val="sr-Latn-RS"/>
        </w:rPr>
        <w:t>Доња Кола</w:t>
      </w:r>
      <w:r>
        <w:rPr>
          <w:rFonts w:asciiTheme="minorHAnsi" w:hAnsiTheme="minorHAnsi"/>
          <w:lang w:val="sr-Cyrl-CS"/>
        </w:rPr>
        <w:t xml:space="preserve"> и успостављене амбуланте у закупљеном пословном простору. </w:t>
      </w:r>
      <w:r>
        <w:rPr>
          <w:rFonts w:asciiTheme="minorHAnsi" w:hAnsiTheme="minorHAnsi"/>
        </w:rPr>
        <w:t xml:space="preserve">Амбуланте породичне медицине </w:t>
      </w:r>
      <w:r>
        <w:rPr>
          <w:rFonts w:asciiTheme="minorHAnsi" w:hAnsiTheme="minorHAnsi"/>
          <w:lang w:val="sr-Cyrl-CS"/>
        </w:rPr>
        <w:t xml:space="preserve">данас </w:t>
      </w:r>
      <w:r>
        <w:rPr>
          <w:rFonts w:asciiTheme="minorHAnsi" w:hAnsiTheme="minorHAnsi"/>
        </w:rPr>
        <w:t>се налазе у 32 мјесне заједнице са укупно 33 објекта</w:t>
      </w:r>
      <w:r>
        <w:rPr>
          <w:rFonts w:asciiTheme="minorHAnsi" w:hAnsiTheme="minorHAnsi"/>
          <w:lang w:val="sr-Cyrl-CS"/>
        </w:rPr>
        <w:t xml:space="preserve"> </w:t>
      </w:r>
      <w:r>
        <w:rPr>
          <w:rFonts w:asciiTheme="minorHAnsi" w:hAnsiTheme="minorHAnsi"/>
          <w:lang w:val="sr-Latn-RS"/>
        </w:rPr>
        <w:t>(</w:t>
      </w:r>
      <w:r>
        <w:rPr>
          <w:rFonts w:asciiTheme="minorHAnsi" w:hAnsiTheme="minorHAnsi"/>
          <w:lang w:val="sr-Cyrl-CS"/>
        </w:rPr>
        <w:t xml:space="preserve">само </w:t>
      </w:r>
      <w:r>
        <w:rPr>
          <w:rFonts w:asciiTheme="minorHAnsi" w:hAnsiTheme="minorHAnsi"/>
          <w:lang w:val="sr-Latn-RS"/>
        </w:rPr>
        <w:t>н</w:t>
      </w:r>
      <w:r>
        <w:rPr>
          <w:rFonts w:asciiTheme="minorHAnsi" w:hAnsiTheme="minorHAnsi"/>
          <w:bCs/>
          <w:lang w:val="sr-Latn-RS"/>
        </w:rPr>
        <w:t xml:space="preserve">а два локалитета од </w:t>
      </w:r>
      <w:r>
        <w:rPr>
          <w:rFonts w:asciiTheme="minorHAnsi" w:hAnsiTheme="minorHAnsi"/>
          <w:bCs/>
        </w:rPr>
        <w:t>укупно 35</w:t>
      </w:r>
      <w:r>
        <w:rPr>
          <w:rFonts w:asciiTheme="minorHAnsi" w:hAnsiTheme="minorHAnsi"/>
          <w:bCs/>
          <w:lang w:val="sr-Latn-RS"/>
        </w:rPr>
        <w:t>, не пружају се услуге породичне медицине</w:t>
      </w:r>
      <w:r>
        <w:rPr>
          <w:rFonts w:asciiTheme="minorHAnsi" w:hAnsiTheme="minorHAnsi"/>
          <w:bCs/>
          <w:lang w:val="sr-Cyrl-CS"/>
        </w:rPr>
        <w:t xml:space="preserve"> и то у </w:t>
      </w:r>
      <w:r>
        <w:rPr>
          <w:rFonts w:asciiTheme="minorHAnsi" w:hAnsiTheme="minorHAnsi"/>
          <w:bCs/>
        </w:rPr>
        <w:t>објект</w:t>
      </w:r>
      <w:r>
        <w:rPr>
          <w:rFonts w:asciiTheme="minorHAnsi" w:hAnsiTheme="minorHAnsi"/>
          <w:bCs/>
          <w:lang w:val="sr-Cyrl-CS"/>
        </w:rPr>
        <w:t>у</w:t>
      </w:r>
      <w:r>
        <w:rPr>
          <w:rFonts w:asciiTheme="minorHAnsi" w:hAnsiTheme="minorHAnsi"/>
          <w:bCs/>
        </w:rPr>
        <w:t xml:space="preserve"> бившег ВМЦ-а</w:t>
      </w:r>
      <w:r>
        <w:rPr>
          <w:rFonts w:asciiTheme="minorHAnsi" w:hAnsiTheme="minorHAnsi"/>
          <w:lang w:val="sr-Cyrl-CS"/>
        </w:rPr>
        <w:t xml:space="preserve"> и </w:t>
      </w:r>
      <w:r>
        <w:rPr>
          <w:rFonts w:asciiTheme="minorHAnsi" w:hAnsiTheme="minorHAnsi"/>
          <w:bCs/>
        </w:rPr>
        <w:t>МЗ Центар I - Долац</w:t>
      </w:r>
      <w:r>
        <w:rPr>
          <w:rFonts w:asciiTheme="minorHAnsi" w:hAnsiTheme="minorHAnsi"/>
          <w:bCs/>
          <w:lang w:val="sr-Cyrl-CS"/>
        </w:rPr>
        <w:t xml:space="preserve">), </w:t>
      </w:r>
      <w:r>
        <w:rPr>
          <w:rFonts w:asciiTheme="minorHAnsi" w:hAnsiTheme="minorHAnsi"/>
        </w:rPr>
        <w:t xml:space="preserve">тако да је велики дио града покривен са модерним амбулантама породичне медицине. </w:t>
      </w:r>
    </w:p>
    <w:p>
      <w:pPr>
        <w:autoSpaceDE w:val="0"/>
        <w:autoSpaceDN w:val="0"/>
        <w:adjustRightInd w:val="0"/>
        <w:jc w:val="both"/>
        <w:rPr>
          <w:rFonts w:ascii="Times New Roman" w:hAnsi="Times New Roman"/>
          <w:sz w:val="24"/>
          <w:szCs w:val="24"/>
          <w:lang w:val="sr-Cyrl-CS"/>
        </w:rPr>
      </w:pPr>
    </w:p>
    <w:p>
      <w:pPr>
        <w:autoSpaceDE w:val="0"/>
        <w:autoSpaceDN w:val="0"/>
        <w:adjustRightInd w:val="0"/>
        <w:jc w:val="both"/>
        <w:rPr>
          <w:rFonts w:asciiTheme="minorHAnsi" w:hAnsiTheme="minorHAnsi"/>
          <w:lang w:val="sr-Cyrl-CS"/>
        </w:rPr>
      </w:pPr>
      <w:r>
        <w:rPr>
          <w:rFonts w:asciiTheme="minorHAnsi" w:hAnsiTheme="minorHAnsi"/>
          <w:lang w:val="sr-Cyrl-CS"/>
        </w:rPr>
        <w:t xml:space="preserve">План мреже амбуланти породичне медицине који је утврдила </w:t>
      </w:r>
      <w:r>
        <w:rPr>
          <w:rFonts w:asciiTheme="minorHAnsi" w:hAnsiTheme="minorHAnsi"/>
          <w:lang w:val="sr-Latn-RS"/>
        </w:rPr>
        <w:t xml:space="preserve">Скупштина Града Бања Лука </w:t>
      </w:r>
      <w:r>
        <w:rPr>
          <w:rFonts w:asciiTheme="minorHAnsi" w:hAnsiTheme="minorHAnsi"/>
          <w:lang w:val="sr-Cyrl-CS"/>
        </w:rPr>
        <w:t xml:space="preserve">није у потпуности реализован. У складу са Планом </w:t>
      </w:r>
      <w:r>
        <w:rPr>
          <w:rFonts w:asciiTheme="minorHAnsi" w:hAnsiTheme="minorHAnsi"/>
          <w:lang w:val="it-IT"/>
        </w:rPr>
        <w:t xml:space="preserve"> </w:t>
      </w:r>
      <w:r>
        <w:rPr>
          <w:rFonts w:asciiTheme="minorHAnsi" w:hAnsiTheme="minorHAnsi"/>
          <w:lang w:val="sr-Cyrl-CS"/>
        </w:rPr>
        <w:t>мреже</w:t>
      </w:r>
      <w:r>
        <w:rPr>
          <w:rFonts w:asciiTheme="minorHAnsi" w:hAnsiTheme="minorHAnsi"/>
          <w:lang w:val="it-IT"/>
        </w:rPr>
        <w:t xml:space="preserve"> </w:t>
      </w:r>
      <w:r>
        <w:rPr>
          <w:rFonts w:asciiTheme="minorHAnsi" w:hAnsiTheme="minorHAnsi"/>
          <w:lang w:val="sr-Cyrl-CS"/>
        </w:rPr>
        <w:t xml:space="preserve">амбуланти породичне медицине за град Бања Луку,  Граду недостаје девет  (9) </w:t>
      </w:r>
      <w:r>
        <w:rPr>
          <w:rFonts w:asciiTheme="minorHAnsi" w:hAnsiTheme="minorHAnsi"/>
          <w:lang w:val="ru-RU"/>
        </w:rPr>
        <w:t>о</w:t>
      </w:r>
      <w:r>
        <w:rPr>
          <w:rFonts w:asciiTheme="minorHAnsi" w:hAnsiTheme="minorHAnsi"/>
          <w:lang w:val="hr-HR"/>
        </w:rPr>
        <w:t>бјек</w:t>
      </w:r>
      <w:r>
        <w:rPr>
          <w:rFonts w:asciiTheme="minorHAnsi" w:hAnsiTheme="minorHAnsi"/>
          <w:lang w:val="sr-Cyrl-CS"/>
        </w:rPr>
        <w:t>а</w:t>
      </w:r>
      <w:r>
        <w:rPr>
          <w:rFonts w:asciiTheme="minorHAnsi" w:hAnsiTheme="minorHAnsi"/>
          <w:lang w:val="hr-HR"/>
        </w:rPr>
        <w:t>т</w:t>
      </w:r>
      <w:r>
        <w:rPr>
          <w:rFonts w:asciiTheme="minorHAnsi" w:hAnsiTheme="minorHAnsi"/>
          <w:lang w:val="sr-Cyrl-CS"/>
        </w:rPr>
        <w:t>а амбуланти породичне медицине у</w:t>
      </w:r>
      <w:r>
        <w:rPr>
          <w:rFonts w:asciiTheme="minorHAnsi" w:hAnsiTheme="minorHAnsi"/>
        </w:rPr>
        <w:t xml:space="preserve"> градским мјесним заједницама недостаје један објекат</w:t>
      </w:r>
      <w:r>
        <w:rPr>
          <w:rFonts w:asciiTheme="minorHAnsi" w:hAnsiTheme="minorHAnsi"/>
          <w:lang w:val="sr-Cyrl-CS"/>
        </w:rPr>
        <w:t xml:space="preserve"> (МЗ </w:t>
      </w:r>
      <w:r>
        <w:rPr>
          <w:rFonts w:asciiTheme="minorHAnsi" w:hAnsiTheme="minorHAnsi"/>
          <w:bCs/>
          <w:lang w:val="hr-HR"/>
        </w:rPr>
        <w:t>Паприковац</w:t>
      </w:r>
      <w:r>
        <w:rPr>
          <w:rFonts w:asciiTheme="minorHAnsi" w:hAnsiTheme="minorHAnsi"/>
          <w:bCs/>
          <w:lang w:val="sr-Cyrl-CS"/>
        </w:rPr>
        <w:t>)</w:t>
      </w:r>
      <w:r>
        <w:rPr>
          <w:rFonts w:asciiTheme="minorHAnsi" w:hAnsiTheme="minorHAnsi"/>
        </w:rPr>
        <w:t xml:space="preserve">, у приградским мјесним заједницама недостаје </w:t>
      </w:r>
      <w:r>
        <w:rPr>
          <w:rFonts w:asciiTheme="minorHAnsi" w:hAnsiTheme="minorHAnsi"/>
          <w:lang w:val="sr-Cyrl-CS"/>
        </w:rPr>
        <w:t>7</w:t>
      </w:r>
      <w:r>
        <w:rPr>
          <w:rFonts w:asciiTheme="minorHAnsi" w:hAnsiTheme="minorHAnsi"/>
          <w:lang w:val="sr-Latn-CS"/>
        </w:rPr>
        <w:t xml:space="preserve"> </w:t>
      </w:r>
      <w:r>
        <w:rPr>
          <w:rFonts w:asciiTheme="minorHAnsi" w:hAnsiTheme="minorHAnsi"/>
        </w:rPr>
        <w:t>објеката</w:t>
      </w:r>
      <w:r>
        <w:rPr>
          <w:rFonts w:asciiTheme="minorHAnsi" w:hAnsiTheme="minorHAnsi"/>
          <w:lang w:val="sr-Cyrl-CS"/>
        </w:rPr>
        <w:t xml:space="preserve"> (МЗ:</w:t>
      </w:r>
      <w:r>
        <w:rPr>
          <w:rFonts w:asciiTheme="minorHAnsi" w:hAnsiTheme="minorHAnsi"/>
        </w:rPr>
        <w:t xml:space="preserve"> </w:t>
      </w:r>
      <w:r>
        <w:rPr>
          <w:rFonts w:asciiTheme="minorHAnsi" w:hAnsiTheme="minorHAnsi"/>
          <w:lang w:val="hr-HR"/>
        </w:rPr>
        <w:t>Ада</w:t>
      </w:r>
      <w:r>
        <w:rPr>
          <w:rFonts w:asciiTheme="minorHAnsi" w:hAnsiTheme="minorHAnsi"/>
          <w:lang w:val="sr-Cyrl-CS"/>
        </w:rPr>
        <w:t>,</w:t>
      </w:r>
      <w:r>
        <w:rPr>
          <w:rFonts w:asciiTheme="minorHAnsi" w:hAnsiTheme="minorHAnsi"/>
          <w:lang w:val="hr-HR"/>
        </w:rPr>
        <w:t xml:space="preserve"> Сарачица</w:t>
      </w:r>
      <w:r>
        <w:rPr>
          <w:rFonts w:asciiTheme="minorHAnsi" w:hAnsiTheme="minorHAnsi"/>
          <w:lang w:val="sr-Cyrl-CS"/>
        </w:rPr>
        <w:t xml:space="preserve">, </w:t>
      </w:r>
      <w:r>
        <w:rPr>
          <w:rFonts w:asciiTheme="minorHAnsi" w:hAnsiTheme="minorHAnsi"/>
          <w:lang w:val="hr-HR"/>
        </w:rPr>
        <w:t xml:space="preserve"> Дракулић, </w:t>
      </w:r>
      <w:r>
        <w:rPr>
          <w:rFonts w:asciiTheme="minorHAnsi" w:hAnsiTheme="minorHAnsi"/>
          <w:lang w:val="sr-Cyrl-CS"/>
        </w:rPr>
        <w:t xml:space="preserve">Куљани, </w:t>
      </w:r>
      <w:r>
        <w:rPr>
          <w:rFonts w:asciiTheme="minorHAnsi" w:hAnsiTheme="minorHAnsi"/>
          <w:lang w:val="hr-HR"/>
        </w:rPr>
        <w:t xml:space="preserve">Шарговац, Чесма </w:t>
      </w:r>
      <w:r>
        <w:rPr>
          <w:rFonts w:asciiTheme="minorHAnsi" w:hAnsiTheme="minorHAnsi"/>
          <w:lang w:val="sr-Cyrl-CS"/>
        </w:rPr>
        <w:t>и Пријечани),</w:t>
      </w:r>
      <w:r>
        <w:rPr>
          <w:rFonts w:asciiTheme="minorHAnsi" w:hAnsiTheme="minorHAnsi"/>
        </w:rPr>
        <w:t xml:space="preserve"> </w:t>
      </w:r>
      <w:r>
        <w:rPr>
          <w:rFonts w:asciiTheme="minorHAnsi" w:hAnsiTheme="minorHAnsi"/>
          <w:lang w:val="sr-Cyrl-CS"/>
        </w:rPr>
        <w:t xml:space="preserve">а </w:t>
      </w:r>
      <w:r>
        <w:rPr>
          <w:rFonts w:asciiTheme="minorHAnsi" w:hAnsiTheme="minorHAnsi"/>
        </w:rPr>
        <w:t>у сеоским мјесним заједницама недостај</w:t>
      </w:r>
      <w:r>
        <w:rPr>
          <w:rFonts w:asciiTheme="minorHAnsi" w:hAnsiTheme="minorHAnsi"/>
          <w:lang w:val="sr-Cyrl-CS"/>
        </w:rPr>
        <w:t>е 1</w:t>
      </w:r>
      <w:r>
        <w:rPr>
          <w:rFonts w:asciiTheme="minorHAnsi" w:hAnsiTheme="minorHAnsi"/>
        </w:rPr>
        <w:t xml:space="preserve"> објек</w:t>
      </w:r>
      <w:r>
        <w:rPr>
          <w:rFonts w:asciiTheme="minorHAnsi" w:hAnsiTheme="minorHAnsi"/>
          <w:lang w:val="sr-Cyrl-CS"/>
        </w:rPr>
        <w:t>а</w:t>
      </w:r>
      <w:r>
        <w:rPr>
          <w:rFonts w:asciiTheme="minorHAnsi" w:hAnsiTheme="minorHAnsi"/>
        </w:rPr>
        <w:t>т</w:t>
      </w:r>
      <w:r>
        <w:rPr>
          <w:rFonts w:asciiTheme="minorHAnsi" w:hAnsiTheme="minorHAnsi"/>
          <w:lang w:val="sr-Cyrl-RS"/>
        </w:rPr>
        <w:t>,</w:t>
      </w:r>
      <w:r>
        <w:rPr>
          <w:rFonts w:asciiTheme="minorHAnsi" w:hAnsiTheme="minorHAnsi"/>
          <w:lang w:val="sr-Cyrl-CS"/>
        </w:rPr>
        <w:t xml:space="preserve"> и то у МЗ</w:t>
      </w:r>
      <w:r>
        <w:rPr>
          <w:rFonts w:asciiTheme="minorHAnsi" w:hAnsiTheme="minorHAnsi"/>
          <w:lang w:val="hr-HR"/>
        </w:rPr>
        <w:t xml:space="preserve"> Бистрица</w:t>
      </w:r>
      <w:r>
        <w:rPr>
          <w:rFonts w:asciiTheme="minorHAnsi" w:hAnsiTheme="minorHAnsi"/>
          <w:lang w:val="sr-Cyrl-CS"/>
        </w:rPr>
        <w:t xml:space="preserve">.  </w:t>
      </w:r>
    </w:p>
    <w:p>
      <w:pPr>
        <w:autoSpaceDE w:val="0"/>
        <w:autoSpaceDN w:val="0"/>
        <w:adjustRightInd w:val="0"/>
        <w:jc w:val="both"/>
        <w:rPr>
          <w:rFonts w:asciiTheme="minorHAnsi" w:hAnsiTheme="minorHAnsi"/>
          <w:lang w:val="sr-Cyrl-CS"/>
        </w:rPr>
      </w:pPr>
    </w:p>
    <w:p>
      <w:pPr>
        <w:jc w:val="both"/>
        <w:rPr>
          <w:rFonts w:asciiTheme="minorHAnsi" w:hAnsiTheme="minorHAnsi"/>
          <w:lang w:val="sr-Cyrl-BA"/>
        </w:rPr>
      </w:pPr>
      <w:r>
        <w:rPr>
          <w:rFonts w:asciiTheme="minorHAnsi" w:hAnsiTheme="minorHAnsi"/>
          <w:b/>
          <w:lang w:val="sr-Cyrl-BA"/>
        </w:rPr>
        <w:t xml:space="preserve">Удружења грађана </w:t>
      </w:r>
      <w:r>
        <w:rPr>
          <w:rFonts w:asciiTheme="minorHAnsi" w:hAnsiTheme="minorHAnsi"/>
          <w:lang w:val="sr-Cyrl-BA"/>
        </w:rPr>
        <w:t xml:space="preserve">су партнери локалне самоуправе у пружању услуга здравствене заштите: на подручју града Бања Луке регистровано је око 100 удружења која делују на пољу здравствене и социјалне заштите (детаљније у одјељку Цивилно друштво), </w:t>
      </w:r>
      <w:r>
        <w:rPr>
          <w:rFonts w:asciiTheme="minorHAnsi" w:hAnsiTheme="minorHAnsi"/>
          <w:lang w:val="sr-Cyrl-CS"/>
        </w:rPr>
        <w:t>тако да су подаци о програмским циљевима</w:t>
      </w:r>
      <w:r>
        <w:rPr>
          <w:rFonts w:asciiTheme="minorHAnsi" w:hAnsiTheme="minorHAnsi"/>
          <w:lang w:val="sr-Latn-CS"/>
        </w:rPr>
        <w:t xml:space="preserve">, </w:t>
      </w:r>
      <w:r>
        <w:rPr>
          <w:rFonts w:asciiTheme="minorHAnsi" w:hAnsiTheme="minorHAnsi"/>
          <w:lang w:val="sr-Cyrl-CS"/>
        </w:rPr>
        <w:t xml:space="preserve">корисницима, изворима финансирања, члановима, па чак и за она која се издвајају као активна преобимни. </w:t>
      </w:r>
      <w:r>
        <w:rPr>
          <w:rFonts w:asciiTheme="minorHAnsi" w:hAnsiTheme="minorHAnsi"/>
          <w:lang w:val="sr-Latn-RS" w:eastAsia="sr-Latn-CS"/>
        </w:rPr>
        <w:t>На подручју града Бање Луке цивилн</w:t>
      </w:r>
      <w:r>
        <w:rPr>
          <w:rFonts w:asciiTheme="minorHAnsi" w:hAnsiTheme="minorHAnsi"/>
          <w:lang w:val="sr-Cyrl-CS" w:eastAsia="sr-Latn-CS"/>
        </w:rPr>
        <w:t xml:space="preserve">и сектор </w:t>
      </w:r>
      <w:r>
        <w:rPr>
          <w:rFonts w:asciiTheme="minorHAnsi" w:hAnsiTheme="minorHAnsi"/>
          <w:lang w:val="sr-Latn-RS" w:eastAsia="sr-Latn-CS"/>
        </w:rPr>
        <w:t xml:space="preserve"> је остварио значајан ниво развоја у оквиру којег </w:t>
      </w:r>
      <w:r>
        <w:rPr>
          <w:rFonts w:asciiTheme="minorHAnsi" w:hAnsiTheme="minorHAnsi"/>
          <w:lang w:val="sr-Cyrl-CS" w:eastAsia="sr-Latn-CS"/>
        </w:rPr>
        <w:t xml:space="preserve">се издвојио дио </w:t>
      </w:r>
      <w:r>
        <w:rPr>
          <w:rFonts w:asciiTheme="minorHAnsi" w:hAnsiTheme="minorHAnsi"/>
          <w:lang w:val="sr-Latn-RS" w:eastAsia="sr-Latn-CS"/>
        </w:rPr>
        <w:t>удружења која су својим радом и активностима значајно утицала на задовољавање потреба и квалитет живота грађана, те се могу посматрати као партнери Града и градских јавних установа у сервисирању потреба грађана на локалном нивоу.</w:t>
      </w:r>
      <w:r>
        <w:rPr>
          <w:rFonts w:asciiTheme="minorHAnsi" w:hAnsiTheme="minorHAnsi"/>
          <w:lang w:val="sr-Cyrl-BA"/>
        </w:rPr>
        <w:t xml:space="preserve"> Нека удружења пружају услуге дневног збрињавања, друга се баве савјетодавним радом, заступањем, хуманитарним радом и др.  Удружење ,,Викторија“ Бања Лука, Удружење „ЗАЈЕДНО“ – Удружење за помоћ породицама и заједници у менталном здраљу, и др. </w:t>
      </w:r>
    </w:p>
    <w:p>
      <w:pPr>
        <w:jc w:val="both"/>
        <w:rPr>
          <w:rFonts w:asciiTheme="minorHAnsi" w:hAnsiTheme="minorHAnsi"/>
          <w:lang w:val="sr-Cyrl-BA"/>
        </w:rPr>
      </w:pPr>
    </w:p>
    <w:p>
      <w:pPr>
        <w:pBdr>
          <w:top w:val="single" w:color="auto" w:sz="4" w:space="1"/>
          <w:bottom w:val="single" w:color="auto" w:sz="4" w:space="1"/>
        </w:pBdr>
        <w:shd w:val="clear" w:color="auto" w:fill="C5E0B3" w:themeFill="accent6" w:themeFillTint="66"/>
        <w:jc w:val="both"/>
        <w:rPr>
          <w:rFonts w:asciiTheme="minorHAnsi" w:hAnsiTheme="minorHAnsi" w:cstheme="minorHAnsi"/>
          <w:lang w:val="sr-Cyrl-CS"/>
        </w:rPr>
      </w:pPr>
      <w:r>
        <w:rPr>
          <w:rFonts w:asciiTheme="minorHAnsi" w:hAnsiTheme="minorHAnsi" w:cstheme="minorHAnsi"/>
          <w:i/>
          <w:lang w:val="sr-Cyrl-CS"/>
        </w:rPr>
        <w:t>Град Бања Лука и Министарство здравља и социјалне заштите РС су, у оквиру пројекта ''Јачање здравственог сектора-додатно финансирање'' (</w:t>
      </w:r>
      <w:r>
        <w:rPr>
          <w:rFonts w:asciiTheme="minorHAnsi" w:hAnsiTheme="minorHAnsi" w:cstheme="minorHAnsi"/>
          <w:i/>
        </w:rPr>
        <w:t>HSEP</w:t>
      </w:r>
      <w:r>
        <w:rPr>
          <w:rFonts w:asciiTheme="minorHAnsi" w:hAnsiTheme="minorHAnsi" w:cstheme="minorHAnsi"/>
          <w:i/>
          <w:lang w:val="sr-Cyrl-CS"/>
        </w:rPr>
        <w:t>-</w:t>
      </w:r>
      <w:r>
        <w:rPr>
          <w:rFonts w:asciiTheme="minorHAnsi" w:hAnsiTheme="minorHAnsi" w:cstheme="minorHAnsi"/>
          <w:i/>
        </w:rPr>
        <w:t>AF</w:t>
      </w:r>
      <w:r>
        <w:rPr>
          <w:rFonts w:asciiTheme="minorHAnsi" w:hAnsiTheme="minorHAnsi" w:cstheme="minorHAnsi"/>
          <w:i/>
          <w:lang w:val="sr-Cyrl-CS"/>
        </w:rPr>
        <w:t>) који се односи на финансирање изградње објеката амбуланти породичне медицине ЈЗУ ''Дом здравља'' у Бања Луци, изградили осам</w:t>
      </w:r>
      <w:r>
        <w:rPr>
          <w:rFonts w:asciiTheme="minorHAnsi" w:hAnsiTheme="minorHAnsi" w:cstheme="minorHAnsi"/>
          <w:i/>
          <w:lang w:val="sr-Latn-RS"/>
        </w:rPr>
        <w:t xml:space="preserve"> објеката амбуланти</w:t>
      </w:r>
      <w:r>
        <w:rPr>
          <w:rFonts w:asciiTheme="minorHAnsi" w:hAnsiTheme="minorHAnsi" w:cstheme="minorHAnsi"/>
          <w:i/>
          <w:lang w:val="sr-Cyrl-CS"/>
        </w:rPr>
        <w:t xml:space="preserve"> породичне медицине, санирали три </w:t>
      </w:r>
      <w:r>
        <w:rPr>
          <w:rFonts w:asciiTheme="minorHAnsi" w:hAnsiTheme="minorHAnsi" w:cstheme="minorHAnsi"/>
          <w:i/>
          <w:lang w:val="sr-Latn-RS"/>
        </w:rPr>
        <w:t>амбулант</w:t>
      </w:r>
      <w:r>
        <w:rPr>
          <w:rFonts w:asciiTheme="minorHAnsi" w:hAnsiTheme="minorHAnsi" w:cstheme="minorHAnsi"/>
          <w:i/>
          <w:lang w:val="sr-Cyrl-CS"/>
        </w:rPr>
        <w:t>е</w:t>
      </w:r>
      <w:r>
        <w:rPr>
          <w:rFonts w:asciiTheme="minorHAnsi" w:hAnsiTheme="minorHAnsi" w:cstheme="minorHAnsi"/>
          <w:i/>
          <w:lang w:val="sr-Latn-RS"/>
        </w:rPr>
        <w:t xml:space="preserve"> </w:t>
      </w:r>
      <w:r>
        <w:rPr>
          <w:rFonts w:asciiTheme="minorHAnsi" w:hAnsiTheme="minorHAnsi" w:cstheme="minorHAnsi"/>
          <w:i/>
          <w:lang w:val="sr-Cyrl-CS"/>
        </w:rPr>
        <w:t>на територији града Бање Луке и дјеломично санирали  објекат Поликлинике.</w:t>
      </w:r>
    </w:p>
    <w:p>
      <w:pPr>
        <w:jc w:val="both"/>
        <w:rPr>
          <w:lang w:val="sr-Cyrl-RS"/>
        </w:rPr>
      </w:pPr>
    </w:p>
    <w:p>
      <w:pPr>
        <w:jc w:val="both"/>
        <w:rPr>
          <w:b/>
          <w:i/>
          <w:color w:val="000000"/>
          <w:lang w:val="sr-Cyrl-RS"/>
        </w:rPr>
      </w:pPr>
      <w:r>
        <w:rPr>
          <w:b/>
          <w:i/>
          <w:color w:val="000000"/>
          <w:lang w:val="sr-Cyrl-RS"/>
        </w:rPr>
        <w:t>Финансирање</w:t>
      </w:r>
    </w:p>
    <w:p>
      <w:pPr>
        <w:spacing w:before="120" w:after="120"/>
        <w:ind w:hanging="36"/>
        <w:jc w:val="both"/>
        <w:rPr>
          <w:rFonts w:eastAsia="Times New Roman" w:asciiTheme="minorHAnsi" w:hAnsiTheme="minorHAnsi" w:cstheme="minorHAnsi"/>
          <w:bCs/>
          <w:lang w:val="sr-Cyrl-CS" w:eastAsia="zh-CN"/>
        </w:rPr>
      </w:pPr>
      <w:r>
        <w:rPr>
          <w:rFonts w:asciiTheme="minorHAnsi" w:hAnsiTheme="minorHAnsi" w:cstheme="minorHAnsi"/>
          <w:lang w:val="sr-Cyrl-CS"/>
        </w:rPr>
        <w:t>П</w:t>
      </w:r>
      <w:r>
        <w:rPr>
          <w:rFonts w:asciiTheme="minorHAnsi" w:hAnsiTheme="minorHAnsi" w:cstheme="minorHAnsi"/>
        </w:rPr>
        <w:t>риходи од Фонда здравственог осигурања Републике Српске</w:t>
      </w:r>
      <w:r>
        <w:rPr>
          <w:rFonts w:asciiTheme="minorHAnsi" w:hAnsiTheme="minorHAnsi" w:cstheme="minorHAnsi"/>
          <w:lang w:val="sr-Cyrl-CS"/>
        </w:rPr>
        <w:t xml:space="preserve">, у </w:t>
      </w:r>
      <w:r>
        <w:rPr>
          <w:rFonts w:asciiTheme="minorHAnsi" w:hAnsiTheme="minorHAnsi" w:cstheme="minorHAnsi"/>
        </w:rPr>
        <w:t>укупно оствареним приходима</w:t>
      </w:r>
      <w:r>
        <w:rPr>
          <w:rFonts w:asciiTheme="minorHAnsi" w:hAnsiTheme="minorHAnsi" w:cstheme="minorHAnsi"/>
          <w:lang w:val="sr-Cyrl-CS"/>
        </w:rPr>
        <w:t xml:space="preserve"> Дома здравља</w:t>
      </w:r>
      <w:r>
        <w:rPr>
          <w:rFonts w:asciiTheme="minorHAnsi" w:hAnsiTheme="minorHAnsi" w:cstheme="minorHAnsi"/>
        </w:rPr>
        <w:t>, заједно са приходима од Фонда здравственог осигурања Брчко</w:t>
      </w:r>
      <w:r>
        <w:rPr>
          <w:rFonts w:asciiTheme="minorHAnsi" w:hAnsiTheme="minorHAnsi" w:cstheme="minorHAnsi"/>
          <w:lang w:val="sr-Cyrl-CS"/>
        </w:rPr>
        <w:t xml:space="preserve"> Дистрикта БиХ,</w:t>
      </w:r>
      <w:r>
        <w:rPr>
          <w:rFonts w:asciiTheme="minorHAnsi" w:hAnsiTheme="minorHAnsi" w:cstheme="minorHAnsi"/>
        </w:rPr>
        <w:t xml:space="preserve"> учествују са </w:t>
      </w:r>
      <w:r>
        <w:rPr>
          <w:rFonts w:asciiTheme="minorHAnsi" w:hAnsiTheme="minorHAnsi" w:cstheme="minorHAnsi"/>
          <w:i/>
        </w:rPr>
        <w:t xml:space="preserve"> 8</w:t>
      </w:r>
      <w:r>
        <w:rPr>
          <w:rFonts w:asciiTheme="minorHAnsi" w:hAnsiTheme="minorHAnsi" w:cstheme="minorHAnsi"/>
          <w:i/>
          <w:lang w:val="sr-Cyrl-CS"/>
        </w:rPr>
        <w:t>2</w:t>
      </w:r>
      <w:r>
        <w:rPr>
          <w:rFonts w:asciiTheme="minorHAnsi" w:hAnsiTheme="minorHAnsi" w:cstheme="minorHAnsi"/>
          <w:i/>
        </w:rPr>
        <w:t>,</w:t>
      </w:r>
      <w:r>
        <w:rPr>
          <w:rFonts w:asciiTheme="minorHAnsi" w:hAnsiTheme="minorHAnsi" w:cstheme="minorHAnsi"/>
          <w:i/>
          <w:lang w:val="sr-Cyrl-CS"/>
        </w:rPr>
        <w:t>05</w:t>
      </w:r>
      <w:r>
        <w:rPr>
          <w:rFonts w:asciiTheme="minorHAnsi" w:hAnsiTheme="minorHAnsi" w:cstheme="minorHAnsi"/>
          <w:i/>
        </w:rPr>
        <w:t xml:space="preserve"> %</w:t>
      </w:r>
      <w:r>
        <w:rPr>
          <w:rFonts w:asciiTheme="minorHAnsi" w:hAnsiTheme="minorHAnsi" w:cstheme="minorHAnsi"/>
          <w:i/>
          <w:lang w:val="sr-Cyrl-CS"/>
        </w:rPr>
        <w:t xml:space="preserve">. </w:t>
      </w:r>
      <w:r>
        <w:rPr>
          <w:rFonts w:asciiTheme="minorHAnsi" w:hAnsiTheme="minorHAnsi" w:cstheme="minorHAnsi"/>
          <w:spacing w:val="10"/>
          <w:lang w:val="ru-RU"/>
        </w:rPr>
        <w:t xml:space="preserve">Приходи од партиципације осигураних лица у </w:t>
      </w:r>
      <w:r>
        <w:rPr>
          <w:rFonts w:asciiTheme="minorHAnsi" w:hAnsiTheme="minorHAnsi" w:cstheme="minorHAnsi"/>
        </w:rPr>
        <w:t xml:space="preserve">укупним приходима </w:t>
      </w:r>
      <w:r>
        <w:rPr>
          <w:rFonts w:asciiTheme="minorHAnsi" w:hAnsiTheme="minorHAnsi" w:cstheme="minorHAnsi"/>
          <w:lang w:val="sr-Cyrl-CS"/>
        </w:rPr>
        <w:t xml:space="preserve">Установе </w:t>
      </w:r>
      <w:r>
        <w:rPr>
          <w:rFonts w:asciiTheme="minorHAnsi" w:hAnsiTheme="minorHAnsi" w:cstheme="minorHAnsi"/>
        </w:rPr>
        <w:t xml:space="preserve">учествују </w:t>
      </w:r>
      <w:r>
        <w:rPr>
          <w:rFonts w:asciiTheme="minorHAnsi" w:hAnsiTheme="minorHAnsi" w:cstheme="minorHAnsi"/>
          <w:lang w:val="sr-Cyrl-CS"/>
        </w:rPr>
        <w:t xml:space="preserve"> </w:t>
      </w:r>
      <w:r>
        <w:rPr>
          <w:rFonts w:asciiTheme="minorHAnsi" w:hAnsiTheme="minorHAnsi" w:cstheme="minorHAnsi"/>
        </w:rPr>
        <w:t xml:space="preserve">са </w:t>
      </w:r>
      <w:r>
        <w:rPr>
          <w:rFonts w:asciiTheme="minorHAnsi" w:hAnsiTheme="minorHAnsi" w:cstheme="minorHAnsi"/>
          <w:i/>
          <w:spacing w:val="10"/>
          <w:lang w:val="ru-RU"/>
        </w:rPr>
        <w:t>4,</w:t>
      </w:r>
      <w:r>
        <w:rPr>
          <w:rFonts w:asciiTheme="minorHAnsi" w:hAnsiTheme="minorHAnsi" w:cstheme="minorHAnsi"/>
          <w:i/>
          <w:spacing w:val="10"/>
          <w:lang w:val="sr-Cyrl-CS"/>
        </w:rPr>
        <w:t>83</w:t>
      </w:r>
      <w:r>
        <w:rPr>
          <w:rFonts w:asciiTheme="minorHAnsi" w:hAnsiTheme="minorHAnsi" w:cstheme="minorHAnsi"/>
          <w:i/>
          <w:spacing w:val="10"/>
          <w:lang w:val="ru-RU"/>
        </w:rPr>
        <w:t xml:space="preserve">%, </w:t>
      </w:r>
      <w:r>
        <w:rPr>
          <w:rFonts w:asciiTheme="minorHAnsi" w:hAnsiTheme="minorHAnsi" w:cstheme="minorHAnsi"/>
          <w:spacing w:val="10"/>
          <w:lang w:val="ru-RU"/>
        </w:rPr>
        <w:t xml:space="preserve">а партиципирање прихода по другим основама је приказано у </w:t>
      </w:r>
      <w:r>
        <w:rPr>
          <w:rFonts w:asciiTheme="minorHAnsi" w:hAnsiTheme="minorHAnsi" w:cstheme="minorHAnsi"/>
          <w:i/>
          <w:spacing w:val="10"/>
          <w:lang w:val="ru-RU"/>
        </w:rPr>
        <w:t xml:space="preserve"> </w:t>
      </w:r>
      <w:r>
        <w:rPr>
          <w:rFonts w:asciiTheme="minorHAnsi" w:hAnsiTheme="minorHAnsi" w:cstheme="minorHAnsi"/>
          <w:spacing w:val="10"/>
          <w:lang w:val="ru-RU"/>
        </w:rPr>
        <w:t xml:space="preserve">достављеном Извјештају о раду Дома здравља у Бања Луци за 2016. годину. </w:t>
      </w:r>
      <w:r>
        <w:rPr>
          <w:rFonts w:eastAsia="Times New Roman" w:asciiTheme="minorHAnsi" w:hAnsiTheme="minorHAnsi" w:cstheme="minorHAnsi"/>
          <w:lang w:val="sv-SE" w:eastAsia="zh-CN"/>
        </w:rPr>
        <w:t>Приход</w:t>
      </w:r>
      <w:r>
        <w:rPr>
          <w:rFonts w:eastAsia="Times New Roman" w:asciiTheme="minorHAnsi" w:hAnsiTheme="minorHAnsi" w:cstheme="minorHAnsi"/>
          <w:lang w:val="sr-Cyrl-CS" w:eastAsia="zh-CN"/>
        </w:rPr>
        <w:t>и</w:t>
      </w:r>
      <w:r>
        <w:rPr>
          <w:rFonts w:eastAsia="Times New Roman" w:asciiTheme="minorHAnsi" w:hAnsiTheme="minorHAnsi" w:cstheme="minorHAnsi"/>
          <w:lang w:val="sv-SE" w:eastAsia="zh-CN"/>
        </w:rPr>
        <w:t xml:space="preserve"> </w:t>
      </w:r>
      <w:r>
        <w:rPr>
          <w:rFonts w:eastAsia="Times New Roman" w:asciiTheme="minorHAnsi" w:hAnsiTheme="minorHAnsi" w:cstheme="minorHAnsi"/>
          <w:lang w:val="sr-Cyrl-CS" w:eastAsia="zh-CN"/>
        </w:rPr>
        <w:t xml:space="preserve">Дома здравља </w:t>
      </w:r>
      <w:r>
        <w:rPr>
          <w:rFonts w:eastAsia="Times New Roman" w:asciiTheme="minorHAnsi" w:hAnsiTheme="minorHAnsi" w:cstheme="minorHAnsi"/>
          <w:lang w:val="sv-SE" w:eastAsia="zh-CN"/>
        </w:rPr>
        <w:t xml:space="preserve">из </w:t>
      </w:r>
      <w:r>
        <w:rPr>
          <w:rFonts w:eastAsia="Times New Roman" w:asciiTheme="minorHAnsi" w:hAnsiTheme="minorHAnsi" w:cstheme="minorHAnsi"/>
          <w:lang w:val="sr-Cyrl-RS" w:eastAsia="zh-CN"/>
        </w:rPr>
        <w:t>б</w:t>
      </w:r>
      <w:r>
        <w:rPr>
          <w:rFonts w:eastAsia="Times New Roman" w:asciiTheme="minorHAnsi" w:hAnsiTheme="minorHAnsi" w:cstheme="minorHAnsi"/>
          <w:lang w:val="sv-SE" w:eastAsia="zh-CN"/>
        </w:rPr>
        <w:t xml:space="preserve">уџета Града Бања Лука </w:t>
      </w:r>
      <w:r>
        <w:rPr>
          <w:rFonts w:eastAsia="Times New Roman" w:asciiTheme="minorHAnsi" w:hAnsiTheme="minorHAnsi" w:cstheme="minorHAnsi"/>
          <w:lang w:val="sr-Cyrl-CS" w:eastAsia="zh-CN"/>
        </w:rPr>
        <w:t xml:space="preserve">у укупно оствареним приходима Установе, у 2016. години су били </w:t>
      </w:r>
      <w:r>
        <w:rPr>
          <w:rFonts w:eastAsia="Times New Roman" w:asciiTheme="minorHAnsi" w:hAnsiTheme="minorHAnsi" w:cstheme="minorHAnsi"/>
          <w:bCs/>
          <w:lang w:val="sr-Cyrl-CS" w:eastAsia="zh-CN"/>
        </w:rPr>
        <w:t>1,03% и углавном се крећу у том износу, осим када се издвајају средства за изградњу објеката за потребе Дома здравља.</w:t>
      </w:r>
    </w:p>
    <w:p>
      <w:pPr>
        <w:rPr>
          <w:rFonts w:asciiTheme="minorHAnsi" w:hAnsiTheme="minorHAnsi" w:cstheme="minorHAnsi"/>
          <w:i/>
          <w:lang w:val="sr-Latn-RS"/>
        </w:rPr>
      </w:pPr>
      <w:r>
        <w:rPr>
          <w:lang w:val="sr-Latn-CS" w:eastAsia="sr-Latn-CS"/>
        </w:rPr>
        <w:drawing>
          <wp:inline distT="0" distB="0" distL="0" distR="0">
            <wp:extent cx="5942965" cy="3267710"/>
            <wp:effectExtent l="0" t="0" r="635" b="8890"/>
            <wp:docPr id="54" name="Picture 54" title="Фонд здравственог осигура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title="Фонд здравственог осигурањ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64329" cy="3279558"/>
                    </a:xfrm>
                    <a:prstGeom prst="rect">
                      <a:avLst/>
                    </a:prstGeom>
                    <a:noFill/>
                    <a:ln>
                      <a:noFill/>
                    </a:ln>
                  </pic:spPr>
                </pic:pic>
              </a:graphicData>
            </a:graphic>
          </wp:inline>
        </w:drawing>
      </w:r>
    </w:p>
    <w:p>
      <w:pPr>
        <w:rPr>
          <w:rFonts w:asciiTheme="minorHAnsi" w:hAnsiTheme="minorHAnsi" w:cstheme="minorHAnsi"/>
          <w:i/>
          <w:sz w:val="18"/>
          <w:szCs w:val="18"/>
          <w:lang w:val="sr-Cyrl-RS"/>
        </w:rPr>
      </w:pPr>
      <w:r>
        <w:rPr>
          <w:rFonts w:asciiTheme="minorHAnsi" w:hAnsiTheme="minorHAnsi" w:cstheme="minorHAnsi"/>
          <w:i/>
          <w:lang w:val="sr-Latn-RS"/>
        </w:rPr>
        <w:t xml:space="preserve">  </w:t>
      </w:r>
      <w:r>
        <w:rPr>
          <w:rFonts w:asciiTheme="minorHAnsi" w:hAnsiTheme="minorHAnsi" w:cstheme="minorHAnsi"/>
          <w:i/>
          <w:sz w:val="18"/>
          <w:szCs w:val="18"/>
          <w:lang w:val="sr-Cyrl-RS"/>
        </w:rPr>
        <w:t xml:space="preserve">Извор: Годишњи извјештаји ЈЗУ ДЗ </w:t>
      </w:r>
    </w:p>
    <w:p>
      <w:pPr>
        <w:rPr>
          <w:rFonts w:asciiTheme="minorHAnsi" w:hAnsiTheme="minorHAnsi" w:cstheme="minorHAnsi"/>
          <w:i/>
          <w:lang w:val="sr-Latn-RS"/>
        </w:rPr>
      </w:pPr>
    </w:p>
    <w:p>
      <w:pPr>
        <w:rPr>
          <w:rFonts w:asciiTheme="minorHAnsi" w:hAnsiTheme="minorHAnsi" w:cstheme="minorHAnsi"/>
          <w:i/>
          <w:lang w:val="sr-Latn-RS"/>
        </w:rPr>
      </w:pPr>
    </w:p>
    <w:tbl>
      <w:tblPr>
        <w:tblStyle w:val="37"/>
        <w:tblW w:w="9245" w:type="dxa"/>
        <w:tblInd w:w="11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24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c>
          <w:tcPr>
            <w:tcW w:w="9245" w:type="dxa"/>
            <w:shd w:val="clear" w:color="auto" w:fill="C5E0B3" w:themeFill="accent6" w:themeFillTint="66"/>
          </w:tcPr>
          <w:p>
            <w:pPr>
              <w:tabs>
                <w:tab w:val="left" w:pos="2835"/>
              </w:tabs>
              <w:spacing w:before="120" w:line="276" w:lineRule="auto"/>
              <w:contextualSpacing/>
              <w:jc w:val="both"/>
              <w:rPr>
                <w:rFonts w:eastAsia="Times New Roman" w:asciiTheme="minorHAnsi" w:hAnsiTheme="minorHAnsi" w:cstheme="minorHAnsi"/>
                <w:i/>
                <w:lang w:val="sr-Cyrl-CS"/>
              </w:rPr>
            </w:pPr>
            <w:r>
              <w:rPr>
                <w:rFonts w:asciiTheme="minorHAnsi" w:hAnsiTheme="minorHAnsi" w:cstheme="minorHAnsi"/>
                <w:i/>
                <w:lang w:val="sr-Latn-RS"/>
              </w:rPr>
              <w:t>У</w:t>
            </w:r>
            <w:r>
              <w:rPr>
                <w:rFonts w:asciiTheme="minorHAnsi" w:hAnsiTheme="minorHAnsi" w:cstheme="minorHAnsi"/>
                <w:i/>
                <w:lang w:val="ru-RU"/>
              </w:rPr>
              <w:t xml:space="preserve"> </w:t>
            </w:r>
            <w:r>
              <w:rPr>
                <w:rFonts w:eastAsia="Times New Roman" w:asciiTheme="minorHAnsi" w:hAnsiTheme="minorHAnsi" w:cstheme="minorHAnsi"/>
                <w:i/>
                <w:lang w:val="sr-Latn-RS" w:eastAsia="sr-Latn-RS"/>
              </w:rPr>
              <w:t xml:space="preserve"> посљедњих десетак година град Бања Лука је </w:t>
            </w:r>
            <w:r>
              <w:rPr>
                <w:rFonts w:eastAsia="Times New Roman" w:asciiTheme="minorHAnsi" w:hAnsiTheme="minorHAnsi" w:cstheme="minorHAnsi"/>
                <w:i/>
                <w:lang w:val="sr-Cyrl-CS"/>
              </w:rPr>
              <w:t xml:space="preserve">у партнерству са Министарством здравља и социјалне заштите РС и </w:t>
            </w:r>
            <w:r>
              <w:rPr>
                <w:rFonts w:eastAsia="Times New Roman" w:asciiTheme="minorHAnsi" w:hAnsiTheme="minorHAnsi" w:cstheme="minorHAnsi"/>
                <w:b/>
                <w:i/>
                <w:lang w:val="sr-Cyrl-CS"/>
              </w:rPr>
              <w:t>„</w:t>
            </w:r>
            <w:r>
              <w:rPr>
                <w:rFonts w:eastAsia="Times New Roman" w:asciiTheme="minorHAnsi" w:hAnsiTheme="minorHAnsi" w:cstheme="minorHAnsi"/>
                <w:i/>
                <w:lang w:val="sr-Cyrl-CS"/>
              </w:rPr>
              <w:t xml:space="preserve">Домом здравља'', </w:t>
            </w:r>
            <w:r>
              <w:rPr>
                <w:rFonts w:eastAsia="Times New Roman" w:asciiTheme="minorHAnsi" w:hAnsiTheme="minorHAnsi" w:cstheme="minorHAnsi"/>
                <w:i/>
                <w:lang w:val="sr-Latn-RS" w:eastAsia="sr-Latn-RS"/>
              </w:rPr>
              <w:t xml:space="preserve">интензивно радио на </w:t>
            </w:r>
            <w:r>
              <w:rPr>
                <w:rFonts w:eastAsia="Times New Roman" w:asciiTheme="minorHAnsi" w:hAnsiTheme="minorHAnsi" w:cstheme="minorHAnsi"/>
                <w:i/>
                <w:lang w:val="sr-Cyrl-CS" w:eastAsia="sr-Latn-RS"/>
              </w:rPr>
              <w:t xml:space="preserve">санацији, </w:t>
            </w:r>
            <w:r>
              <w:rPr>
                <w:rFonts w:eastAsia="Times New Roman" w:asciiTheme="minorHAnsi" w:hAnsiTheme="minorHAnsi" w:cstheme="minorHAnsi"/>
                <w:i/>
                <w:lang w:val="sr-Latn-RS" w:eastAsia="sr-Latn-RS"/>
              </w:rPr>
              <w:t>изградњи</w:t>
            </w:r>
            <w:r>
              <w:rPr>
                <w:rFonts w:eastAsia="Times New Roman" w:asciiTheme="minorHAnsi" w:hAnsiTheme="minorHAnsi" w:cstheme="minorHAnsi"/>
                <w:i/>
                <w:lang w:val="sr-Cyrl-CS" w:eastAsia="sr-Latn-RS"/>
              </w:rPr>
              <w:t>,</w:t>
            </w:r>
            <w:r>
              <w:rPr>
                <w:rFonts w:eastAsia="Times New Roman" w:asciiTheme="minorHAnsi" w:hAnsiTheme="minorHAnsi" w:cstheme="minorHAnsi"/>
                <w:i/>
                <w:lang w:val="sr-Latn-RS" w:eastAsia="sr-Latn-RS"/>
              </w:rPr>
              <w:t xml:space="preserve"> реконструкцији </w:t>
            </w:r>
            <w:r>
              <w:rPr>
                <w:rFonts w:eastAsia="Times New Roman" w:asciiTheme="minorHAnsi" w:hAnsiTheme="minorHAnsi" w:cstheme="minorHAnsi"/>
                <w:i/>
                <w:lang w:val="sr-Cyrl-CS" w:eastAsia="sr-Latn-RS"/>
              </w:rPr>
              <w:t xml:space="preserve">и опремању </w:t>
            </w:r>
            <w:r>
              <w:rPr>
                <w:rFonts w:eastAsia="Times New Roman" w:asciiTheme="minorHAnsi" w:hAnsiTheme="minorHAnsi" w:cstheme="minorHAnsi"/>
                <w:bCs/>
                <w:i/>
                <w:lang w:val="ru-RU"/>
              </w:rPr>
              <w:t xml:space="preserve">објеката Дома здравља у којима се обављају услуге примарне здравствене заштите, првенствено </w:t>
            </w:r>
            <w:r>
              <w:rPr>
                <w:rFonts w:eastAsia="Times New Roman" w:asciiTheme="minorHAnsi" w:hAnsiTheme="minorHAnsi" w:cstheme="minorHAnsi"/>
                <w:i/>
                <w:lang w:val="sr-Latn-RS" w:eastAsia="sr-Latn-RS"/>
              </w:rPr>
              <w:t xml:space="preserve">амбуланти </w:t>
            </w:r>
            <w:r>
              <w:rPr>
                <w:rFonts w:eastAsia="Calibri,Italic" w:asciiTheme="minorHAnsi" w:hAnsiTheme="minorHAnsi" w:cstheme="minorHAnsi"/>
                <w:i/>
                <w:iCs/>
                <w:lang w:val="sr-Cyrl-CS"/>
              </w:rPr>
              <w:t>породичне медицине,</w:t>
            </w:r>
            <w:r>
              <w:rPr>
                <w:rFonts w:eastAsia="Times New Roman" w:asciiTheme="minorHAnsi" w:hAnsiTheme="minorHAnsi" w:cstheme="minorHAnsi"/>
                <w:i/>
                <w:lang w:val="sr-Latn-RS" w:eastAsia="sr-Latn-RS"/>
              </w:rPr>
              <w:t xml:space="preserve"> са циљем да здравствена заштита буде доступна што већем броју грађана. </w:t>
            </w:r>
          </w:p>
          <w:p>
            <w:pPr>
              <w:tabs>
                <w:tab w:val="left" w:pos="2835"/>
              </w:tabs>
              <w:spacing w:before="120" w:line="276" w:lineRule="auto"/>
              <w:contextualSpacing/>
              <w:jc w:val="both"/>
              <w:rPr>
                <w:rFonts w:asciiTheme="minorHAnsi" w:hAnsiTheme="minorHAnsi" w:cstheme="minorHAnsi"/>
                <w:i/>
                <w:lang w:val="sr-Cyrl-CS"/>
              </w:rPr>
            </w:pPr>
            <w:r>
              <w:rPr>
                <w:rFonts w:asciiTheme="minorHAnsi" w:hAnsiTheme="minorHAnsi" w:cstheme="minorHAnsi"/>
                <w:i/>
                <w:lang w:val="sr-Cyrl-CS"/>
              </w:rPr>
              <w:t xml:space="preserve">Реализацијом предложеног Плана мреже амбуланти породичне медицине, </w:t>
            </w:r>
            <w:r>
              <w:rPr>
                <w:rFonts w:asciiTheme="minorHAnsi" w:hAnsiTheme="minorHAnsi" w:cstheme="minorHAnsi"/>
                <w:i/>
                <w:lang w:val="sr-Latn-RS"/>
              </w:rPr>
              <w:t>здравствен</w:t>
            </w:r>
            <w:r>
              <w:rPr>
                <w:rFonts w:asciiTheme="minorHAnsi" w:hAnsiTheme="minorHAnsi" w:cstheme="minorHAnsi"/>
                <w:i/>
                <w:lang w:val="sr-Cyrl-CS"/>
              </w:rPr>
              <w:t xml:space="preserve">е установе би </w:t>
            </w:r>
            <w:r>
              <w:rPr>
                <w:rFonts w:asciiTheme="minorHAnsi" w:hAnsiTheme="minorHAnsi" w:cstheme="minorHAnsi"/>
                <w:i/>
                <w:lang w:val="sr-Latn-RS"/>
              </w:rPr>
              <w:t>би</w:t>
            </w:r>
            <w:r>
              <w:rPr>
                <w:rFonts w:asciiTheme="minorHAnsi" w:hAnsiTheme="minorHAnsi" w:cstheme="minorHAnsi"/>
                <w:i/>
                <w:lang w:val="sr-Cyrl-CS"/>
              </w:rPr>
              <w:t xml:space="preserve">ле </w:t>
            </w:r>
            <w:r>
              <w:rPr>
                <w:rFonts w:eastAsia="Times New Roman" w:asciiTheme="minorHAnsi" w:hAnsiTheme="minorHAnsi" w:cstheme="minorHAnsi"/>
                <w:bCs/>
                <w:i/>
                <w:lang w:val="ru-RU"/>
              </w:rPr>
              <w:t>равномјерно</w:t>
            </w:r>
            <w:r>
              <w:rPr>
                <w:rFonts w:asciiTheme="minorHAnsi" w:hAnsiTheme="minorHAnsi" w:cstheme="minorHAnsi"/>
                <w:i/>
                <w:lang w:val="sr-Cyrl-CS"/>
              </w:rPr>
              <w:t xml:space="preserve"> распоређене и </w:t>
            </w:r>
            <w:r>
              <w:rPr>
                <w:rFonts w:asciiTheme="minorHAnsi" w:hAnsiTheme="minorHAnsi" w:cstheme="minorHAnsi"/>
                <w:i/>
                <w:lang w:val="sr-Latn-RS"/>
              </w:rPr>
              <w:t>здравствена заштита доступн</w:t>
            </w:r>
            <w:r>
              <w:rPr>
                <w:rFonts w:asciiTheme="minorHAnsi" w:hAnsiTheme="minorHAnsi" w:cstheme="minorHAnsi"/>
                <w:i/>
                <w:lang w:val="sr-Cyrl-CS"/>
              </w:rPr>
              <w:t>а</w:t>
            </w:r>
            <w:r>
              <w:rPr>
                <w:rFonts w:asciiTheme="minorHAnsi" w:hAnsiTheme="minorHAnsi" w:cstheme="minorHAnsi"/>
                <w:i/>
                <w:lang w:val="sr-Latn-RS"/>
              </w:rPr>
              <w:t xml:space="preserve"> грађан</w:t>
            </w:r>
            <w:r>
              <w:rPr>
                <w:rFonts w:asciiTheme="minorHAnsi" w:hAnsiTheme="minorHAnsi" w:cstheme="minorHAnsi"/>
                <w:i/>
                <w:lang w:val="sr-Cyrl-CS"/>
              </w:rPr>
              <w:t>им</w:t>
            </w:r>
            <w:r>
              <w:rPr>
                <w:rFonts w:asciiTheme="minorHAnsi" w:hAnsiTheme="minorHAnsi" w:cstheme="minorHAnsi"/>
                <w:i/>
                <w:lang w:val="sr-Latn-RS"/>
              </w:rPr>
              <w:t xml:space="preserve">а </w:t>
            </w:r>
            <w:r>
              <w:rPr>
                <w:rFonts w:asciiTheme="minorHAnsi" w:hAnsiTheme="minorHAnsi" w:cstheme="minorHAnsi"/>
                <w:bCs/>
                <w:i/>
                <w:lang w:val="sr-Latn-RS"/>
              </w:rPr>
              <w:t>н</w:t>
            </w:r>
            <w:r>
              <w:rPr>
                <w:rFonts w:asciiTheme="minorHAnsi" w:hAnsiTheme="minorHAnsi" w:cstheme="minorHAnsi"/>
                <w:i/>
                <w:lang w:val="sr-Latn-RS"/>
              </w:rPr>
              <w:t>а цијелој територији града Бањ</w:t>
            </w:r>
            <w:r>
              <w:rPr>
                <w:rFonts w:asciiTheme="minorHAnsi" w:hAnsiTheme="minorHAnsi" w:cstheme="minorHAnsi"/>
                <w:i/>
                <w:lang w:val="sr-Cyrl-CS"/>
              </w:rPr>
              <w:t>е</w:t>
            </w:r>
            <w:r>
              <w:rPr>
                <w:rFonts w:asciiTheme="minorHAnsi" w:hAnsiTheme="minorHAnsi" w:cstheme="minorHAnsi"/>
                <w:i/>
                <w:lang w:val="sr-Latn-RS"/>
              </w:rPr>
              <w:t xml:space="preserve"> Лук</w:t>
            </w:r>
            <w:r>
              <w:rPr>
                <w:rFonts w:asciiTheme="minorHAnsi" w:hAnsiTheme="minorHAnsi" w:cstheme="minorHAnsi"/>
                <w:i/>
                <w:lang w:val="sr-Cyrl-CS"/>
              </w:rPr>
              <w:t xml:space="preserve">е, а </w:t>
            </w:r>
            <w:r>
              <w:rPr>
                <w:rFonts w:asciiTheme="minorHAnsi" w:hAnsiTheme="minorHAnsi" w:cstheme="minorHAnsi"/>
                <w:i/>
                <w:lang w:val="sr-Latn-RS"/>
              </w:rPr>
              <w:t>План</w:t>
            </w:r>
            <w:r>
              <w:rPr>
                <w:rFonts w:asciiTheme="minorHAnsi" w:hAnsiTheme="minorHAnsi" w:cstheme="minorHAnsi"/>
                <w:i/>
                <w:lang w:val="sr-Cyrl-CS"/>
              </w:rPr>
              <w:t xml:space="preserve"> мреже амбуланти породичне медицине који је утврдила </w:t>
            </w:r>
            <w:r>
              <w:rPr>
                <w:rFonts w:asciiTheme="minorHAnsi" w:hAnsiTheme="minorHAnsi" w:cstheme="minorHAnsi"/>
                <w:i/>
                <w:lang w:val="sr-Latn-RS"/>
              </w:rPr>
              <w:t>Скупштина града Бања Лука</w:t>
            </w:r>
            <w:r>
              <w:rPr>
                <w:rFonts w:asciiTheme="minorHAnsi" w:hAnsiTheme="minorHAnsi" w:cstheme="minorHAnsi"/>
                <w:i/>
                <w:lang w:val="sr-Cyrl-CS"/>
              </w:rPr>
              <w:t xml:space="preserve">, </w:t>
            </w:r>
            <w:r>
              <w:rPr>
                <w:rFonts w:asciiTheme="minorHAnsi" w:hAnsiTheme="minorHAnsi" w:cstheme="minorHAnsi"/>
                <w:i/>
                <w:lang w:val="sr-Latn-RS"/>
              </w:rPr>
              <w:t>којим су предвиђен</w:t>
            </w:r>
            <w:r>
              <w:rPr>
                <w:rFonts w:asciiTheme="minorHAnsi" w:hAnsiTheme="minorHAnsi" w:cstheme="minorHAnsi"/>
                <w:i/>
                <w:lang w:val="sr-Cyrl-CS"/>
              </w:rPr>
              <w:t>е</w:t>
            </w:r>
            <w:r>
              <w:rPr>
                <w:rFonts w:asciiTheme="minorHAnsi" w:hAnsiTheme="minorHAnsi" w:cstheme="minorHAnsi"/>
                <w:i/>
                <w:lang w:val="sr-Latn-RS"/>
              </w:rPr>
              <w:t xml:space="preserve">  амбулант</w:t>
            </w:r>
            <w:r>
              <w:rPr>
                <w:rFonts w:asciiTheme="minorHAnsi" w:hAnsiTheme="minorHAnsi" w:cstheme="minorHAnsi"/>
                <w:i/>
                <w:lang w:val="sr-Cyrl-CS"/>
              </w:rPr>
              <w:t>е</w:t>
            </w:r>
            <w:r>
              <w:rPr>
                <w:rFonts w:asciiTheme="minorHAnsi" w:hAnsiTheme="minorHAnsi" w:cstheme="minorHAnsi"/>
                <w:i/>
                <w:lang w:val="sr-Latn-RS"/>
              </w:rPr>
              <w:t xml:space="preserve"> породичне медицине</w:t>
            </w:r>
            <w:r>
              <w:rPr>
                <w:rFonts w:asciiTheme="minorHAnsi" w:hAnsiTheme="minorHAnsi" w:cstheme="minorHAnsi"/>
                <w:i/>
                <w:lang w:val="sr-Cyrl-CS"/>
              </w:rPr>
              <w:t xml:space="preserve"> </w:t>
            </w:r>
            <w:r>
              <w:rPr>
                <w:rFonts w:asciiTheme="minorHAnsi" w:hAnsiTheme="minorHAnsi" w:cstheme="minorHAnsi"/>
                <w:i/>
                <w:lang w:val="sr-Latn-RS"/>
              </w:rPr>
              <w:t xml:space="preserve">у </w:t>
            </w:r>
            <w:r>
              <w:rPr>
                <w:rFonts w:asciiTheme="minorHAnsi" w:hAnsiTheme="minorHAnsi" w:cstheme="minorHAnsi"/>
                <w:bCs/>
                <w:i/>
                <w:iCs/>
                <w:lang w:val="sr-Latn-RS"/>
              </w:rPr>
              <w:t>38</w:t>
            </w:r>
            <w:r>
              <w:rPr>
                <w:rFonts w:asciiTheme="minorHAnsi" w:hAnsiTheme="minorHAnsi" w:cstheme="minorHAnsi"/>
                <w:i/>
                <w:lang w:val="sr-Latn-RS"/>
              </w:rPr>
              <w:t xml:space="preserve"> мјесних заједница, </w:t>
            </w:r>
            <w:r>
              <w:rPr>
                <w:rFonts w:asciiTheme="minorHAnsi" w:hAnsiTheme="minorHAnsi" w:cstheme="minorHAnsi"/>
                <w:i/>
                <w:lang w:val="sr-Cyrl-CS"/>
              </w:rPr>
              <w:t xml:space="preserve">био би </w:t>
            </w:r>
            <w:r>
              <w:rPr>
                <w:rFonts w:asciiTheme="minorHAnsi" w:hAnsiTheme="minorHAnsi" w:cstheme="minorHAnsi"/>
                <w:i/>
                <w:lang w:val="sr-Latn-RS"/>
              </w:rPr>
              <w:t xml:space="preserve">реализован </w:t>
            </w:r>
            <w:r>
              <w:rPr>
                <w:rFonts w:asciiTheme="minorHAnsi" w:hAnsiTheme="minorHAnsi" w:cstheme="minorHAnsi"/>
                <w:i/>
                <w:lang w:val="sr-Cyrl-CS"/>
              </w:rPr>
              <w:t xml:space="preserve">у потпуности. </w:t>
            </w:r>
            <w:r>
              <w:rPr>
                <w:rFonts w:eastAsia="Times New Roman" w:asciiTheme="minorHAnsi" w:hAnsiTheme="minorHAnsi" w:cstheme="minorHAnsi"/>
                <w:i/>
                <w:lang w:val="sr-Cyrl-CS"/>
              </w:rPr>
              <w:t xml:space="preserve">Интензивним грађевинским активностима, уз активно укључивање града Бања Лука и Министарства здравља и социјалне заштите Републике Српске, проблем просторних капацитета Установе значајно је умањен. </w:t>
            </w:r>
          </w:p>
        </w:tc>
      </w:tr>
    </w:tbl>
    <w:p>
      <w:pPr>
        <w:spacing w:after="160" w:line="259" w:lineRule="auto"/>
        <w:rPr>
          <w:rFonts w:asciiTheme="minorHAnsi" w:hAnsiTheme="minorHAnsi"/>
          <w:lang w:val="sr-Cyrl-BA"/>
        </w:rPr>
      </w:pPr>
    </w:p>
    <w:p>
      <w:pPr>
        <w:keepNext/>
        <w:keepLines/>
        <w:spacing w:after="120"/>
        <w:ind w:firstLine="720"/>
        <w:jc w:val="both"/>
        <w:outlineLvl w:val="3"/>
        <w:rPr>
          <w:rFonts w:eastAsia="Times New Roman" w:asciiTheme="minorHAnsi" w:hAnsiTheme="minorHAnsi" w:cstheme="minorHAnsi"/>
          <w:b/>
          <w:bCs/>
          <w:i/>
          <w:iCs/>
          <w:kern w:val="32"/>
          <w:lang w:val="sr-Latn-RS"/>
        </w:rPr>
      </w:pPr>
      <w:bookmarkStart w:id="52" w:name="_Toc508060564"/>
      <w:bookmarkStart w:id="53" w:name="_Toc523327473"/>
      <w:r>
        <w:rPr>
          <w:rFonts w:eastAsia="Times New Roman" w:asciiTheme="minorHAnsi" w:hAnsiTheme="minorHAnsi" w:cstheme="minorHAnsi"/>
          <w:b/>
          <w:bCs/>
          <w:i/>
          <w:iCs/>
          <w:kern w:val="32"/>
          <w:lang w:val="sr-Latn-RS"/>
        </w:rPr>
        <w:t>IV.1.5.5. Социјална заштита</w:t>
      </w:r>
      <w:bookmarkEnd w:id="52"/>
      <w:bookmarkEnd w:id="53"/>
    </w:p>
    <w:p>
      <w:pPr>
        <w:shd w:val="clear" w:color="auto" w:fill="FFFFFF"/>
        <w:spacing w:before="100" w:beforeAutospacing="1" w:after="100" w:afterAutospacing="1"/>
        <w:jc w:val="both"/>
        <w:rPr>
          <w:rFonts w:eastAsia="Times New Roman" w:cs="Calibri"/>
          <w:lang w:val="sr-Latn-RS" w:eastAsia="hr-BA"/>
        </w:rPr>
      </w:pPr>
      <w:r>
        <w:rPr>
          <w:rFonts w:eastAsia="Times New Roman" w:cs="Calibri"/>
          <w:lang w:val="sr-Cyrl-BA" w:eastAsia="hr-BA"/>
        </w:rPr>
        <w:t xml:space="preserve">Сходно одредбама Закона о социјалној заштити, носиоци социјалне заштите су Република и јединица локалне самоуправе. </w:t>
      </w:r>
    </w:p>
    <w:p>
      <w:pPr>
        <w:spacing w:line="276" w:lineRule="auto"/>
        <w:jc w:val="both"/>
        <w:rPr>
          <w:lang w:val="sr-Cyrl-RS"/>
        </w:rPr>
      </w:pPr>
      <w:r>
        <w:rPr>
          <w:b/>
          <w:lang w:val="sr-Cyrl-RS"/>
        </w:rPr>
        <w:t>Законодавни оквир Републике Српске:</w:t>
      </w:r>
      <w:r>
        <w:rPr>
          <w:lang w:val="sr-Cyrl-BA"/>
        </w:rPr>
        <w:t xml:space="preserve"> На ентитетском нивоу усвојени су следећи закони од значаја за остваривање права на социјалну заштиту: Закон о социјалној заштити од 19.априла 2017.године</w:t>
      </w:r>
      <w:r>
        <w:rPr>
          <w:rFonts w:cs="Calibri"/>
          <w:vertAlign w:val="superscript"/>
          <w:lang w:val="sr-Cyrl-BA"/>
        </w:rPr>
        <w:footnoteReference w:id="50"/>
      </w:r>
      <w:r>
        <w:rPr>
          <w:lang w:val="sr-Cyrl-BA"/>
        </w:rPr>
        <w:t>; Закон о заштити лица са менталним поремећајима од 14. маја 2004. године</w:t>
      </w:r>
      <w:r>
        <w:rPr>
          <w:rFonts w:cs="Calibri"/>
          <w:vertAlign w:val="superscript"/>
          <w:lang w:val="sr-Cyrl-BA"/>
        </w:rPr>
        <w:footnoteReference w:id="51"/>
      </w:r>
      <w:r>
        <w:rPr>
          <w:lang w:val="sr-Cyrl-BA"/>
        </w:rPr>
        <w:t>; Закон о заштити од насиља у породици</w:t>
      </w:r>
      <w:r>
        <w:rPr>
          <w:rFonts w:cs="Calibri"/>
          <w:vertAlign w:val="superscript"/>
          <w:lang w:val="sr-Cyrl-BA"/>
        </w:rPr>
        <w:footnoteReference w:id="52"/>
      </w:r>
      <w:r>
        <w:rPr>
          <w:lang w:val="sr-Cyrl-BA"/>
        </w:rPr>
        <w:t>; Породични закон</w:t>
      </w:r>
      <w:r>
        <w:rPr>
          <w:rFonts w:cs="Calibri"/>
          <w:vertAlign w:val="superscript"/>
          <w:lang w:val="sr-Cyrl-BA"/>
        </w:rPr>
        <w:footnoteReference w:id="53"/>
      </w:r>
      <w:r>
        <w:rPr>
          <w:lang w:val="sr-Cyrl-BA"/>
        </w:rPr>
        <w:t>; Закон о изменама и допунама породичног закона из 2014.</w:t>
      </w:r>
      <w:r>
        <w:rPr>
          <w:rFonts w:cs="Calibri"/>
          <w:vertAlign w:val="superscript"/>
          <w:lang w:val="sr-Cyrl-BA"/>
        </w:rPr>
        <w:footnoteReference w:id="54"/>
      </w:r>
      <w:r>
        <w:rPr>
          <w:lang w:val="sr-Cyrl-BA"/>
        </w:rPr>
        <w:t xml:space="preserve">, Закон о </w:t>
      </w:r>
      <w:r>
        <w:t>измјенама</w:t>
      </w:r>
      <w:r>
        <w:rPr>
          <w:lang w:val="sr-Latn-RS"/>
        </w:rPr>
        <w:t xml:space="preserve"> </w:t>
      </w:r>
      <w:r>
        <w:t>и</w:t>
      </w:r>
      <w:r>
        <w:rPr>
          <w:lang w:val="sr-Latn-RS"/>
        </w:rPr>
        <w:t xml:space="preserve"> </w:t>
      </w:r>
      <w:r>
        <w:t>допунама</w:t>
      </w:r>
      <w:r>
        <w:rPr>
          <w:lang w:val="sr-Latn-RS"/>
        </w:rPr>
        <w:t xml:space="preserve"> </w:t>
      </w:r>
      <w:r>
        <w:t>закона</w:t>
      </w:r>
      <w:r>
        <w:rPr>
          <w:lang w:val="sr-Latn-RS"/>
        </w:rPr>
        <w:t xml:space="preserve"> </w:t>
      </w:r>
      <w:r>
        <w:t>о</w:t>
      </w:r>
      <w:r>
        <w:rPr>
          <w:lang w:val="sr-Latn-RS"/>
        </w:rPr>
        <w:t xml:space="preserve"> </w:t>
      </w:r>
      <w:r>
        <w:t>заштити</w:t>
      </w:r>
      <w:r>
        <w:rPr>
          <w:lang w:val="sr-Latn-RS"/>
        </w:rPr>
        <w:t xml:space="preserve"> </w:t>
      </w:r>
      <w:r>
        <w:t>и</w:t>
      </w:r>
      <w:r>
        <w:rPr>
          <w:lang w:val="sr-Latn-RS"/>
        </w:rPr>
        <w:t xml:space="preserve"> </w:t>
      </w:r>
      <w:r>
        <w:t>поступању</w:t>
      </w:r>
      <w:r>
        <w:rPr>
          <w:lang w:val="sr-Latn-RS"/>
        </w:rPr>
        <w:t xml:space="preserve"> </w:t>
      </w:r>
      <w:r>
        <w:t>са</w:t>
      </w:r>
      <w:r>
        <w:rPr>
          <w:lang w:val="sr-Latn-RS"/>
        </w:rPr>
        <w:t xml:space="preserve"> </w:t>
      </w:r>
      <w:r>
        <w:t>дјецом</w:t>
      </w:r>
      <w:r>
        <w:rPr>
          <w:lang w:val="sr-Latn-RS"/>
        </w:rPr>
        <w:t xml:space="preserve"> </w:t>
      </w:r>
      <w:r>
        <w:t>и</w:t>
      </w:r>
      <w:r>
        <w:rPr>
          <w:lang w:val="sr-Latn-RS"/>
        </w:rPr>
        <w:t xml:space="preserve"> </w:t>
      </w:r>
      <w:r>
        <w:t>малољет</w:t>
      </w:r>
      <w:r>
        <w:rPr>
          <w:lang w:val="sr-Cyrl-RS"/>
        </w:rPr>
        <w:t>ницима у кривичном поступку</w:t>
      </w:r>
      <w:r>
        <w:rPr>
          <w:rFonts w:cs="Calibri"/>
          <w:vertAlign w:val="superscript"/>
          <w:lang w:val="sr-Cyrl-RS"/>
        </w:rPr>
        <w:footnoteReference w:id="55"/>
      </w:r>
      <w:r>
        <w:rPr>
          <w:lang w:val="sr-Cyrl-RS"/>
        </w:rPr>
        <w:t xml:space="preserve">.   </w:t>
      </w:r>
      <w:r>
        <w:rPr>
          <w:lang w:val="sr-Cyrl-BA"/>
        </w:rPr>
        <w:t xml:space="preserve">Закон је предвиђено да Република Спрска: уређује систем социјалне заштите; доноси политике и развојне стратегије, утврђује права, критеријума и кориснике;објезбјеђује дио средстава за реализацију права прописаних овим законом; </w:t>
      </w:r>
      <w:r>
        <w:rPr>
          <w:lang w:val="sr-Cyrl-RS"/>
        </w:rPr>
        <w:t>прати стање и остваривање права; оснива и усмјерава рад установа социјалне заштите - брине се да се у оквиру економске и социјалне политике остварује оптималан развој заједнице.</w:t>
      </w:r>
    </w:p>
    <w:p>
      <w:pPr>
        <w:rPr>
          <w:lang w:val="sr-Cyrl-RS"/>
        </w:rPr>
      </w:pPr>
    </w:p>
    <w:p>
      <w:pPr>
        <w:spacing w:line="276" w:lineRule="auto"/>
        <w:jc w:val="both"/>
        <w:rPr>
          <w:lang w:val="sr-Cyrl-RS"/>
        </w:rPr>
      </w:pPr>
      <w:r>
        <w:rPr>
          <w:b/>
          <w:lang w:val="sr-Cyrl-RS"/>
        </w:rPr>
        <w:t>Стратешки оквир на ентитетском нивоу</w:t>
      </w:r>
      <w:r>
        <w:rPr>
          <w:lang w:val="sr-Cyrl-RS"/>
        </w:rPr>
        <w:t xml:space="preserve"> од значаја за социјалну заштиту чине слиједеће стратегије: </w:t>
      </w:r>
      <w:r>
        <w:rPr>
          <w:lang w:val="sr-Latn-RS"/>
        </w:rPr>
        <w:t>„</w:t>
      </w:r>
      <w:r>
        <w:rPr>
          <w:lang w:val="sr-Cyrl-RS"/>
        </w:rPr>
        <w:t>Стратегијa за сузбијање насиља у породици Републике Српске 2014-2019“, „Cтратегија унапређења социјалне заштите дјеце без родитељског старања 2015–2020. године “, „Програм за рани раст и развој дјеце у Републици Српској 2016-2020“</w:t>
      </w:r>
      <w:r>
        <w:rPr>
          <w:lang w:val="sr-Latn-RS"/>
        </w:rPr>
        <w:t>.</w:t>
      </w:r>
      <w:r>
        <w:rPr>
          <w:lang w:val="sr-Cyrl-RS"/>
        </w:rPr>
        <w:t xml:space="preserve"> Стратегија за побољшање услова лица са инвалидитетом 2016-2017, Стратегија за борбу против сиромаштва.</w:t>
      </w:r>
    </w:p>
    <w:p>
      <w:pPr>
        <w:rPr>
          <w:rFonts w:cs="Calibri"/>
          <w:b/>
          <w:lang w:val="sr-Cyrl-RS"/>
        </w:rPr>
      </w:pPr>
    </w:p>
    <w:p>
      <w:pPr>
        <w:rPr>
          <w:rFonts w:cs="Calibri"/>
          <w:lang w:val="sr-Cyrl-RS"/>
        </w:rPr>
      </w:pPr>
      <w:r>
        <w:rPr>
          <w:rFonts w:cs="Calibri"/>
          <w:lang w:val="sr-Cyrl-RS"/>
        </w:rPr>
        <w:t xml:space="preserve">Јединице локалне самоуправе, у складу са Законом: </w:t>
      </w:r>
    </w:p>
    <w:p>
      <w:pPr>
        <w:rPr>
          <w:rFonts w:cs="Calibri"/>
          <w:b/>
          <w:lang w:val="sr-Cyrl-RS"/>
        </w:rPr>
      </w:pPr>
    </w:p>
    <w:p>
      <w:pPr>
        <w:numPr>
          <w:ilvl w:val="0"/>
          <w:numId w:val="20"/>
        </w:numPr>
        <w:spacing w:before="120" w:line="276" w:lineRule="auto"/>
        <w:contextualSpacing/>
        <w:rPr>
          <w:rFonts w:eastAsia="Times New Roman"/>
          <w:lang w:val="sr-Cyrl-RS"/>
        </w:rPr>
      </w:pPr>
      <w:r>
        <w:rPr>
          <w:rFonts w:eastAsia="Times New Roman" w:cs="Calibri"/>
          <w:lang w:val="sr-Cyrl-RS"/>
        </w:rPr>
        <w:t xml:space="preserve">Доносе годишње и средњорочне програме социјалне заштите на основу анализе социјалног стања становника на свом подручју </w:t>
      </w:r>
    </w:p>
    <w:p>
      <w:pPr>
        <w:numPr>
          <w:ilvl w:val="0"/>
          <w:numId w:val="20"/>
        </w:numPr>
        <w:spacing w:before="120" w:line="276" w:lineRule="auto"/>
        <w:contextualSpacing/>
        <w:rPr>
          <w:rFonts w:eastAsia="Times New Roman"/>
          <w:lang w:val="sr-Cyrl-RS"/>
        </w:rPr>
      </w:pPr>
      <w:r>
        <w:rPr>
          <w:rFonts w:eastAsia="Times New Roman" w:cs="Calibri"/>
          <w:lang w:val="sr-Cyrl-RS"/>
        </w:rPr>
        <w:t xml:space="preserve">Доноси одлуку о проширеним правима и друга акта којима прописује услове за остваривање права и мјере утврђених одлуком и програмима </w:t>
      </w:r>
    </w:p>
    <w:p>
      <w:pPr>
        <w:numPr>
          <w:ilvl w:val="0"/>
          <w:numId w:val="20"/>
        </w:numPr>
        <w:spacing w:before="120" w:line="276" w:lineRule="auto"/>
        <w:contextualSpacing/>
        <w:rPr>
          <w:rFonts w:eastAsia="Times New Roman"/>
          <w:lang w:val="sr-Cyrl-RS"/>
        </w:rPr>
      </w:pPr>
      <w:r>
        <w:rPr>
          <w:rFonts w:eastAsia="Times New Roman" w:cs="Calibri"/>
          <w:lang w:val="sr-Cyrl-RS"/>
        </w:rPr>
        <w:t xml:space="preserve">Обезбеђује средства за реализацију права утврђених овим законом и својим одлукама </w:t>
      </w:r>
    </w:p>
    <w:p>
      <w:pPr>
        <w:numPr>
          <w:ilvl w:val="0"/>
          <w:numId w:val="20"/>
        </w:numPr>
        <w:spacing w:before="120" w:line="276" w:lineRule="auto"/>
        <w:contextualSpacing/>
        <w:rPr>
          <w:rFonts w:eastAsia="Times New Roman"/>
          <w:lang w:val="sr-Cyrl-RS"/>
        </w:rPr>
      </w:pPr>
      <w:r>
        <w:rPr>
          <w:rFonts w:eastAsia="Times New Roman" w:cs="Calibri"/>
          <w:lang w:val="sr-Cyrl-RS"/>
        </w:rPr>
        <w:t xml:space="preserve">Обезбеђује средства за обављање дјелатности социјалне заштите </w:t>
      </w:r>
    </w:p>
    <w:p>
      <w:pPr>
        <w:numPr>
          <w:ilvl w:val="0"/>
          <w:numId w:val="20"/>
        </w:numPr>
        <w:spacing w:before="120" w:line="276" w:lineRule="auto"/>
        <w:contextualSpacing/>
        <w:rPr>
          <w:rFonts w:eastAsia="Times New Roman"/>
          <w:lang w:val="sr-Cyrl-RS"/>
        </w:rPr>
      </w:pPr>
      <w:r>
        <w:rPr>
          <w:rFonts w:eastAsia="Times New Roman" w:cs="Calibri"/>
          <w:lang w:val="sr-Cyrl-RS"/>
        </w:rPr>
        <w:t xml:space="preserve">Оснива и брине се о раду установа социјалне заштите </w:t>
      </w:r>
    </w:p>
    <w:p>
      <w:pPr>
        <w:spacing w:before="120" w:line="276" w:lineRule="auto"/>
        <w:ind w:left="720"/>
        <w:contextualSpacing/>
        <w:jc w:val="both"/>
        <w:rPr>
          <w:rFonts w:eastAsia="Times New Roman"/>
          <w:lang w:val="sr-Cyrl-RS"/>
        </w:rPr>
      </w:pPr>
    </w:p>
    <w:p>
      <w:pPr>
        <w:jc w:val="both"/>
        <w:rPr>
          <w:lang w:val="sr-Cyrl-RS"/>
        </w:rPr>
      </w:pPr>
      <w:r>
        <w:rPr>
          <w:lang w:val="sr-Cyrl-RS"/>
        </w:rPr>
        <w:t>У табели је дат преглед опредјељених средстава за реализацију права социјалне заштите у периоду 2013-2018. годину, по изворима:</w:t>
      </w:r>
    </w:p>
    <w:p>
      <w:pPr>
        <w:rPr>
          <w:lang w:val="sr-Cyrl-RS"/>
        </w:rPr>
      </w:pPr>
    </w:p>
    <w:tbl>
      <w:tblPr>
        <w:tblStyle w:val="36"/>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28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896"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rPr>
                <w:rFonts w:eastAsia="Times New Roman" w:asciiTheme="minorHAnsi" w:hAnsiTheme="minorHAnsi" w:cstheme="minorHAnsi"/>
                <w:b/>
                <w:color w:val="FFFFFF" w:themeColor="background1"/>
                <w:sz w:val="20"/>
                <w:szCs w:val="20"/>
                <w:lang w:val="sr-Cyrl-RS" w:eastAsia="hr-BA"/>
                <w14:textFill>
                  <w14:solidFill>
                    <w14:schemeClr w14:val="bg1"/>
                  </w14:solidFill>
                </w14:textFill>
              </w:rPr>
            </w:pPr>
            <w:r>
              <w:rPr>
                <w:rFonts w:eastAsia="Times New Roman" w:asciiTheme="minorHAnsi" w:hAnsiTheme="minorHAnsi" w:cstheme="minorHAnsi"/>
                <w:b/>
                <w:color w:val="FFFFFF" w:themeColor="background1"/>
                <w:sz w:val="20"/>
                <w:szCs w:val="20"/>
                <w:lang w:val="sr-Cyrl-RS" w:eastAsia="hr-BA"/>
                <w14:textFill>
                  <w14:solidFill>
                    <w14:schemeClr w14:val="bg1"/>
                  </w14:solidFill>
                </w14:textFill>
              </w:rPr>
              <w:t>Право</w:t>
            </w:r>
          </w:p>
        </w:tc>
        <w:tc>
          <w:tcPr>
            <w:tcW w:w="1280"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right"/>
              <w:rPr>
                <w:rFonts w:eastAsia="Times New Roman" w:asciiTheme="minorHAnsi" w:hAnsiTheme="minorHAnsi" w:cstheme="minorHAnsi"/>
                <w:color w:val="FFFFFF" w:themeColor="background1"/>
                <w:sz w:val="20"/>
                <w:szCs w:val="20"/>
                <w:lang w:eastAsia="hr-BA"/>
                <w14:textFill>
                  <w14:solidFill>
                    <w14:schemeClr w14:val="bg1"/>
                  </w14:solidFill>
                </w14:textFill>
              </w:rPr>
            </w:pPr>
            <w:r>
              <w:rPr>
                <w:rFonts w:eastAsia="Times New Roman" w:asciiTheme="minorHAnsi" w:hAnsiTheme="minorHAnsi" w:cstheme="minorHAnsi"/>
                <w:color w:val="FFFFFF" w:themeColor="background1"/>
                <w:sz w:val="20"/>
                <w:szCs w:val="20"/>
                <w:lang w:eastAsia="hr-BA"/>
                <w14:textFill>
                  <w14:solidFill>
                    <w14:schemeClr w14:val="bg1"/>
                  </w14:solidFill>
                </w14:textFill>
              </w:rPr>
              <w:t>2013</w:t>
            </w:r>
          </w:p>
        </w:tc>
        <w:tc>
          <w:tcPr>
            <w:tcW w:w="1280"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right"/>
              <w:rPr>
                <w:rFonts w:eastAsia="Times New Roman" w:asciiTheme="minorHAnsi" w:hAnsiTheme="minorHAnsi" w:cstheme="minorHAnsi"/>
                <w:color w:val="FFFFFF" w:themeColor="background1"/>
                <w:sz w:val="20"/>
                <w:szCs w:val="20"/>
                <w:lang w:eastAsia="hr-BA"/>
                <w14:textFill>
                  <w14:solidFill>
                    <w14:schemeClr w14:val="bg1"/>
                  </w14:solidFill>
                </w14:textFill>
              </w:rPr>
            </w:pPr>
            <w:r>
              <w:rPr>
                <w:rFonts w:eastAsia="Times New Roman" w:asciiTheme="minorHAnsi" w:hAnsiTheme="minorHAnsi" w:cstheme="minorHAnsi"/>
                <w:color w:val="FFFFFF" w:themeColor="background1"/>
                <w:sz w:val="20"/>
                <w:szCs w:val="20"/>
                <w:lang w:eastAsia="hr-BA"/>
                <w14:textFill>
                  <w14:solidFill>
                    <w14:schemeClr w14:val="bg1"/>
                  </w14:solidFill>
                </w14:textFill>
              </w:rPr>
              <w:t>2014</w:t>
            </w:r>
          </w:p>
        </w:tc>
        <w:tc>
          <w:tcPr>
            <w:tcW w:w="1280"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right"/>
              <w:rPr>
                <w:rFonts w:eastAsia="Times New Roman" w:asciiTheme="minorHAnsi" w:hAnsiTheme="minorHAnsi" w:cstheme="minorHAnsi"/>
                <w:color w:val="FFFFFF" w:themeColor="background1"/>
                <w:sz w:val="20"/>
                <w:szCs w:val="20"/>
                <w:lang w:eastAsia="hr-BA"/>
                <w14:textFill>
                  <w14:solidFill>
                    <w14:schemeClr w14:val="bg1"/>
                  </w14:solidFill>
                </w14:textFill>
              </w:rPr>
            </w:pPr>
            <w:r>
              <w:rPr>
                <w:rFonts w:eastAsia="Times New Roman" w:asciiTheme="minorHAnsi" w:hAnsiTheme="minorHAnsi" w:cstheme="minorHAnsi"/>
                <w:color w:val="FFFFFF" w:themeColor="background1"/>
                <w:sz w:val="20"/>
                <w:szCs w:val="20"/>
                <w:lang w:eastAsia="hr-BA"/>
                <w14:textFill>
                  <w14:solidFill>
                    <w14:schemeClr w14:val="bg1"/>
                  </w14:solidFill>
                </w14:textFill>
              </w:rPr>
              <w:t>2015</w:t>
            </w:r>
          </w:p>
        </w:tc>
        <w:tc>
          <w:tcPr>
            <w:tcW w:w="1280"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right"/>
              <w:rPr>
                <w:rFonts w:eastAsia="Times New Roman" w:asciiTheme="minorHAnsi" w:hAnsiTheme="minorHAnsi" w:cstheme="minorHAnsi"/>
                <w:color w:val="FFFFFF" w:themeColor="background1"/>
                <w:sz w:val="20"/>
                <w:szCs w:val="20"/>
                <w:lang w:eastAsia="hr-BA"/>
                <w14:textFill>
                  <w14:solidFill>
                    <w14:schemeClr w14:val="bg1"/>
                  </w14:solidFill>
                </w14:textFill>
              </w:rPr>
            </w:pPr>
            <w:r>
              <w:rPr>
                <w:rFonts w:eastAsia="Times New Roman" w:asciiTheme="minorHAnsi" w:hAnsiTheme="minorHAnsi" w:cstheme="minorHAnsi"/>
                <w:color w:val="FFFFFF" w:themeColor="background1"/>
                <w:sz w:val="20"/>
                <w:szCs w:val="20"/>
                <w:lang w:eastAsia="hr-BA"/>
                <w14:textFill>
                  <w14:solidFill>
                    <w14:schemeClr w14:val="bg1"/>
                  </w14:solidFill>
                </w14:textFill>
              </w:rPr>
              <w:t>2016</w:t>
            </w:r>
          </w:p>
        </w:tc>
        <w:tc>
          <w:tcPr>
            <w:tcW w:w="1280"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right"/>
              <w:rPr>
                <w:rFonts w:eastAsia="Times New Roman" w:asciiTheme="minorHAnsi" w:hAnsiTheme="minorHAnsi" w:cstheme="minorHAnsi"/>
                <w:color w:val="FFFFFF" w:themeColor="background1"/>
                <w:sz w:val="20"/>
                <w:szCs w:val="20"/>
                <w:lang w:eastAsia="hr-BA"/>
                <w14:textFill>
                  <w14:solidFill>
                    <w14:schemeClr w14:val="bg1"/>
                  </w14:solidFill>
                </w14:textFill>
              </w:rPr>
            </w:pPr>
            <w:r>
              <w:rPr>
                <w:rFonts w:eastAsia="Times New Roman" w:asciiTheme="minorHAnsi" w:hAnsiTheme="minorHAnsi" w:cstheme="minorHAnsi"/>
                <w:color w:val="FFFFFF" w:themeColor="background1"/>
                <w:sz w:val="20"/>
                <w:szCs w:val="20"/>
                <w:lang w:eastAsia="hr-BA"/>
                <w14:textFill>
                  <w14:solidFill>
                    <w14:schemeClr w14:val="bg1"/>
                  </w14:solidFill>
                </w14:textFill>
              </w:rPr>
              <w:t>2017</w:t>
            </w:r>
          </w:p>
        </w:tc>
        <w:tc>
          <w:tcPr>
            <w:tcW w:w="1280" w:type="dxa"/>
            <w:tcBorders>
              <w:top w:val="single" w:color="auto" w:sz="4" w:space="0"/>
              <w:left w:val="single" w:color="auto" w:sz="4" w:space="0"/>
              <w:bottom w:val="single" w:color="auto" w:sz="4" w:space="0"/>
              <w:right w:val="single" w:color="auto" w:sz="4" w:space="0"/>
            </w:tcBorders>
            <w:shd w:val="clear" w:color="auto" w:fill="385623" w:themeFill="accent6" w:themeFillShade="80"/>
          </w:tcPr>
          <w:p>
            <w:pPr>
              <w:jc w:val="right"/>
              <w:rPr>
                <w:rFonts w:eastAsia="Times New Roman" w:asciiTheme="minorHAnsi" w:hAnsiTheme="minorHAnsi" w:cstheme="minorHAnsi"/>
                <w:color w:val="FFFFFF" w:themeColor="background1"/>
                <w:sz w:val="20"/>
                <w:szCs w:val="20"/>
                <w:lang w:eastAsia="hr-BA"/>
                <w14:textFill>
                  <w14:solidFill>
                    <w14:schemeClr w14:val="bg1"/>
                  </w14:solidFill>
                </w14:textFill>
              </w:rPr>
            </w:pPr>
            <w:r>
              <w:rPr>
                <w:rFonts w:eastAsia="Times New Roman" w:asciiTheme="minorHAnsi" w:hAnsiTheme="minorHAnsi" w:cstheme="minorHAnsi"/>
                <w:color w:val="FFFFFF" w:themeColor="background1"/>
                <w:sz w:val="20"/>
                <w:szCs w:val="20"/>
                <w:lang w:eastAsia="hr-BA"/>
                <w14:textFill>
                  <w14:solidFill>
                    <w14:schemeClr w14:val="bg1"/>
                  </w14:solidFill>
                </w14:textFill>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9576" w:type="dxa"/>
            <w:gridSpan w:val="7"/>
            <w:tcBorders>
              <w:top w:val="single" w:color="auto" w:sz="4" w:space="0"/>
              <w:left w:val="single" w:color="auto" w:sz="4" w:space="0"/>
              <w:bottom w:val="single" w:color="auto" w:sz="4" w:space="0"/>
              <w:right w:val="single" w:color="auto" w:sz="4" w:space="0"/>
            </w:tcBorders>
            <w:shd w:val="clear" w:color="auto" w:fill="C5E0B3" w:themeFill="accent6" w:themeFillTint="66"/>
          </w:tcPr>
          <w:p>
            <w:pPr>
              <w:rPr>
                <w:rFonts w:eastAsia="Times New Roman" w:asciiTheme="minorHAnsi" w:hAnsiTheme="minorHAnsi" w:cstheme="minorHAnsi"/>
                <w:b/>
                <w:sz w:val="20"/>
                <w:szCs w:val="20"/>
                <w:lang w:val="sr-Cyrl-RS" w:eastAsia="hr-BA"/>
              </w:rPr>
            </w:pPr>
            <w:r>
              <w:rPr>
                <w:rFonts w:eastAsia="Times New Roman" w:asciiTheme="minorHAnsi" w:hAnsiTheme="minorHAnsi" w:cstheme="minorHAnsi"/>
                <w:b/>
                <w:sz w:val="20"/>
                <w:szCs w:val="20"/>
                <w:lang w:val="sr-Cyrl-RS" w:eastAsia="hr-BA"/>
              </w:rPr>
              <w:t>Град Бања Лука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val="sr-Cyrl-RS" w:eastAsia="hr-BA"/>
              </w:rPr>
            </w:pPr>
            <w:r>
              <w:rPr>
                <w:rFonts w:eastAsia="Times New Roman" w:asciiTheme="minorHAnsi" w:hAnsiTheme="minorHAnsi" w:cstheme="minorHAnsi"/>
                <w:b/>
                <w:sz w:val="20"/>
                <w:szCs w:val="20"/>
                <w:lang w:val="sr-Cyrl-RS" w:eastAsia="hr-BA"/>
              </w:rPr>
              <w:t>Новчана помоћ</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479.635.03    </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525.262.81</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544.934.00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555.500.00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557.813.00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highlight w:val="yellow"/>
                <w:lang w:val="sr-Cyrl-BA" w:eastAsia="hr-BA"/>
              </w:rPr>
            </w:pPr>
            <w:r>
              <w:rPr>
                <w:rFonts w:eastAsia="Times New Roman" w:asciiTheme="minorHAnsi" w:hAnsiTheme="minorHAnsi" w:cstheme="minorHAnsi"/>
                <w:b/>
                <w:sz w:val="20"/>
                <w:szCs w:val="20"/>
                <w:lang w:val="sr-Cyrl-BA" w:eastAsia="hr-BA"/>
              </w:rPr>
              <w:t>ТЊП (Туђа њега и помоћ)</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2.294.845.85     </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2.486.228.30</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2.679.250.66</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2.809.000.00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2.922.600.00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2.690.000.00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Права на смјештај у установама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1.279.000.00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1.391.000.00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1.580.000.00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1.640.000.00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1.696.000.00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1.707.500.00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Права на збрињавања у хранитељским породицама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854.000.00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863.000.00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val="sr-Cyrl-BA" w:eastAsia="hr-BA"/>
              </w:rPr>
              <w:t>822.000.00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880.000.00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853.000.00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862.500.00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Право на дневно збрињавање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281.400.00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365.000.00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286.000.00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234</w:t>
            </w:r>
            <w:r>
              <w:rPr>
                <w:rFonts w:eastAsia="Times New Roman" w:asciiTheme="minorHAnsi" w:hAnsiTheme="minorHAnsi" w:cstheme="minorHAnsi"/>
                <w:sz w:val="20"/>
                <w:szCs w:val="20"/>
                <w:lang w:val="sr-Cyrl-BA" w:eastAsia="hr-BA"/>
              </w:rPr>
              <w:t>.</w:t>
            </w:r>
            <w:r>
              <w:rPr>
                <w:rFonts w:eastAsia="Times New Roman" w:asciiTheme="minorHAnsi" w:hAnsiTheme="minorHAnsi" w:cstheme="minorHAnsi"/>
                <w:sz w:val="20"/>
                <w:szCs w:val="20"/>
                <w:lang w:eastAsia="hr-BA"/>
              </w:rPr>
              <w:t>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270.000.00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342.000.00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Права на његу и помоћ у кући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90.000.00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eastAsia="hr-BA"/>
              </w:rPr>
              <w:t>1</w:t>
            </w:r>
            <w:r>
              <w:rPr>
                <w:rFonts w:eastAsia="Times New Roman" w:asciiTheme="minorHAnsi" w:hAnsiTheme="minorHAnsi" w:cstheme="minorHAnsi"/>
                <w:sz w:val="20"/>
                <w:szCs w:val="20"/>
                <w:lang w:val="sr-Cyrl-BA" w:eastAsia="hr-BA"/>
              </w:rPr>
              <w:t xml:space="preserve">30.000.00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181.000.00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184</w:t>
            </w:r>
            <w:r>
              <w:rPr>
                <w:rFonts w:eastAsia="Times New Roman" w:asciiTheme="minorHAnsi" w:hAnsiTheme="minorHAnsi" w:cstheme="minorHAnsi"/>
                <w:sz w:val="20"/>
                <w:szCs w:val="20"/>
                <w:lang w:val="sr-Cyrl-BA" w:eastAsia="hr-BA"/>
              </w:rPr>
              <w:t>.</w:t>
            </w:r>
            <w:r>
              <w:rPr>
                <w:rFonts w:eastAsia="Times New Roman" w:asciiTheme="minorHAnsi" w:hAnsiTheme="minorHAnsi" w:cstheme="minorHAnsi"/>
                <w:sz w:val="20"/>
                <w:szCs w:val="20"/>
                <w:lang w:eastAsia="hr-BA"/>
              </w:rPr>
              <w:t>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185.000.00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Право на једнократну новчану помоћ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448000.00</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505</w:t>
            </w:r>
            <w:r>
              <w:rPr>
                <w:rFonts w:asciiTheme="minorHAnsi" w:hAnsiTheme="minorHAnsi" w:cstheme="minorHAnsi"/>
                <w:sz w:val="20"/>
                <w:szCs w:val="20"/>
                <w:lang w:val="sr-Cyrl-BA"/>
              </w:rPr>
              <w:t>.</w:t>
            </w:r>
            <w:r>
              <w:rPr>
                <w:rFonts w:asciiTheme="minorHAnsi" w:hAnsiTheme="minorHAnsi" w:cstheme="minorHAnsi"/>
                <w:sz w:val="20"/>
                <w:szCs w:val="20"/>
              </w:rPr>
              <w:t>917.31</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390.000.00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427.000.00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464000.00</w:t>
            </w:r>
          </w:p>
          <w:p>
            <w:pPr>
              <w:jc w:val="right"/>
              <w:rPr>
                <w:rFonts w:eastAsia="Times New Roman" w:asciiTheme="minorHAnsi" w:hAnsiTheme="minorHAnsi" w:cstheme="minorHAnsi"/>
                <w:sz w:val="20"/>
                <w:szCs w:val="20"/>
                <w:lang w:val="sr-Cyrl-BA"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Персонална асистенција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149.000.00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200.000.00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192.000.00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215</w:t>
            </w:r>
            <w:r>
              <w:rPr>
                <w:rFonts w:eastAsia="Times New Roman" w:asciiTheme="minorHAnsi" w:hAnsiTheme="minorHAnsi" w:cstheme="minorHAnsi"/>
                <w:sz w:val="20"/>
                <w:szCs w:val="20"/>
                <w:lang w:val="sr-Cyrl-BA" w:eastAsia="hr-BA"/>
              </w:rPr>
              <w:t>.</w:t>
            </w:r>
            <w:r>
              <w:rPr>
                <w:rFonts w:eastAsia="Times New Roman" w:asciiTheme="minorHAnsi" w:hAnsiTheme="minorHAnsi" w:cstheme="minorHAnsi"/>
                <w:sz w:val="20"/>
                <w:szCs w:val="20"/>
                <w:lang w:eastAsia="hr-BA"/>
              </w:rPr>
              <w:t>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260.000.00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Накнада трошкова превоза за дјецу и пратиоца дјеце са сметњама у развоју </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53.564.30     </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lang w:val="sr-Cyrl-BA"/>
              </w:rPr>
            </w:pPr>
            <w:r>
              <w:rPr>
                <w:rFonts w:asciiTheme="minorHAnsi" w:hAnsiTheme="minorHAnsi" w:cstheme="minorHAnsi"/>
                <w:sz w:val="20"/>
                <w:szCs w:val="20"/>
              </w:rPr>
              <w:t>4</w:t>
            </w:r>
            <w:r>
              <w:rPr>
                <w:rFonts w:asciiTheme="minorHAnsi" w:hAnsiTheme="minorHAnsi" w:cstheme="minorHAnsi"/>
                <w:sz w:val="20"/>
                <w:szCs w:val="20"/>
                <w:lang w:val="sr-Cyrl-BA"/>
              </w:rPr>
              <w:t>1.000.00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42000.00</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4</w:t>
            </w:r>
            <w:r>
              <w:rPr>
                <w:rFonts w:asciiTheme="minorHAnsi" w:hAnsiTheme="minorHAnsi" w:cstheme="minorHAnsi"/>
                <w:sz w:val="20"/>
                <w:szCs w:val="20"/>
                <w:lang w:val="sr-Cyrl-BA"/>
              </w:rPr>
              <w:t>2.0</w:t>
            </w:r>
            <w:r>
              <w:rPr>
                <w:rFonts w:asciiTheme="minorHAnsi" w:hAnsiTheme="minorHAnsi" w:cstheme="minorHAnsi"/>
                <w:sz w:val="20"/>
                <w:szCs w:val="20"/>
              </w:rPr>
              <w:t>00.00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41.000.00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Накнада за смјештај у породицу за лица која остварују право на смјештај у установу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118.000.00</w:t>
            </w:r>
          </w:p>
        </w:tc>
        <w:tc>
          <w:tcPr>
            <w:tcW w:w="1280" w:type="dxa"/>
            <w:tcBorders>
              <w:top w:val="single" w:color="auto" w:sz="4" w:space="0"/>
              <w:left w:val="single" w:color="auto" w:sz="4" w:space="0"/>
              <w:bottom w:val="single" w:color="auto" w:sz="4" w:space="0"/>
              <w:right w:val="single" w:color="auto" w:sz="4" w:space="0"/>
            </w:tcBorders>
          </w:tcPr>
          <w:p>
            <w:pPr>
              <w:jc w:val="center"/>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110.160.00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113400.00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131000.00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99.360.00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114.000.00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Прихватна станица за дјецу и омладину затечену у скитњи</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9.600.00</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9.600.00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7600.00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4800.00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4.800.00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9600,00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Прихватна станица за одрасла и стара лица затечена у скитњи и у стању социјалне потребе</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32.130.56     </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60.308.31</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26000.00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14220.00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12.500.00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Јавна кухиња </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460.000,00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460.000,00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448.000,00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val="sr-Cyrl-RS" w:eastAsia="hr-BA"/>
              </w:rPr>
              <w:t>448,000,0</w:t>
            </w:r>
            <w:r>
              <w:rPr>
                <w:rFonts w:eastAsia="Times New Roman" w:asciiTheme="minorHAnsi" w:hAnsiTheme="minorHAnsi" w:cstheme="minorHAnsi"/>
                <w:sz w:val="20"/>
                <w:szCs w:val="20"/>
                <w:lang w:eastAsia="hr-BA"/>
              </w:rPr>
              <w:t>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442.500,00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448.000,00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Здравствено осигурање пунољетних лица</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429.971.55     </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lang w:val="sr-Cyrl-BA"/>
              </w:rPr>
            </w:pPr>
            <w:r>
              <w:rPr>
                <w:rFonts w:asciiTheme="minorHAnsi" w:hAnsiTheme="minorHAnsi" w:cstheme="minorHAnsi"/>
                <w:sz w:val="20"/>
                <w:szCs w:val="20"/>
              </w:rPr>
              <w:t>28</w:t>
            </w:r>
            <w:r>
              <w:rPr>
                <w:rFonts w:asciiTheme="minorHAnsi" w:hAnsiTheme="minorHAnsi" w:cstheme="minorHAnsi"/>
                <w:sz w:val="20"/>
                <w:szCs w:val="20"/>
                <w:lang w:val="sr-Cyrl-BA"/>
              </w:rPr>
              <w:t>8</w:t>
            </w:r>
            <w:r>
              <w:rPr>
                <w:rFonts w:asciiTheme="minorHAnsi" w:hAnsiTheme="minorHAnsi" w:cstheme="minorHAnsi"/>
                <w:sz w:val="20"/>
                <w:szCs w:val="20"/>
              </w:rPr>
              <w:t>.</w:t>
            </w:r>
            <w:r>
              <w:rPr>
                <w:rFonts w:asciiTheme="minorHAnsi" w:hAnsiTheme="minorHAnsi" w:cstheme="minorHAnsi"/>
                <w:sz w:val="20"/>
                <w:szCs w:val="20"/>
                <w:lang w:val="sr-Cyrl-BA"/>
              </w:rPr>
              <w:t>000.00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288000.00</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285.287.67</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259,109.32</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288.000,00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eastAsia="hr-BA"/>
              </w:rPr>
            </w:pPr>
            <w:r>
              <w:rPr>
                <w:rFonts w:eastAsia="Times New Roman" w:asciiTheme="minorHAnsi" w:hAnsiTheme="minorHAnsi" w:cstheme="minorHAnsi"/>
                <w:b/>
                <w:sz w:val="20"/>
                <w:szCs w:val="20"/>
                <w:lang w:eastAsia="hr-BA"/>
              </w:rPr>
              <w:t xml:space="preserve">Накнада трошкова сахране </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11.089.74     </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14.783.07</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11.530.00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14</w:t>
            </w:r>
            <w:r>
              <w:rPr>
                <w:rFonts w:eastAsia="Times New Roman" w:asciiTheme="minorHAnsi" w:hAnsiTheme="minorHAnsi" w:cstheme="minorHAnsi"/>
                <w:sz w:val="20"/>
                <w:szCs w:val="20"/>
                <w:lang w:val="sr-Cyrl-BA" w:eastAsia="hr-BA"/>
              </w:rPr>
              <w:t>.</w:t>
            </w:r>
            <w:r>
              <w:rPr>
                <w:rFonts w:eastAsia="Times New Roman" w:asciiTheme="minorHAnsi" w:hAnsiTheme="minorHAnsi" w:cstheme="minorHAnsi"/>
                <w:sz w:val="20"/>
                <w:szCs w:val="20"/>
                <w:lang w:eastAsia="hr-BA"/>
              </w:rPr>
              <w:t>423.00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6" w:type="dxa"/>
            <w:gridSpan w:val="7"/>
            <w:tcBorders>
              <w:top w:val="single" w:color="auto" w:sz="4" w:space="0"/>
              <w:left w:val="single" w:color="auto" w:sz="4" w:space="0"/>
              <w:bottom w:val="single" w:color="auto" w:sz="4" w:space="0"/>
              <w:right w:val="single" w:color="auto" w:sz="4" w:space="0"/>
            </w:tcBorders>
            <w:shd w:val="clear" w:color="auto" w:fill="C5E0B3" w:themeFill="accent6" w:themeFillTint="66"/>
          </w:tcPr>
          <w:p>
            <w:pPr>
              <w:rPr>
                <w:rFonts w:eastAsia="Times New Roman" w:asciiTheme="minorHAnsi" w:hAnsiTheme="minorHAnsi" w:cstheme="minorHAnsi"/>
                <w:sz w:val="20"/>
                <w:szCs w:val="20"/>
                <w:lang w:eastAsia="hr-BA"/>
              </w:rPr>
            </w:pPr>
            <w:r>
              <w:rPr>
                <w:rFonts w:eastAsia="Times New Roman" w:asciiTheme="minorHAnsi" w:hAnsiTheme="minorHAnsi" w:cstheme="minorHAnsi"/>
                <w:b/>
                <w:sz w:val="20"/>
                <w:szCs w:val="20"/>
                <w:lang w:val="sr-Cyrl-BA" w:eastAsia="hr-BA"/>
              </w:rPr>
              <w:t>Министарство</w:t>
            </w:r>
            <w:r>
              <w:rPr>
                <w:rFonts w:eastAsia="Times New Roman" w:asciiTheme="minorHAnsi" w:hAnsiTheme="minorHAnsi" w:cstheme="minorHAnsi"/>
                <w:b/>
                <w:sz w:val="20"/>
                <w:szCs w:val="20"/>
                <w:lang w:val="sr-Latn-CS" w:eastAsia="hr-BA"/>
              </w:rPr>
              <w:t xml:space="preserve"> </w:t>
            </w:r>
            <w:r>
              <w:rPr>
                <w:rFonts w:eastAsia="Times New Roman" w:asciiTheme="minorHAnsi" w:hAnsiTheme="minorHAnsi" w:cstheme="minorHAnsi"/>
                <w:b/>
                <w:sz w:val="20"/>
                <w:szCs w:val="20"/>
                <w:lang w:val="sr-Cyrl-BA" w:eastAsia="hr-BA"/>
              </w:rPr>
              <w:t>здравља и соц. заштите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val="sr-Cyrl-RS" w:eastAsia="hr-BA"/>
              </w:rPr>
            </w:pPr>
            <w:r>
              <w:rPr>
                <w:rFonts w:eastAsia="Times New Roman" w:asciiTheme="minorHAnsi" w:hAnsiTheme="minorHAnsi" w:cstheme="minorHAnsi"/>
                <w:b/>
                <w:sz w:val="20"/>
                <w:szCs w:val="20"/>
                <w:lang w:val="sr-Cyrl-RS" w:eastAsia="hr-BA"/>
              </w:rPr>
              <w:t>Новчана помоћ</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479.635.03     </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525.262.81</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544.934.00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555.500.00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557.813.00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val="sr-Cyrl-BA" w:eastAsia="hr-BA"/>
              </w:rPr>
            </w:pPr>
            <w:r>
              <w:rPr>
                <w:rFonts w:eastAsia="Times New Roman" w:asciiTheme="minorHAnsi" w:hAnsiTheme="minorHAnsi" w:cstheme="minorHAnsi"/>
                <w:b/>
                <w:sz w:val="20"/>
                <w:szCs w:val="20"/>
                <w:lang w:val="sr-Cyrl-BA" w:eastAsia="hr-BA"/>
              </w:rPr>
              <w:t>ТЊП</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2.294.845.85     </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2.486.228.30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2.679.250.66</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eastAsia="hr-BA"/>
              </w:rPr>
            </w:pPr>
            <w:r>
              <w:rPr>
                <w:rFonts w:eastAsia="Times New Roman" w:asciiTheme="minorHAnsi" w:hAnsiTheme="minorHAnsi" w:cstheme="minorHAnsi"/>
                <w:sz w:val="20"/>
                <w:szCs w:val="20"/>
                <w:lang w:eastAsia="hr-BA"/>
              </w:rPr>
              <w:t>2.809.000.00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2.922.600.00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3.000.000.00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tcBorders>
              <w:top w:val="single" w:color="auto" w:sz="4" w:space="0"/>
              <w:left w:val="single" w:color="auto" w:sz="4" w:space="0"/>
              <w:bottom w:val="single" w:color="auto" w:sz="4" w:space="0"/>
              <w:right w:val="single" w:color="auto" w:sz="4" w:space="0"/>
            </w:tcBorders>
          </w:tcPr>
          <w:p>
            <w:pPr>
              <w:rPr>
                <w:rFonts w:eastAsia="Times New Roman" w:asciiTheme="minorHAnsi" w:hAnsiTheme="minorHAnsi" w:cstheme="minorHAnsi"/>
                <w:b/>
                <w:sz w:val="20"/>
                <w:szCs w:val="20"/>
                <w:lang w:val="sr-Cyrl-BA" w:eastAsia="hr-BA"/>
              </w:rPr>
            </w:pPr>
            <w:r>
              <w:rPr>
                <w:rFonts w:eastAsia="Times New Roman" w:asciiTheme="minorHAnsi" w:hAnsiTheme="minorHAnsi" w:cstheme="minorHAnsi"/>
                <w:b/>
                <w:sz w:val="20"/>
                <w:szCs w:val="20"/>
                <w:lang w:val="sr-Cyrl-BA" w:eastAsia="hr-BA"/>
              </w:rPr>
              <w:t>Изједначавање могућности</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bCs/>
                <w:sz w:val="20"/>
                <w:szCs w:val="20"/>
              </w:rPr>
            </w:pPr>
            <w:r>
              <w:rPr>
                <w:rFonts w:asciiTheme="minorHAnsi" w:hAnsiTheme="minorHAnsi" w:cstheme="minorHAnsi"/>
                <w:bCs/>
                <w:sz w:val="20"/>
                <w:szCs w:val="20"/>
              </w:rPr>
              <w:t xml:space="preserve">20.057.00     </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lang w:val="sr-Cyrl-BA"/>
              </w:rPr>
            </w:pPr>
            <w:r>
              <w:rPr>
                <w:rFonts w:asciiTheme="minorHAnsi" w:hAnsiTheme="minorHAnsi" w:cstheme="minorHAnsi"/>
                <w:sz w:val="20"/>
                <w:szCs w:val="20"/>
              </w:rPr>
              <w:t>24.</w:t>
            </w:r>
            <w:r>
              <w:rPr>
                <w:rFonts w:asciiTheme="minorHAnsi" w:hAnsiTheme="minorHAnsi" w:cstheme="minorHAnsi"/>
                <w:sz w:val="20"/>
                <w:szCs w:val="20"/>
                <w:lang w:val="sr-Cyrl-BA"/>
              </w:rPr>
              <w:t>000.00</w:t>
            </w:r>
          </w:p>
          <w:p>
            <w:pPr>
              <w:jc w:val="right"/>
              <w:rPr>
                <w:rFonts w:eastAsia="Times New Roman" w:asciiTheme="minorHAnsi" w:hAnsiTheme="minorHAnsi" w:cstheme="minorHAnsi"/>
                <w:sz w:val="20"/>
                <w:szCs w:val="20"/>
                <w:lang w:eastAsia="hr-BA"/>
              </w:rPr>
            </w:pP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25000.00</w:t>
            </w: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rPr>
            </w:pPr>
            <w:r>
              <w:rPr>
                <w:rFonts w:asciiTheme="minorHAnsi" w:hAnsiTheme="minorHAnsi" w:cstheme="minorHAnsi"/>
                <w:sz w:val="20"/>
                <w:szCs w:val="20"/>
              </w:rPr>
              <w:t>22.151.00</w:t>
            </w:r>
          </w:p>
          <w:p>
            <w:pPr>
              <w:jc w:val="right"/>
              <w:rPr>
                <w:rFonts w:asciiTheme="minorHAnsi" w:hAnsiTheme="minorHAnsi" w:cstheme="minorHAnsi"/>
                <w:sz w:val="20"/>
                <w:szCs w:val="20"/>
              </w:rPr>
            </w:pPr>
          </w:p>
        </w:tc>
        <w:tc>
          <w:tcPr>
            <w:tcW w:w="1280" w:type="dxa"/>
            <w:tcBorders>
              <w:top w:val="single" w:color="auto" w:sz="4" w:space="0"/>
              <w:left w:val="single" w:color="auto" w:sz="4" w:space="0"/>
              <w:bottom w:val="single" w:color="auto" w:sz="4" w:space="0"/>
              <w:right w:val="single" w:color="auto" w:sz="4" w:space="0"/>
            </w:tcBorders>
          </w:tcPr>
          <w:p>
            <w:pPr>
              <w:jc w:val="right"/>
              <w:rPr>
                <w:rFonts w:asciiTheme="minorHAnsi" w:hAnsiTheme="minorHAnsi" w:cstheme="minorHAnsi"/>
                <w:sz w:val="20"/>
                <w:szCs w:val="20"/>
                <w:lang w:val="sr-Cyrl-BA"/>
              </w:rPr>
            </w:pPr>
            <w:r>
              <w:rPr>
                <w:rFonts w:asciiTheme="minorHAnsi" w:hAnsiTheme="minorHAnsi" w:cstheme="minorHAnsi"/>
                <w:sz w:val="20"/>
                <w:szCs w:val="20"/>
                <w:lang w:val="sr-Cyrl-BA"/>
              </w:rPr>
              <w:t>20.000.00</w:t>
            </w:r>
          </w:p>
        </w:tc>
        <w:tc>
          <w:tcPr>
            <w:tcW w:w="1280" w:type="dxa"/>
            <w:tcBorders>
              <w:top w:val="single" w:color="auto" w:sz="4" w:space="0"/>
              <w:left w:val="single" w:color="auto" w:sz="4" w:space="0"/>
              <w:bottom w:val="single" w:color="auto" w:sz="4" w:space="0"/>
              <w:right w:val="single" w:color="auto" w:sz="4" w:space="0"/>
            </w:tcBorders>
          </w:tcPr>
          <w:p>
            <w:pPr>
              <w:jc w:val="right"/>
              <w:rPr>
                <w:rFonts w:eastAsia="Times New Roman" w:asciiTheme="minorHAnsi" w:hAnsiTheme="minorHAnsi" w:cstheme="minorHAnsi"/>
                <w:sz w:val="20"/>
                <w:szCs w:val="20"/>
                <w:lang w:val="sr-Cyrl-BA" w:eastAsia="hr-BA"/>
              </w:rPr>
            </w:pPr>
            <w:r>
              <w:rPr>
                <w:rFonts w:eastAsia="Times New Roman" w:asciiTheme="minorHAnsi" w:hAnsiTheme="minorHAnsi" w:cstheme="minorHAnsi"/>
                <w:sz w:val="20"/>
                <w:szCs w:val="20"/>
                <w:lang w:val="sr-Cyrl-BA" w:eastAsia="hr-BA"/>
              </w:rPr>
              <w:t>21.000.00</w:t>
            </w:r>
          </w:p>
        </w:tc>
      </w:tr>
    </w:tbl>
    <w:p>
      <w:pPr>
        <w:shd w:val="clear" w:color="auto" w:fill="FFFFFF"/>
        <w:spacing w:before="100" w:beforeAutospacing="1" w:after="100" w:afterAutospacing="1"/>
        <w:jc w:val="both"/>
        <w:rPr>
          <w:rFonts w:eastAsia="Times New Roman" w:cs="Calibri"/>
          <w:i/>
          <w:sz w:val="18"/>
          <w:lang w:val="sr-Cyrl-RS" w:eastAsia="hr-BA"/>
        </w:rPr>
      </w:pPr>
      <w:r>
        <w:rPr>
          <w:rFonts w:eastAsia="Times New Roman" w:cs="Calibri"/>
          <w:i/>
          <w:sz w:val="18"/>
          <w:lang w:val="sr-Cyrl-RS" w:eastAsia="hr-BA"/>
        </w:rPr>
        <w:t xml:space="preserve">Извор: </w:t>
      </w:r>
      <w:r>
        <w:rPr>
          <w:rFonts w:eastAsia="Times New Roman" w:cs="Calibri"/>
          <w:i/>
          <w:sz w:val="18"/>
          <w:lang w:val="sr-Cyrl-CS" w:eastAsia="hr-BA"/>
        </w:rPr>
        <w:t>Б</w:t>
      </w:r>
      <w:r>
        <w:rPr>
          <w:rFonts w:eastAsia="Times New Roman" w:cs="Calibri"/>
          <w:i/>
          <w:sz w:val="18"/>
          <w:lang w:val="sr-Cyrl-RS" w:eastAsia="hr-BA"/>
        </w:rPr>
        <w:t xml:space="preserve">уџет града Бања Лука и извјештаји Центра за социјани рад </w:t>
      </w:r>
    </w:p>
    <w:p>
      <w:pPr>
        <w:shd w:val="clear" w:color="auto" w:fill="FFFFFF"/>
        <w:spacing w:before="100" w:beforeAutospacing="1" w:after="100" w:afterAutospacing="1"/>
        <w:jc w:val="both"/>
        <w:rPr>
          <w:rFonts w:eastAsia="Times New Roman" w:cs="Calibri"/>
          <w:lang w:val="sr-Latn-RS" w:eastAsia="hr-BA"/>
        </w:rPr>
      </w:pPr>
      <w:r>
        <w:rPr>
          <w:rFonts w:eastAsia="Times New Roman" w:cs="Calibri"/>
          <w:b/>
          <w:lang w:val="sr-Cyrl-RS" w:eastAsia="hr-BA"/>
        </w:rPr>
        <w:t xml:space="preserve">Институционални капацитети. </w:t>
      </w:r>
      <w:r>
        <w:rPr>
          <w:rFonts w:eastAsia="Times New Roman"/>
          <w:lang w:val="sr-Cyrl-RS" w:eastAsia="hr-BA"/>
        </w:rPr>
        <w:t>Град</w:t>
      </w:r>
      <w:r>
        <w:rPr>
          <w:rFonts w:eastAsia="Times New Roman" w:cs="Calibri"/>
          <w:lang w:val="sr-Cyrl-BA" w:eastAsia="hr-BA"/>
        </w:rPr>
        <w:t xml:space="preserve"> Бања Лука је носилац креирања и имплементације социј</w:t>
      </w:r>
      <w:r>
        <w:rPr>
          <w:rFonts w:eastAsia="Times New Roman" w:cs="Calibri"/>
          <w:lang w:val="sr-Latn-CS" w:eastAsia="hr-BA"/>
        </w:rPr>
        <w:t>a</w:t>
      </w:r>
      <w:r>
        <w:rPr>
          <w:rFonts w:eastAsia="Times New Roman" w:cs="Calibri"/>
          <w:lang w:val="sr-Cyrl-BA" w:eastAsia="hr-BA"/>
        </w:rPr>
        <w:t>лне политике, која се реализује кроз програме социјалне заштите у организацији Јавне установе „Центар за социјални рад''  Бања Лука, других јавних установа, те невладиних организација које дјелују у сфери социјалног сектора на територији Града. При Скупштини је формирано стално радно тијело Одбор за здравство, школство и социјалну политику</w:t>
      </w:r>
      <w:r>
        <w:rPr>
          <w:rFonts w:ascii="Times New Roman" w:hAnsi="Times New Roman" w:cs="Calibri"/>
          <w:vertAlign w:val="superscript"/>
          <w:lang w:val="sr-Cyrl-BA" w:eastAsia="hr-BA"/>
        </w:rPr>
        <w:footnoteReference w:id="56"/>
      </w:r>
      <w:r>
        <w:rPr>
          <w:rFonts w:eastAsia="Times New Roman" w:cs="Calibri"/>
          <w:lang w:val="sr-Cyrl-BA" w:eastAsia="hr-BA"/>
        </w:rPr>
        <w:t>, који, између осталог, има за задатак да стање у области остваривања социјалних права и права лица са посебним потребама, даје иницијативе и предлаже Скупштини предузимање мјера у оквиру њене надлежности у циљу побољшања социјалне политике у Граду и др. Одбор чине одборници Скупштине града и представници научних и стручних радника из ових области.</w:t>
      </w:r>
      <w:r>
        <w:rPr>
          <w:rFonts w:eastAsia="Times New Roman" w:cs="Calibri"/>
          <w:lang w:val="sr-Cyrl-CS" w:eastAsia="hr-BA"/>
        </w:rPr>
        <w:t xml:space="preserve"> </w:t>
      </w:r>
      <w:r>
        <w:rPr>
          <w:rFonts w:cs="Calibri"/>
          <w:lang w:val="sr-Cyrl-BA"/>
        </w:rPr>
        <w:t>У Одјељењу за културу, туризам и социјалну политику,</w:t>
      </w:r>
      <w:r>
        <w:rPr>
          <w:rFonts w:cs="Calibri"/>
          <w:lang w:val="sr-Latn-RS"/>
        </w:rPr>
        <w:t xml:space="preserve"> </w:t>
      </w:r>
      <w:r>
        <w:rPr>
          <w:rFonts w:cs="Calibri"/>
          <w:lang w:val="sr-Cyrl-BA"/>
        </w:rPr>
        <w:t>обављају се послови из области социјалне заштите и дјечије заштите на нивоу координације програма социјалне заштите за град Бању Луку</w:t>
      </w:r>
      <w:r>
        <w:rPr>
          <w:rFonts w:cs="Calibri"/>
          <w:lang w:val="sr-Latn-CS"/>
        </w:rPr>
        <w:t>,</w:t>
      </w:r>
      <w:r>
        <w:rPr>
          <w:rFonts w:cs="Calibri"/>
          <w:lang w:val="sr-Cyrl-BA"/>
        </w:rPr>
        <w:t xml:space="preserve"> а подсредством ЈУ ЦСР, која координира, и директно пружа услуге корисницима социјалне заштите</w:t>
      </w:r>
      <w:r>
        <w:rPr>
          <w:rFonts w:cs="Calibri"/>
          <w:lang w:val="sr-Latn-RS"/>
        </w:rPr>
        <w:t xml:space="preserve">. </w:t>
      </w:r>
    </w:p>
    <w:p>
      <w:pPr>
        <w:shd w:val="clear" w:color="auto" w:fill="FFFFFF"/>
        <w:spacing w:before="100" w:beforeAutospacing="1" w:after="100" w:afterAutospacing="1"/>
        <w:jc w:val="both"/>
        <w:rPr>
          <w:rFonts w:eastAsia="Times New Roman" w:cs="Calibri"/>
          <w:lang w:val="sr-Cyrl-RS" w:eastAsia="hr-BA"/>
        </w:rPr>
      </w:pPr>
      <w:r>
        <w:rPr>
          <w:rFonts w:eastAsia="Times New Roman" w:cs="Calibri"/>
          <w:b/>
          <w:lang w:val="sr-Cyrl-BA" w:eastAsia="hr-BA"/>
        </w:rPr>
        <w:t>Јавна установа „Центар за социјални рад'' Бања Лука</w:t>
      </w:r>
      <w:r>
        <w:rPr>
          <w:rFonts w:ascii="Times New Roman" w:hAnsi="Times New Roman" w:cs="Calibri"/>
          <w:b/>
          <w:vertAlign w:val="superscript"/>
          <w:lang w:val="sr-Cyrl-BA" w:eastAsia="hr-BA"/>
        </w:rPr>
        <w:footnoteReference w:id="57"/>
      </w:r>
      <w:r>
        <w:rPr>
          <w:rFonts w:eastAsia="Times New Roman" w:cs="Calibri"/>
          <w:b/>
          <w:lang w:val="sr-Latn-RS" w:eastAsia="hr-BA"/>
        </w:rPr>
        <w:t xml:space="preserve"> </w:t>
      </w:r>
      <w:r>
        <w:rPr>
          <w:rFonts w:eastAsia="Times New Roman" w:cs="Calibri"/>
          <w:lang w:val="sr-Cyrl-BA" w:eastAsia="hr-BA"/>
        </w:rPr>
        <w:t>је једина институција са јавним овлашћењима која</w:t>
      </w:r>
      <w:r>
        <w:rPr>
          <w:rFonts w:eastAsia="Times New Roman" w:cs="Calibri"/>
          <w:lang w:val="sr-Latn-CS" w:eastAsia="hr-BA"/>
        </w:rPr>
        <w:t xml:space="preserve"> </w:t>
      </w:r>
      <w:r>
        <w:rPr>
          <w:rFonts w:eastAsia="Times New Roman" w:cs="Calibri"/>
          <w:lang w:val="sr-Cyrl-BA" w:eastAsia="hr-BA"/>
        </w:rPr>
        <w:t>је основана од стране Града 1974.</w:t>
      </w:r>
      <w:r>
        <w:rPr>
          <w:rFonts w:eastAsia="Times New Roman" w:cs="Calibri"/>
          <w:lang w:val="sr-Latn-RS" w:eastAsia="hr-BA"/>
        </w:rPr>
        <w:t xml:space="preserve"> </w:t>
      </w:r>
      <w:r>
        <w:rPr>
          <w:rFonts w:eastAsia="Times New Roman" w:cs="Calibri"/>
          <w:lang w:val="sr-Cyrl-BA" w:eastAsia="hr-BA"/>
        </w:rPr>
        <w:t xml:space="preserve">године, са законском обавезом за потпуну имплементацију примарног Закона о социјалној заштити, али и низ других закона, којима се остварује потпуна имплементација социјалне заштите. Мисија ЈУ ЦСР је провођење социјалне, дјечије и породичне заштите на подручју Града Бања Лука, те пружање разних врста услуга из подручја дјелатности социјалног рада.  </w:t>
      </w:r>
      <w:r>
        <w:rPr>
          <w:rFonts w:eastAsia="Times New Roman" w:cs="Calibri"/>
          <w:lang w:eastAsia="hr-BA"/>
        </w:rPr>
        <w:t>С обзиром да ЈУ "Центар за социјални рад" Бања Лука од 2007. године има уведен систем управљања квалитетом у складу са стандардом ISO 9001:2000, основна обавеза ове установе јесте да осигура квалитетну услугу и задовољство корисник</w:t>
      </w:r>
      <w:r>
        <w:rPr>
          <w:rFonts w:eastAsia="Times New Roman" w:cs="Calibri"/>
          <w:lang w:val="sr-Cyrl-RS" w:eastAsia="hr-BA"/>
        </w:rPr>
        <w:t xml:space="preserve">а.  </w:t>
      </w:r>
      <w:r>
        <w:rPr>
          <w:rFonts w:eastAsia="Times New Roman" w:cs="Calibri"/>
          <w:lang w:val="sr-Cyrl-CS" w:eastAsia="hr-BA"/>
        </w:rPr>
        <w:t xml:space="preserve">Поред законом дефинисаних послова и задатака, ЈУ ЦСР БЛ своју дјелатност остварује и на основу одлука оснивача: Одлуке о оснивању, Одлуке о проширеним правима из социјалне заштите и других правних аката као што су </w:t>
      </w:r>
      <w:r>
        <w:rPr>
          <w:rFonts w:eastAsia="Times New Roman" w:cs="Calibri"/>
          <w:lang w:val="sr-Cyrl-BA" w:eastAsia="hr-BA"/>
        </w:rPr>
        <w:t xml:space="preserve">Статут, </w:t>
      </w:r>
      <w:r>
        <w:rPr>
          <w:rFonts w:eastAsia="Times New Roman" w:cs="Calibri"/>
          <w:lang w:val="sr-Cyrl-CS" w:eastAsia="hr-BA"/>
        </w:rPr>
        <w:t xml:space="preserve">правилници, програми, те важеће Стратегије развоја Града Бања Лука и остале стратегије релевантне за функционисање Центра. </w:t>
      </w:r>
    </w:p>
    <w:p>
      <w:pPr>
        <w:shd w:val="clear" w:color="auto" w:fill="FFFFFF"/>
        <w:spacing w:before="100" w:beforeAutospacing="1" w:after="100" w:afterAutospacing="1"/>
        <w:jc w:val="both"/>
        <w:rPr>
          <w:rFonts w:eastAsia="Times New Roman" w:cs="Calibri"/>
          <w:color w:val="444444"/>
          <w:lang w:val="sr-Cyrl-RS" w:eastAsia="hr-BA"/>
        </w:rPr>
      </w:pPr>
      <w:r>
        <w:rPr>
          <w:rFonts w:eastAsia="Times New Roman" w:cs="Calibri"/>
          <w:b/>
          <w:shd w:val="clear" w:color="auto" w:fill="FFFFFF"/>
          <w:lang w:val="sr-Cyrl-RS" w:eastAsia="hr-BA"/>
        </w:rPr>
        <w:t>Ј</w:t>
      </w:r>
      <w:r>
        <w:rPr>
          <w:rFonts w:eastAsia="Times New Roman" w:cs="Calibri"/>
          <w:b/>
          <w:shd w:val="clear" w:color="auto" w:fill="FFFFFF"/>
          <w:lang w:eastAsia="hr-BA"/>
        </w:rPr>
        <w:t>авна установа Дом за дјецу и омладину без родитељског старања „Рада Врањешевић“ у Бања Луци</w:t>
      </w:r>
      <w:r>
        <w:rPr>
          <w:rFonts w:ascii="Times New Roman" w:hAnsi="Times New Roman" w:cs="Calibri"/>
          <w:b/>
          <w:shd w:val="clear" w:color="auto" w:fill="FFFFFF"/>
          <w:vertAlign w:val="superscript"/>
          <w:lang w:eastAsia="hr-BA"/>
        </w:rPr>
        <w:footnoteReference w:id="58"/>
      </w:r>
      <w:r>
        <w:rPr>
          <w:rFonts w:eastAsia="Times New Roman" w:cs="Calibri"/>
          <w:b/>
          <w:shd w:val="clear" w:color="auto" w:fill="FFFFFF"/>
          <w:lang w:val="sr-Cyrl-RS" w:eastAsia="hr-BA"/>
        </w:rPr>
        <w:t xml:space="preserve"> </w:t>
      </w:r>
      <w:r>
        <w:rPr>
          <w:rFonts w:eastAsia="Times New Roman" w:cs="Calibri"/>
          <w:shd w:val="clear" w:color="auto" w:fill="FFFFFF"/>
          <w:lang w:eastAsia="hr-BA"/>
        </w:rPr>
        <w:t xml:space="preserve"> једини је овакав организован облик социјалне заштите у Републици Српској и обезбјеђује социјално-здравствену заштиту, васпитање и образовање, те оспособљавање за самосталан живот и рад најугроженијој категорији становништва</w:t>
      </w:r>
      <w:r>
        <w:rPr>
          <w:rFonts w:eastAsia="Times New Roman" w:cs="Calibri"/>
          <w:shd w:val="clear" w:color="auto" w:fill="FFFFFF"/>
          <w:lang w:val="sr-Cyrl-RS" w:eastAsia="hr-BA"/>
        </w:rPr>
        <w:t xml:space="preserve">: </w:t>
      </w:r>
      <w:r>
        <w:rPr>
          <w:rFonts w:eastAsia="Times New Roman" w:cs="Calibri"/>
          <w:shd w:val="clear" w:color="auto" w:fill="FFFFFF"/>
          <w:lang w:eastAsia="hr-BA"/>
        </w:rPr>
        <w:t>дјец</w:t>
      </w:r>
      <w:r>
        <w:rPr>
          <w:rFonts w:eastAsia="Times New Roman" w:cs="Calibri"/>
          <w:shd w:val="clear" w:color="auto" w:fill="FFFFFF"/>
          <w:lang w:val="sr-Cyrl-RS" w:eastAsia="hr-BA"/>
        </w:rPr>
        <w:t>а</w:t>
      </w:r>
      <w:r>
        <w:rPr>
          <w:rFonts w:eastAsia="Times New Roman" w:cs="Calibri"/>
          <w:shd w:val="clear" w:color="auto" w:fill="FFFFFF"/>
          <w:lang w:eastAsia="hr-BA"/>
        </w:rPr>
        <w:t xml:space="preserve"> и млад</w:t>
      </w:r>
      <w:r>
        <w:rPr>
          <w:rFonts w:eastAsia="Times New Roman" w:cs="Calibri"/>
          <w:shd w:val="clear" w:color="auto" w:fill="FFFFFF"/>
          <w:lang w:val="sr-Cyrl-RS" w:eastAsia="hr-BA"/>
        </w:rPr>
        <w:t>и</w:t>
      </w:r>
      <w:r>
        <w:rPr>
          <w:rFonts w:eastAsia="Times New Roman" w:cs="Calibri"/>
          <w:shd w:val="clear" w:color="auto" w:fill="FFFFFF"/>
          <w:lang w:eastAsia="hr-BA"/>
        </w:rPr>
        <w:t xml:space="preserve"> без оба родитеља, непознатих родитеља, напуштених од стране родитеља, родитеља лишених родитељског права или са здравственим проблемима, затим  дјец</w:t>
      </w:r>
      <w:r>
        <w:rPr>
          <w:rFonts w:eastAsia="Times New Roman" w:cs="Calibri"/>
          <w:shd w:val="clear" w:color="auto" w:fill="FFFFFF"/>
          <w:lang w:val="sr-Cyrl-RS" w:eastAsia="hr-BA"/>
        </w:rPr>
        <w:t>а</w:t>
      </w:r>
      <w:r>
        <w:rPr>
          <w:rFonts w:eastAsia="Times New Roman" w:cs="Calibri"/>
          <w:shd w:val="clear" w:color="auto" w:fill="FFFFFF"/>
          <w:lang w:eastAsia="hr-BA"/>
        </w:rPr>
        <w:t xml:space="preserve"> и млад</w:t>
      </w:r>
      <w:r>
        <w:rPr>
          <w:rFonts w:eastAsia="Times New Roman" w:cs="Calibri"/>
          <w:shd w:val="clear" w:color="auto" w:fill="FFFFFF"/>
          <w:lang w:val="sr-Cyrl-RS" w:eastAsia="hr-BA"/>
        </w:rPr>
        <w:t>и</w:t>
      </w:r>
      <w:r>
        <w:rPr>
          <w:rFonts w:eastAsia="Times New Roman" w:cs="Calibri"/>
          <w:shd w:val="clear" w:color="auto" w:fill="FFFFFF"/>
          <w:lang w:eastAsia="hr-BA"/>
        </w:rPr>
        <w:t xml:space="preserve"> из породица са социо-економским проблемима, са поремећеним породичним и партнерским односима</w:t>
      </w:r>
      <w:r>
        <w:rPr>
          <w:rFonts w:eastAsia="Times New Roman" w:cs="Calibri"/>
          <w:shd w:val="clear" w:color="auto" w:fill="FFFFFF"/>
          <w:lang w:val="sr-Cyrl-RS" w:eastAsia="hr-BA"/>
        </w:rPr>
        <w:t xml:space="preserve">. </w:t>
      </w:r>
      <w:r>
        <w:rPr>
          <w:rFonts w:eastAsia="Times New Roman" w:cs="Calibri"/>
          <w:color w:val="444444"/>
          <w:lang w:val="sr-Cyrl-RS" w:eastAsia="hr-BA"/>
        </w:rPr>
        <w:t xml:space="preserve"> </w:t>
      </w:r>
    </w:p>
    <w:p>
      <w:pPr>
        <w:shd w:val="clear" w:color="auto" w:fill="FFFFFF"/>
        <w:spacing w:before="100" w:beforeAutospacing="1" w:after="100" w:afterAutospacing="1"/>
        <w:jc w:val="both"/>
        <w:rPr>
          <w:rFonts w:eastAsia="Times New Roman" w:cs="Calibri"/>
          <w:lang w:val="sr-Cyrl-RS" w:eastAsia="hr-BA"/>
        </w:rPr>
      </w:pPr>
      <w:r>
        <w:rPr>
          <w:rFonts w:eastAsia="Times New Roman" w:cs="Calibri"/>
          <w:b/>
          <w:lang w:val="sr-Cyrl-BA" w:eastAsia="hr-BA"/>
        </w:rPr>
        <w:t>Социјално геријатријски Центар Бања Лука</w:t>
      </w:r>
      <w:r>
        <w:rPr>
          <w:rFonts w:ascii="Times New Roman" w:hAnsi="Times New Roman" w:cs="Calibri"/>
          <w:vertAlign w:val="superscript"/>
          <w:lang w:val="sr-Cyrl-BA" w:eastAsia="hr-BA"/>
        </w:rPr>
        <w:footnoteReference w:id="59"/>
      </w:r>
      <w:r>
        <w:rPr>
          <w:rFonts w:eastAsia="Times New Roman" w:cs="Calibri"/>
          <w:lang w:val="sr-Cyrl-BA" w:eastAsia="hr-BA"/>
        </w:rPr>
        <w:t xml:space="preserve"> Смјештај  </w:t>
      </w:r>
      <w:r>
        <w:rPr>
          <w:rFonts w:eastAsia="Times New Roman" w:cs="Calibri"/>
          <w:lang w:val="sr-Cyrl-RS" w:eastAsia="hr-BA"/>
        </w:rPr>
        <w:t xml:space="preserve">корисника се врши по објектима/одјелима зависно од нивоа његе и услуге које су неопходне. Стационар је намењен лицима која су непокретна и теже ограничена у кретању. Капацитет одјела је 72 мјеста. Организација рада Геронтолошког центра је прилагођена обиму и врстама услуга, потребама корисника услуга и структури корисника, односно задовољавању њихових потреба у погледу различитих стања социјалне потребе, здравственог стања и др. 1997. године захваљујући донацији невладине организације из Швицарске </w:t>
      </w:r>
      <w:r>
        <w:rPr>
          <w:rFonts w:eastAsia="Times New Roman" w:cs="Calibri"/>
          <w:i/>
          <w:lang w:val="sr-Cyrl-RS" w:eastAsia="hr-BA"/>
        </w:rPr>
        <w:t>Swiss disaster relif</w:t>
      </w:r>
      <w:r>
        <w:rPr>
          <w:rFonts w:eastAsia="Times New Roman" w:cs="Calibri"/>
          <w:lang w:val="sr-Cyrl-RS" w:eastAsia="hr-BA"/>
        </w:rPr>
        <w:t xml:space="preserve"> и Хуманитарне Канцеларије Европске Заједнице </w:t>
      </w:r>
      <w:r>
        <w:rPr>
          <w:rFonts w:eastAsia="Times New Roman" w:cs="Calibri"/>
          <w:i/>
          <w:lang w:val="sr-Latn-RS" w:eastAsia="hr-BA"/>
        </w:rPr>
        <w:t>ECHO</w:t>
      </w:r>
      <w:r>
        <w:rPr>
          <w:rFonts w:eastAsia="Times New Roman" w:cs="Calibri"/>
          <w:lang w:val="sr-Cyrl-RS" w:eastAsia="hr-BA"/>
        </w:rPr>
        <w:t>, извршено је комплетно реновирање свих објеката.</w:t>
      </w:r>
    </w:p>
    <w:p>
      <w:pPr>
        <w:pStyle w:val="20"/>
        <w:shd w:val="clear" w:color="auto" w:fill="FFFFFF"/>
        <w:jc w:val="both"/>
        <w:rPr>
          <w:rFonts w:ascii="Calibri" w:hAnsi="Calibri" w:cs="Calibri"/>
          <w:sz w:val="22"/>
          <w:szCs w:val="22"/>
          <w:lang w:val="sr-Cyrl-RS"/>
        </w:rPr>
      </w:pPr>
      <w:r>
        <w:rPr>
          <w:rFonts w:ascii="Calibri" w:hAnsi="Calibri" w:cs="Calibri"/>
          <w:b/>
          <w:sz w:val="22"/>
          <w:szCs w:val="22"/>
          <w:lang w:val="sr-Cyrl-RS"/>
        </w:rPr>
        <w:t xml:space="preserve">Дом пензионера Бања Лука </w:t>
      </w:r>
      <w:r>
        <w:rPr>
          <w:rStyle w:val="31"/>
          <w:rFonts w:eastAsia="Calibri" w:cs="Calibri"/>
          <w:b/>
          <w:sz w:val="22"/>
          <w:szCs w:val="22"/>
          <w:lang w:val="sr-Cyrl-RS"/>
        </w:rPr>
        <w:footnoteReference w:id="60"/>
      </w:r>
      <w:r>
        <w:rPr>
          <w:rFonts w:ascii="Calibri" w:hAnsi="Calibri" w:cs="Calibri"/>
          <w:b/>
          <w:sz w:val="22"/>
          <w:szCs w:val="22"/>
          <w:lang w:val="sr-Latn-RS"/>
        </w:rPr>
        <w:t xml:space="preserve"> </w:t>
      </w:r>
      <w:r>
        <w:rPr>
          <w:rFonts w:ascii="Calibri" w:hAnsi="Calibri" w:cs="Calibri"/>
          <w:sz w:val="22"/>
          <w:szCs w:val="22"/>
          <w:lang w:val="sr-Cyrl-RS"/>
        </w:rPr>
        <w:t>својим корисницима пружа услуге становања, исхране, његе, културно-забавне, рекреативне и друге активности, услуге бриге и старања и друге услуге зависно од потреба и способности, те интересовања корисника. Капацитет дома је 150-250 лежајева ипружа услуге дневног боравка пензионера и других старих лица а подручја Бањалучке регије и других подручја Републике Српске. Дом такође обавља услуге хотелског смјештаја, изнајмљивања простора, организовања семинара, радионица и других угоститељских услуга. Дом пензионера се налази у Бања Луци, на обали ријеке Врбас, непосредно уз Зелени мост, у градском подручју са уредном инфраструктуром и уређеним прилазима. Планирано је да простор има спортско-рекреативне садржаје, те ће се додатно уредити са зеленилом и шеталиштем уз ријеку.</w:t>
      </w:r>
    </w:p>
    <w:p>
      <w:pPr>
        <w:pStyle w:val="20"/>
        <w:shd w:val="clear" w:color="auto" w:fill="FFFFFF"/>
        <w:jc w:val="both"/>
        <w:rPr>
          <w:rFonts w:ascii="Calibri" w:hAnsi="Calibri" w:cs="Calibri"/>
          <w:sz w:val="22"/>
          <w:szCs w:val="22"/>
          <w:lang w:val="sr-Cyrl-BA"/>
        </w:rPr>
      </w:pPr>
      <w:r>
        <w:rPr>
          <w:rFonts w:ascii="Calibri" w:hAnsi="Calibri" w:cs="Calibri"/>
          <w:sz w:val="22"/>
          <w:szCs w:val="22"/>
          <w:lang w:val="sr-Cyrl-BA"/>
        </w:rPr>
        <w:t xml:space="preserve">Велику улогу у заједници има и </w:t>
      </w:r>
      <w:r>
        <w:rPr>
          <w:rFonts w:ascii="Calibri" w:hAnsi="Calibri" w:cs="Calibri"/>
          <w:b/>
          <w:sz w:val="22"/>
          <w:szCs w:val="22"/>
          <w:lang w:val="sr-Cyrl-BA"/>
        </w:rPr>
        <w:t>Градски одбор Црвеног Крста</w:t>
      </w:r>
      <w:r>
        <w:rPr>
          <w:rFonts w:ascii="Calibri" w:hAnsi="Calibri" w:cs="Calibri"/>
          <w:sz w:val="22"/>
          <w:szCs w:val="22"/>
          <w:lang w:val="sr-Cyrl-BA"/>
        </w:rPr>
        <w:t xml:space="preserve"> путем којег се спроводе многе услуге у заједници, међу којима истичемо програм кућне његе, као и програм јавне кухиње за град Бању Луку. Поред тога, активну улогу у социјалној заштити у Граду имају и „</w:t>
      </w:r>
      <w:r>
        <w:rPr>
          <w:rFonts w:ascii="Calibri" w:hAnsi="Calibri" w:cs="Calibri"/>
          <w:b/>
          <w:sz w:val="22"/>
          <w:szCs w:val="22"/>
          <w:lang w:val="sr-Cyrl-BA"/>
        </w:rPr>
        <w:t>Каритас“ надбискупије Бања Лука, и МХД „Мерхамет“ Бања Лука</w:t>
      </w:r>
      <w:r>
        <w:rPr>
          <w:rFonts w:ascii="Calibri" w:hAnsi="Calibri" w:cs="Calibri"/>
          <w:sz w:val="22"/>
          <w:szCs w:val="22"/>
          <w:lang w:val="sr-Latn-CS"/>
        </w:rPr>
        <w:t>,</w:t>
      </w:r>
      <w:r>
        <w:rPr>
          <w:rFonts w:ascii="Calibri" w:hAnsi="Calibri" w:cs="Calibri"/>
          <w:sz w:val="22"/>
          <w:szCs w:val="22"/>
          <w:lang w:val="sr-Cyrl-BA"/>
        </w:rPr>
        <w:t xml:space="preserve"> а за исте активности које проводи и канцеларија Црвеног крста, само у нешто мањем капацитету обухвата броја корисника и ангажованих људских ресурса.</w:t>
      </w:r>
    </w:p>
    <w:p>
      <w:pPr>
        <w:pStyle w:val="20"/>
        <w:shd w:val="clear" w:color="auto" w:fill="FFFFFF"/>
        <w:jc w:val="both"/>
        <w:rPr>
          <w:rFonts w:ascii="Calibri" w:hAnsi="Calibri" w:cs="Calibri"/>
          <w:sz w:val="22"/>
          <w:szCs w:val="22"/>
          <w:lang w:val="sr-Cyrl-BA"/>
        </w:rPr>
      </w:pPr>
      <w:r>
        <w:rPr>
          <w:rFonts w:ascii="Calibri" w:hAnsi="Calibri" w:cs="Calibri"/>
          <w:b/>
          <w:sz w:val="22"/>
          <w:szCs w:val="22"/>
          <w:lang w:val="sr-Cyrl-BA"/>
        </w:rPr>
        <w:t xml:space="preserve">Удружења грађана </w:t>
      </w:r>
      <w:r>
        <w:rPr>
          <w:rFonts w:ascii="Calibri" w:hAnsi="Calibri" w:cs="Calibri"/>
          <w:sz w:val="22"/>
          <w:szCs w:val="22"/>
          <w:lang w:val="sr-Cyrl-BA"/>
        </w:rPr>
        <w:t>су партнери локалне самоуправе у пружању услуга социјалне заштите: Удружење дистрофичара Бања Лука, Удружење „ ЗАЈЕДНО“ – Удружење за помоћ породицама и заједници у менталном здрављу, НВО „Дневни центар за старе особе“, Удружење за помоћ ментално недовољно развијеним лицима Бања Лука, Хуманитарна организација „Партнер“, Удружење „Нова генерација“, Удружење за помоћ лицима са аутизмом „Дјеца свјетлости“, удружење Моја лука, Градска организација слијепих и слабовидих, Фондација „Удружене жене“ која пружа</w:t>
      </w:r>
      <w:r>
        <w:rPr>
          <w:sz w:val="22"/>
          <w:szCs w:val="22"/>
        </w:rPr>
        <w:t xml:space="preserve"> </w:t>
      </w:r>
      <w:r>
        <w:rPr>
          <w:rFonts w:asciiTheme="minorHAnsi" w:hAnsiTheme="minorHAnsi" w:cstheme="minorHAnsi"/>
          <w:sz w:val="22"/>
          <w:szCs w:val="22"/>
          <w:lang w:val="sr-Cyrl-RS"/>
        </w:rPr>
        <w:t xml:space="preserve">посебну мјеру подршке жртвама насиља у породици у Сигурној кући и др. </w:t>
      </w:r>
      <w:r>
        <w:rPr>
          <w:rFonts w:asciiTheme="minorHAnsi" w:hAnsiTheme="minorHAnsi" w:cstheme="minorHAnsi"/>
          <w:sz w:val="22"/>
          <w:szCs w:val="22"/>
          <w:lang w:val="sr-Cyrl-BA"/>
        </w:rPr>
        <w:t>На</w:t>
      </w:r>
      <w:r>
        <w:rPr>
          <w:rFonts w:ascii="Calibri" w:hAnsi="Calibri" w:cs="Calibri"/>
          <w:sz w:val="22"/>
          <w:szCs w:val="22"/>
          <w:lang w:val="sr-Cyrl-BA"/>
        </w:rPr>
        <w:t xml:space="preserve"> подручју града Бања Лука, регистровано је 30 удружења која делују на пољу социјалне заштите (детаљније у одјељку Цивилно друштво). Сви који пружају услуге имају рјешења министарства за обављање дјелатности. Други се баве савјетодавним радом, заступањем, хуманитарним радом и др.</w:t>
      </w:r>
    </w:p>
    <w:p>
      <w:pPr>
        <w:pStyle w:val="20"/>
        <w:shd w:val="clear" w:color="auto" w:fill="FFFFFF"/>
        <w:jc w:val="both"/>
        <w:rPr>
          <w:rFonts w:ascii="Calibri" w:hAnsi="Calibri" w:cs="Calibri"/>
          <w:sz w:val="22"/>
          <w:szCs w:val="22"/>
          <w:lang w:val="sr-Cyrl-BA"/>
        </w:rPr>
      </w:pPr>
      <w:r>
        <w:rPr>
          <w:rFonts w:ascii="Calibri" w:hAnsi="Calibri" w:cs="Calibri"/>
          <w:sz w:val="22"/>
          <w:szCs w:val="22"/>
          <w:lang w:val="sr-Cyrl-BA"/>
        </w:rPr>
        <w:t>При мјесним заједницама (укупно 57), било је формиран</w:t>
      </w:r>
      <w:r>
        <w:rPr>
          <w:rFonts w:ascii="Calibri" w:hAnsi="Calibri" w:cs="Calibri"/>
          <w:sz w:val="22"/>
          <w:szCs w:val="22"/>
          <w:lang w:val="sr-Latn-CS"/>
        </w:rPr>
        <w:t>o je</w:t>
      </w:r>
      <w:r>
        <w:rPr>
          <w:rFonts w:ascii="Calibri" w:hAnsi="Calibri" w:cs="Calibri"/>
          <w:sz w:val="22"/>
          <w:szCs w:val="22"/>
          <w:lang w:val="sr-Cyrl-BA"/>
        </w:rPr>
        <w:t xml:space="preserve"> </w:t>
      </w:r>
      <w:r>
        <w:rPr>
          <w:rFonts w:ascii="Calibri" w:hAnsi="Calibri" w:cs="Calibri"/>
          <w:b/>
          <w:sz w:val="22"/>
          <w:szCs w:val="22"/>
          <w:lang w:val="sr-Cyrl-BA"/>
        </w:rPr>
        <w:t>54 Комисије за социјална питања</w:t>
      </w:r>
      <w:r>
        <w:rPr>
          <w:rFonts w:ascii="Calibri" w:hAnsi="Calibri" w:cs="Calibri"/>
          <w:sz w:val="22"/>
          <w:szCs w:val="22"/>
          <w:lang w:val="sr-Cyrl-BA"/>
        </w:rPr>
        <w:t>, које су у сталном и свакодневном контакту са ЦСР, и путем којих се реализује социјални рад у заједници у најширем смислу. Ове комисије, нажалост, већ неколико година не функционишу.</w:t>
      </w:r>
    </w:p>
    <w:p>
      <w:pPr>
        <w:pStyle w:val="20"/>
        <w:shd w:val="clear" w:color="auto" w:fill="FFFFFF"/>
        <w:jc w:val="both"/>
        <w:rPr>
          <w:rFonts w:ascii="Calibri" w:hAnsi="Calibri" w:cs="Calibri"/>
          <w:b/>
          <w:sz w:val="22"/>
          <w:szCs w:val="22"/>
          <w:lang w:val="sr-Cyrl-RS"/>
        </w:rPr>
      </w:pPr>
      <w:r>
        <w:rPr>
          <w:rFonts w:ascii="Calibri" w:hAnsi="Calibri" w:cs="Calibri"/>
          <w:b/>
          <w:sz w:val="22"/>
          <w:szCs w:val="22"/>
          <w:lang w:val="sr-Cyrl-RS"/>
        </w:rPr>
        <w:t xml:space="preserve">Услуге и корисници социјалне заштите </w:t>
      </w:r>
    </w:p>
    <w:p>
      <w:pPr>
        <w:pStyle w:val="20"/>
        <w:shd w:val="clear" w:color="auto" w:fill="FFFFFF"/>
        <w:jc w:val="both"/>
        <w:rPr>
          <w:rFonts w:ascii="Calibri" w:hAnsi="Calibri" w:cs="Calibri"/>
          <w:sz w:val="22"/>
          <w:szCs w:val="22"/>
          <w:lang w:val="sr-Cyrl-RS"/>
        </w:rPr>
      </w:pPr>
      <w:r>
        <w:rPr>
          <w:rFonts w:ascii="Calibri" w:hAnsi="Calibri" w:cs="Calibri"/>
          <w:sz w:val="22"/>
          <w:szCs w:val="22"/>
          <w:lang w:val="sr-Cyrl-RS"/>
        </w:rPr>
        <w:t xml:space="preserve">Права у складу са овим законом реализују се новчаним давањима, социјалним услугама и другим мјерама које се пружају појединцу, члановима породице или породици у цјелини и које имају за циљ задовољавање социјалних потреба, те спрјечавање настанка социјалних проблема.  Права у социјалној заштити по Закону о социјалној заштити су: новчана помоћ;   додатак за помоћ и његу другог лица; подршка у изједначавању могућности дјеце и омладине са сметњама у развоју;  смјештај у установу; збрињавање у хранитељску породицу; помоћ и њега у кући; дневно збрињавање; једнократна новчана помоћ и савјетовање. </w:t>
      </w:r>
    </w:p>
    <w:p>
      <w:pPr>
        <w:pStyle w:val="20"/>
        <w:shd w:val="clear" w:color="auto" w:fill="FFFFFF"/>
        <w:jc w:val="both"/>
        <w:rPr>
          <w:rFonts w:ascii="Calibri" w:hAnsi="Calibri" w:cs="Calibri"/>
          <w:sz w:val="22"/>
          <w:szCs w:val="22"/>
          <w:lang w:val="sr-Cyrl-RS"/>
        </w:rPr>
      </w:pPr>
      <w:r>
        <w:rPr>
          <w:rFonts w:ascii="Calibri" w:hAnsi="Calibri" w:cs="Calibri"/>
          <w:sz w:val="22"/>
          <w:szCs w:val="22"/>
          <w:lang w:val="sr-Cyrl-RS"/>
        </w:rPr>
        <w:t>Укупан број корисника мјера социјалне заштите је око 15.000 (од 2012. године до данас, број је нарастао за око 1.300). Највећи је број корисника: новчана накнада за помоћ и његу друге особе (у 2016. их је било 4.348 или 28,4% од укупних давања за ову сврху), затим дјечији додатак (2.817 или 18,4%), једнократне новчане помоћи (2.074 или 13,6%), услуге социјалног рада или другог рада (1.911 или 12,5%) и накнада умјесто плате родитељу који је у радном односу (1.754 или 11,5%). Око 16% средстава за социјалну заштиту у 2016. години, исплаћено је као накнада умјесто плате родитељима без радног односа, као стална новчана помоћ, за здравствену и новчану помоћ, смјештај у установе социјалне заштите, смјештај у другу породицу, за кућну његу и помоћ у кући и другу новчану помоћ.</w:t>
      </w:r>
    </w:p>
    <w:p>
      <w:pPr>
        <w:pStyle w:val="20"/>
        <w:shd w:val="clear" w:color="auto" w:fill="FFFFFF"/>
        <w:jc w:val="center"/>
        <w:rPr>
          <w:rFonts w:ascii="Calibri" w:hAnsi="Calibri" w:cs="Calibri"/>
          <w:i/>
          <w:sz w:val="18"/>
          <w:szCs w:val="18"/>
          <w:lang w:val="sr-Cyrl-RS"/>
        </w:rPr>
      </w:pPr>
      <w:r>
        <w:rPr>
          <w:sz w:val="22"/>
          <w:szCs w:val="22"/>
          <w:lang w:val="sr-Latn-CS" w:eastAsia="sr-Latn-CS"/>
        </w:rPr>
        <w:drawing>
          <wp:anchor distT="0" distB="0" distL="114300" distR="114300" simplePos="0" relativeHeight="251668480" behindDoc="0" locked="0" layoutInCell="1" allowOverlap="1">
            <wp:simplePos x="0" y="0"/>
            <wp:positionH relativeFrom="column">
              <wp:posOffset>142875</wp:posOffset>
            </wp:positionH>
            <wp:positionV relativeFrom="paragraph">
              <wp:posOffset>347980</wp:posOffset>
            </wp:positionV>
            <wp:extent cx="5673090" cy="1503045"/>
            <wp:effectExtent l="0" t="0" r="22860" b="20955"/>
            <wp:wrapSquare wrapText="bothSides"/>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pPr>
        <w:pStyle w:val="20"/>
        <w:shd w:val="clear" w:color="auto" w:fill="FFFFFF"/>
        <w:jc w:val="both"/>
        <w:rPr>
          <w:rFonts w:ascii="Calibri" w:hAnsi="Calibri" w:cs="Calibri"/>
          <w:i/>
          <w:sz w:val="18"/>
          <w:szCs w:val="18"/>
          <w:lang w:val="sr-Cyrl-RS"/>
        </w:rPr>
      </w:pPr>
      <w:r>
        <w:rPr>
          <w:rFonts w:ascii="Calibri" w:hAnsi="Calibri" w:cs="Calibri"/>
          <w:i/>
          <w:sz w:val="18"/>
          <w:szCs w:val="18"/>
          <w:lang w:val="sr-Cyrl-RS"/>
        </w:rPr>
        <w:t xml:space="preserve">     Извор: Годишњи извјештаји ЦСР </w:t>
      </w:r>
    </w:p>
    <w:tbl>
      <w:tblPr>
        <w:tblStyle w:val="37"/>
        <w:tblW w:w="935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50" w:type="dxa"/>
            <w:shd w:val="clear" w:color="auto" w:fill="C5E0B3" w:themeFill="accent6" w:themeFillTint="66"/>
          </w:tcPr>
          <w:p>
            <w:pPr>
              <w:pStyle w:val="20"/>
              <w:shd w:val="clear" w:color="auto" w:fill="C5E0B3" w:themeFill="accent6" w:themeFillTint="66"/>
              <w:jc w:val="both"/>
              <w:rPr>
                <w:rFonts w:asciiTheme="minorHAnsi" w:hAnsiTheme="minorHAnsi" w:cstheme="minorHAnsi"/>
                <w:i/>
                <w:iCs/>
                <w:sz w:val="22"/>
                <w:szCs w:val="22"/>
                <w:lang w:val="sr-Cyrl-RS"/>
              </w:rPr>
            </w:pPr>
            <w:r>
              <w:rPr>
                <w:rFonts w:ascii="Calibri" w:hAnsi="Calibri" w:cs="Calibri"/>
                <w:i/>
                <w:sz w:val="22"/>
                <w:szCs w:val="22"/>
                <w:lang w:val="sr-Cyrl-RS"/>
              </w:rPr>
              <w:t>Подаци ЦСР указују да у посматраном периоду долази до значајног увећања укупног броја корисника ЦСР, нарочито до 2014.</w:t>
            </w:r>
            <w:r>
              <w:rPr>
                <w:rFonts w:ascii="Calibri" w:hAnsi="Calibri" w:cs="Calibri"/>
                <w:i/>
                <w:sz w:val="22"/>
                <w:szCs w:val="22"/>
                <w:lang w:val="sr-Latn-RS"/>
              </w:rPr>
              <w:t xml:space="preserve"> </w:t>
            </w:r>
            <w:r>
              <w:rPr>
                <w:rFonts w:ascii="Calibri" w:hAnsi="Calibri" w:cs="Calibri"/>
                <w:i/>
                <w:sz w:val="22"/>
                <w:szCs w:val="22"/>
                <w:lang w:val="sr-Cyrl-RS"/>
              </w:rPr>
              <w:t xml:space="preserve">године. </w:t>
            </w:r>
            <w:r>
              <w:rPr>
                <w:rFonts w:asciiTheme="minorHAnsi" w:hAnsiTheme="minorHAnsi" w:cstheme="minorHAnsi"/>
                <w:i/>
                <w:sz w:val="22"/>
                <w:szCs w:val="22"/>
                <w:lang w:val="sr-Cyrl-RS"/>
              </w:rPr>
              <w:t>И</w:t>
            </w:r>
            <w:r>
              <w:rPr>
                <w:rFonts w:asciiTheme="minorHAnsi" w:hAnsiTheme="minorHAnsi" w:cstheme="minorHAnsi"/>
                <w:i/>
                <w:color w:val="1A1617"/>
                <w:sz w:val="22"/>
                <w:szCs w:val="22"/>
              </w:rPr>
              <w:t>страживања узрока броја повећања корисника</w:t>
            </w:r>
            <w:r>
              <w:rPr>
                <w:rFonts w:asciiTheme="minorHAnsi" w:hAnsiTheme="minorHAnsi" w:cstheme="minorHAnsi"/>
                <w:i/>
                <w:color w:val="1A1617"/>
                <w:sz w:val="22"/>
                <w:szCs w:val="22"/>
                <w:lang w:val="sr-Cyrl-RS"/>
              </w:rPr>
              <w:t xml:space="preserve"> нису рађена,</w:t>
            </w:r>
            <w:r>
              <w:rPr>
                <w:rFonts w:asciiTheme="minorHAnsi" w:hAnsiTheme="minorHAnsi" w:cstheme="minorHAnsi"/>
                <w:i/>
                <w:color w:val="1A1617"/>
                <w:sz w:val="22"/>
                <w:szCs w:val="22"/>
              </w:rPr>
              <w:t xml:space="preserve"> али је знатно повећан број корисника права на туђу његу и помоћ које се реализује на основу здравственог стања.</w:t>
            </w:r>
            <w:r>
              <w:rPr>
                <w:rFonts w:asciiTheme="minorHAnsi" w:hAnsiTheme="minorHAnsi" w:cstheme="minorHAnsi"/>
                <w:i/>
                <w:color w:val="1A1617"/>
                <w:sz w:val="22"/>
                <w:szCs w:val="22"/>
                <w:lang w:val="sr-Cyrl-RS"/>
              </w:rPr>
              <w:t xml:space="preserve"> Туђа њега и помоћ је раније била право искључиво лица са инвалидитетом, међутим, посљедњих година, ово право остварују и старија лица која имају здравствених проблема у свакодневном животу. О</w:t>
            </w:r>
            <w:r>
              <w:rPr>
                <w:rFonts w:asciiTheme="minorHAnsi" w:hAnsiTheme="minorHAnsi" w:cstheme="minorHAnsi"/>
                <w:i/>
                <w:color w:val="1A1617"/>
                <w:sz w:val="22"/>
                <w:szCs w:val="22"/>
              </w:rPr>
              <w:t>сцилација смањења смјештаја у хранитељску породицу има за резул</w:t>
            </w:r>
            <w:r>
              <w:rPr>
                <w:rFonts w:asciiTheme="minorHAnsi" w:hAnsiTheme="minorHAnsi" w:cstheme="minorHAnsi"/>
                <w:i/>
                <w:color w:val="1A1617"/>
                <w:sz w:val="22"/>
                <w:szCs w:val="22"/>
                <w:lang w:val="sr-Cyrl-RS"/>
              </w:rPr>
              <w:t>тат</w:t>
            </w:r>
            <w:r>
              <w:rPr>
                <w:rFonts w:asciiTheme="minorHAnsi" w:hAnsiTheme="minorHAnsi" w:cstheme="minorHAnsi"/>
                <w:i/>
                <w:color w:val="1A1617"/>
                <w:sz w:val="22"/>
                <w:szCs w:val="22"/>
              </w:rPr>
              <w:t xml:space="preserve"> повећање смјештаја у институцију у истом броју</w:t>
            </w:r>
            <w:r>
              <w:rPr>
                <w:rFonts w:asciiTheme="minorHAnsi" w:hAnsiTheme="minorHAnsi" w:cstheme="minorHAnsi"/>
                <w:i/>
                <w:color w:val="1A1617"/>
                <w:sz w:val="22"/>
                <w:szCs w:val="22"/>
                <w:lang w:val="sr-Cyrl-RS"/>
              </w:rPr>
              <w:t>.</w:t>
            </w:r>
          </w:p>
        </w:tc>
      </w:tr>
    </w:tbl>
    <w:p>
      <w:pPr>
        <w:pStyle w:val="20"/>
        <w:shd w:val="clear" w:color="auto" w:fill="FFFFFF"/>
        <w:jc w:val="both"/>
        <w:rPr>
          <w:rFonts w:ascii="Calibri" w:hAnsi="Calibri" w:cs="Calibri"/>
          <w:sz w:val="22"/>
          <w:szCs w:val="22"/>
          <w:lang w:val="sr-Cyrl-BA"/>
        </w:rPr>
      </w:pPr>
      <w:r>
        <w:rPr>
          <w:rFonts w:ascii="Calibri" w:hAnsi="Calibri" w:cs="Calibri"/>
          <w:sz w:val="22"/>
          <w:szCs w:val="22"/>
          <w:lang w:val="sr-Cyrl-RS"/>
        </w:rPr>
        <w:t xml:space="preserve">Поред права утврђених овим законом, јединица локалне самоуправе својом одлуком, у складу са потребама становништва, може да утврди и друга права и услуге, услове и критеријуме за њихово остваривање, што је Град Бања Лука у претходном периоду у великој мјери и реализовао.  </w:t>
      </w:r>
      <w:r>
        <w:rPr>
          <w:rFonts w:ascii="Calibri" w:hAnsi="Calibri" w:cs="Calibri"/>
          <w:sz w:val="22"/>
          <w:szCs w:val="22"/>
          <w:lang w:val="sr-Cyrl-BA"/>
        </w:rPr>
        <w:t xml:space="preserve">Остали послови ЦСР, </w:t>
      </w:r>
      <w:r>
        <w:rPr>
          <w:rFonts w:ascii="Calibri" w:hAnsi="Calibri" w:cs="Calibri"/>
          <w:sz w:val="22"/>
          <w:szCs w:val="22"/>
          <w:lang w:val="sr-Cyrl-CS"/>
        </w:rPr>
        <w:t xml:space="preserve">који се реализују у партнерству су: </w:t>
      </w:r>
    </w:p>
    <w:p>
      <w:pPr>
        <w:pStyle w:val="20"/>
        <w:numPr>
          <w:ilvl w:val="0"/>
          <w:numId w:val="21"/>
        </w:numPr>
        <w:shd w:val="clear" w:color="auto" w:fill="FFFFFF"/>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 xml:space="preserve">Персонална асистенција </w:t>
      </w:r>
    </w:p>
    <w:p>
      <w:pPr>
        <w:pStyle w:val="20"/>
        <w:numPr>
          <w:ilvl w:val="0"/>
          <w:numId w:val="21"/>
        </w:numPr>
        <w:shd w:val="clear" w:color="auto" w:fill="FFFFFF"/>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 xml:space="preserve">Помоћ у кући за старе </w:t>
      </w:r>
    </w:p>
    <w:p>
      <w:pPr>
        <w:pStyle w:val="20"/>
        <w:numPr>
          <w:ilvl w:val="0"/>
          <w:numId w:val="21"/>
        </w:numPr>
        <w:shd w:val="clear" w:color="auto" w:fill="FFFFFF"/>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 xml:space="preserve">Дневни центар за лица са проблемима у менталном здрављу </w:t>
      </w:r>
    </w:p>
    <w:p>
      <w:pPr>
        <w:pStyle w:val="20"/>
        <w:numPr>
          <w:ilvl w:val="0"/>
          <w:numId w:val="21"/>
        </w:numPr>
        <w:shd w:val="clear" w:color="auto" w:fill="FFFFFF"/>
        <w:spacing w:after="75"/>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Дневни центар за стара лица</w:t>
      </w:r>
    </w:p>
    <w:p>
      <w:pPr>
        <w:pStyle w:val="20"/>
        <w:numPr>
          <w:ilvl w:val="0"/>
          <w:numId w:val="21"/>
        </w:numPr>
        <w:shd w:val="clear" w:color="auto" w:fill="FFFFFF"/>
        <w:spacing w:after="75"/>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 xml:space="preserve">Дневни боравак за одрасла ментално недовољно развијена лица </w:t>
      </w:r>
    </w:p>
    <w:p>
      <w:pPr>
        <w:pStyle w:val="20"/>
        <w:numPr>
          <w:ilvl w:val="0"/>
          <w:numId w:val="21"/>
        </w:numPr>
        <w:shd w:val="clear" w:color="auto" w:fill="FFFFFF"/>
        <w:spacing w:after="75"/>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 xml:space="preserve">Дневни центар за дјецу угрожену породичним приликама </w:t>
      </w:r>
    </w:p>
    <w:p>
      <w:pPr>
        <w:pStyle w:val="20"/>
        <w:numPr>
          <w:ilvl w:val="0"/>
          <w:numId w:val="21"/>
        </w:numPr>
        <w:shd w:val="clear" w:color="auto" w:fill="FFFFFF"/>
        <w:spacing w:after="75"/>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Прихватна станица за дјецу затечену у скитњи</w:t>
      </w:r>
    </w:p>
    <w:p>
      <w:pPr>
        <w:pStyle w:val="20"/>
        <w:numPr>
          <w:ilvl w:val="0"/>
          <w:numId w:val="21"/>
        </w:numPr>
        <w:shd w:val="clear" w:color="auto" w:fill="FFFFFF"/>
        <w:spacing w:after="75"/>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 xml:space="preserve">Дневни центар за дјецу са тежим, тешким и комбинованим сметњама </w:t>
      </w:r>
    </w:p>
    <w:p>
      <w:pPr>
        <w:pStyle w:val="20"/>
        <w:numPr>
          <w:ilvl w:val="0"/>
          <w:numId w:val="21"/>
        </w:numPr>
        <w:shd w:val="clear" w:color="auto" w:fill="FFFFFF"/>
        <w:spacing w:after="75"/>
        <w:ind w:left="450"/>
        <w:jc w:val="both"/>
        <w:rPr>
          <w:rFonts w:asciiTheme="minorHAnsi" w:hAnsiTheme="minorHAnsi" w:cstheme="minorHAnsi"/>
          <w:sz w:val="22"/>
          <w:szCs w:val="22"/>
          <w:lang w:val="sr-Cyrl-RS"/>
        </w:rPr>
      </w:pPr>
      <w:r>
        <w:rPr>
          <w:rFonts w:asciiTheme="minorHAnsi" w:hAnsiTheme="minorHAnsi" w:cstheme="minorHAnsi"/>
          <w:sz w:val="22"/>
          <w:szCs w:val="22"/>
          <w:lang w:val="sr-Cyrl-RS"/>
        </w:rPr>
        <w:t>Дневни центар за дјецу са аутизмом</w:t>
      </w:r>
    </w:p>
    <w:p>
      <w:pPr>
        <w:pStyle w:val="20"/>
        <w:numPr>
          <w:ilvl w:val="0"/>
          <w:numId w:val="21"/>
        </w:numPr>
        <w:shd w:val="clear" w:color="auto" w:fill="FFFFFF"/>
        <w:spacing w:after="75"/>
        <w:ind w:left="450"/>
        <w:jc w:val="both"/>
        <w:rPr>
          <w:rFonts w:asciiTheme="minorHAnsi" w:hAnsiTheme="minorHAnsi" w:cstheme="minorHAnsi"/>
          <w:sz w:val="22"/>
          <w:szCs w:val="22"/>
          <w:lang w:val="sr-Latn-RS"/>
        </w:rPr>
      </w:pPr>
      <w:r>
        <w:rPr>
          <w:rFonts w:asciiTheme="minorHAnsi" w:hAnsiTheme="minorHAnsi" w:cstheme="minorHAnsi"/>
          <w:sz w:val="22"/>
          <w:szCs w:val="22"/>
          <w:lang w:val="sr-Cyrl-RS"/>
        </w:rPr>
        <w:t>Прихватна станица за одрасла и стара лица</w:t>
      </w:r>
      <w:r>
        <w:rPr>
          <w:rFonts w:ascii="Calibri" w:hAnsi="Calibri" w:cs="Calibri"/>
          <w:sz w:val="22"/>
          <w:szCs w:val="22"/>
          <w:lang w:val="sr-Cyrl-CS"/>
        </w:rPr>
        <w:t xml:space="preserve"> </w:t>
      </w:r>
    </w:p>
    <w:p>
      <w:pPr>
        <w:pStyle w:val="20"/>
        <w:shd w:val="clear" w:color="auto" w:fill="FFFFFF"/>
        <w:spacing w:after="75"/>
        <w:ind w:left="90"/>
        <w:jc w:val="both"/>
        <w:rPr>
          <w:rFonts w:asciiTheme="minorHAnsi" w:hAnsiTheme="minorHAnsi" w:cstheme="minorHAnsi"/>
          <w:sz w:val="22"/>
          <w:szCs w:val="22"/>
          <w:lang w:val="sr-Latn-RS"/>
        </w:rPr>
      </w:pPr>
      <w:r>
        <w:rPr>
          <w:rFonts w:ascii="Calibri" w:hAnsi="Calibri" w:cs="Calibri"/>
          <w:sz w:val="22"/>
          <w:szCs w:val="22"/>
          <w:lang w:val="sr-Cyrl-CS"/>
        </w:rPr>
        <w:t>Ови послови координирани су</w:t>
      </w:r>
      <w:r>
        <w:rPr>
          <w:rFonts w:ascii="Calibri" w:hAnsi="Calibri" w:cs="Calibri"/>
          <w:sz w:val="22"/>
          <w:szCs w:val="22"/>
          <w:lang w:val="sr-Cyrl-BA"/>
        </w:rPr>
        <w:t xml:space="preserve"> у оквиру партнерских удружења.</w:t>
      </w:r>
    </w:p>
    <w:p>
      <w:pPr>
        <w:rPr>
          <w:rFonts w:cs="Calibri"/>
          <w:b/>
          <w:i/>
          <w:lang w:val="sr-Cyrl-BA"/>
        </w:rPr>
      </w:pPr>
      <w:r>
        <w:rPr>
          <w:rFonts w:cs="Calibri"/>
          <w:i/>
          <w:lang w:val="sr-Cyrl-BA"/>
        </w:rPr>
        <w:t xml:space="preserve">              </w:t>
      </w:r>
      <w:r>
        <w:rPr>
          <w:rFonts w:cs="Calibri"/>
          <w:b/>
          <w:i/>
          <w:lang w:val="sr-Cyrl-BA"/>
        </w:rPr>
        <w:t>Табела: Тренд кретања броја пружалаца услуга – проширених права</w:t>
      </w:r>
    </w:p>
    <w:tbl>
      <w:tblPr>
        <w:tblStyle w:val="36"/>
        <w:tblW w:w="8190" w:type="dxa"/>
        <w:jc w:val="center"/>
        <w:tblInd w:w="0" w:type="dxa"/>
        <w:tblLayout w:type="fixed"/>
        <w:tblCellMar>
          <w:top w:w="0" w:type="dxa"/>
          <w:left w:w="0" w:type="dxa"/>
          <w:bottom w:w="0" w:type="dxa"/>
          <w:right w:w="0" w:type="dxa"/>
        </w:tblCellMar>
      </w:tblPr>
      <w:tblGrid>
        <w:gridCol w:w="630"/>
        <w:gridCol w:w="2970"/>
        <w:gridCol w:w="2389"/>
        <w:gridCol w:w="671"/>
        <w:gridCol w:w="720"/>
        <w:gridCol w:w="810"/>
      </w:tblGrid>
      <w:tr>
        <w:tblPrEx>
          <w:tblLayout w:type="fixed"/>
          <w:tblCellMar>
            <w:top w:w="0" w:type="dxa"/>
            <w:left w:w="0" w:type="dxa"/>
            <w:bottom w:w="0" w:type="dxa"/>
            <w:right w:w="0" w:type="dxa"/>
          </w:tblCellMar>
        </w:tblPrEx>
        <w:trPr>
          <w:trHeight w:val="212" w:hRule="atLeast"/>
          <w:jc w:val="center"/>
        </w:trPr>
        <w:tc>
          <w:tcPr>
            <w:tcW w:w="630" w:type="dxa"/>
            <w:tcBorders>
              <w:top w:val="single" w:color="4472C4" w:sz="8" w:space="0"/>
              <w:left w:val="nil"/>
              <w:bottom w:val="single" w:color="4472C4" w:sz="8" w:space="0"/>
              <w:right w:val="nil"/>
            </w:tcBorders>
            <w:shd w:val="clear" w:color="auto" w:fill="525252"/>
            <w:tcMar>
              <w:top w:w="0" w:type="dxa"/>
              <w:left w:w="108" w:type="dxa"/>
              <w:bottom w:w="0" w:type="dxa"/>
              <w:right w:w="108" w:type="dxa"/>
            </w:tcMar>
          </w:tcPr>
          <w:p>
            <w:pPr>
              <w:rPr>
                <w:rFonts w:ascii="Times New Roman" w:hAnsi="Times New Roman"/>
                <w:bCs/>
                <w:sz w:val="20"/>
                <w:szCs w:val="20"/>
              </w:rPr>
            </w:pPr>
          </w:p>
        </w:tc>
        <w:tc>
          <w:tcPr>
            <w:tcW w:w="2970" w:type="dxa"/>
            <w:tcBorders>
              <w:top w:val="single" w:color="4472C4" w:sz="8" w:space="0"/>
              <w:left w:val="nil"/>
              <w:bottom w:val="single" w:color="4472C4" w:sz="8" w:space="0"/>
              <w:right w:val="nil"/>
            </w:tcBorders>
            <w:shd w:val="clear" w:color="auto" w:fill="385623"/>
            <w:tcMar>
              <w:top w:w="0" w:type="dxa"/>
              <w:left w:w="108" w:type="dxa"/>
              <w:bottom w:w="0" w:type="dxa"/>
              <w:right w:w="108" w:type="dxa"/>
            </w:tcMar>
          </w:tcPr>
          <w:p>
            <w:pPr>
              <w:spacing w:line="252" w:lineRule="auto"/>
              <w:jc w:val="center"/>
              <w:rPr>
                <w:bCs/>
                <w:color w:val="FFFFFF"/>
                <w:sz w:val="20"/>
                <w:szCs w:val="20"/>
              </w:rPr>
            </w:pPr>
            <w:r>
              <w:rPr>
                <w:b/>
                <w:color w:val="FFFFFF"/>
                <w:sz w:val="20"/>
                <w:szCs w:val="20"/>
              </w:rPr>
              <w:t>ПРУЖАОЦИ УСЛУГЕ</w:t>
            </w:r>
          </w:p>
        </w:tc>
        <w:tc>
          <w:tcPr>
            <w:tcW w:w="2389" w:type="dxa"/>
            <w:tcBorders>
              <w:top w:val="single" w:color="4472C4" w:sz="8" w:space="0"/>
              <w:left w:val="nil"/>
              <w:bottom w:val="single" w:color="4472C4" w:sz="8" w:space="0"/>
              <w:right w:val="nil"/>
            </w:tcBorders>
            <w:shd w:val="clear" w:color="auto" w:fill="385623"/>
            <w:tcMar>
              <w:top w:w="0" w:type="dxa"/>
              <w:left w:w="108" w:type="dxa"/>
              <w:bottom w:w="0" w:type="dxa"/>
              <w:right w:w="108" w:type="dxa"/>
            </w:tcMar>
          </w:tcPr>
          <w:p>
            <w:pPr>
              <w:spacing w:line="252" w:lineRule="auto"/>
              <w:jc w:val="center"/>
              <w:rPr>
                <w:bCs/>
                <w:color w:val="FFFFFF"/>
                <w:sz w:val="20"/>
                <w:szCs w:val="20"/>
                <w:lang w:val="sr-Cyrl-BA"/>
              </w:rPr>
            </w:pPr>
            <w:r>
              <w:rPr>
                <w:b/>
                <w:color w:val="FFFFFF"/>
                <w:sz w:val="20"/>
                <w:szCs w:val="20"/>
                <w:lang w:val="sr-Cyrl-BA"/>
              </w:rPr>
              <w:t>ПРОШИРЕНО ПРАВО</w:t>
            </w:r>
          </w:p>
        </w:tc>
        <w:tc>
          <w:tcPr>
            <w:tcW w:w="671" w:type="dxa"/>
            <w:tcBorders>
              <w:top w:val="single" w:color="4472C4" w:sz="8" w:space="0"/>
              <w:left w:val="nil"/>
              <w:bottom w:val="single" w:color="4472C4" w:sz="8" w:space="0"/>
              <w:right w:val="nil"/>
            </w:tcBorders>
            <w:shd w:val="clear" w:color="auto" w:fill="385623"/>
            <w:tcMar>
              <w:top w:w="0" w:type="dxa"/>
              <w:left w:w="108" w:type="dxa"/>
              <w:bottom w:w="0" w:type="dxa"/>
              <w:right w:w="108" w:type="dxa"/>
            </w:tcMar>
          </w:tcPr>
          <w:p>
            <w:pPr>
              <w:spacing w:line="252" w:lineRule="auto"/>
              <w:jc w:val="center"/>
              <w:rPr>
                <w:bCs/>
                <w:color w:val="FFFFFF"/>
                <w:sz w:val="20"/>
                <w:szCs w:val="20"/>
              </w:rPr>
            </w:pPr>
            <w:r>
              <w:rPr>
                <w:bCs/>
                <w:color w:val="FFFFFF"/>
                <w:sz w:val="20"/>
                <w:szCs w:val="20"/>
              </w:rPr>
              <w:t>2014</w:t>
            </w:r>
          </w:p>
        </w:tc>
        <w:tc>
          <w:tcPr>
            <w:tcW w:w="720" w:type="dxa"/>
            <w:tcBorders>
              <w:top w:val="single" w:color="4472C4" w:sz="8" w:space="0"/>
              <w:left w:val="nil"/>
              <w:bottom w:val="single" w:color="4472C4" w:sz="8" w:space="0"/>
              <w:right w:val="nil"/>
            </w:tcBorders>
            <w:shd w:val="clear" w:color="auto" w:fill="385623"/>
            <w:tcMar>
              <w:top w:w="0" w:type="dxa"/>
              <w:left w:w="108" w:type="dxa"/>
              <w:bottom w:w="0" w:type="dxa"/>
              <w:right w:w="108" w:type="dxa"/>
            </w:tcMar>
          </w:tcPr>
          <w:p>
            <w:pPr>
              <w:spacing w:line="252" w:lineRule="auto"/>
              <w:jc w:val="center"/>
              <w:rPr>
                <w:bCs/>
                <w:color w:val="FFFFFF"/>
                <w:sz w:val="20"/>
                <w:szCs w:val="20"/>
              </w:rPr>
            </w:pPr>
            <w:r>
              <w:rPr>
                <w:bCs/>
                <w:color w:val="FFFFFF"/>
                <w:sz w:val="20"/>
                <w:szCs w:val="20"/>
              </w:rPr>
              <w:t>2015</w:t>
            </w:r>
          </w:p>
        </w:tc>
        <w:tc>
          <w:tcPr>
            <w:tcW w:w="810" w:type="dxa"/>
            <w:tcBorders>
              <w:top w:val="single" w:color="4472C4" w:sz="8" w:space="0"/>
              <w:left w:val="nil"/>
              <w:bottom w:val="single" w:color="4472C4" w:sz="8" w:space="0"/>
              <w:right w:val="nil"/>
            </w:tcBorders>
            <w:shd w:val="clear" w:color="auto" w:fill="385623"/>
            <w:tcMar>
              <w:top w:w="0" w:type="dxa"/>
              <w:left w:w="108" w:type="dxa"/>
              <w:bottom w:w="0" w:type="dxa"/>
              <w:right w:w="108" w:type="dxa"/>
            </w:tcMar>
          </w:tcPr>
          <w:p>
            <w:pPr>
              <w:spacing w:line="252" w:lineRule="auto"/>
              <w:jc w:val="center"/>
              <w:rPr>
                <w:bCs/>
                <w:color w:val="FFFFFF"/>
                <w:sz w:val="20"/>
                <w:szCs w:val="20"/>
              </w:rPr>
            </w:pPr>
            <w:r>
              <w:rPr>
                <w:bCs/>
                <w:color w:val="FFFFFF"/>
                <w:sz w:val="20"/>
                <w:szCs w:val="20"/>
              </w:rPr>
              <w:t>2016</w:t>
            </w:r>
          </w:p>
        </w:tc>
      </w:tr>
      <w:tr>
        <w:tblPrEx>
          <w:tblLayout w:type="fixed"/>
          <w:tblCellMar>
            <w:top w:w="0" w:type="dxa"/>
            <w:left w:w="0" w:type="dxa"/>
            <w:bottom w:w="0" w:type="dxa"/>
            <w:right w:w="0" w:type="dxa"/>
          </w:tblCellMar>
        </w:tblPrEx>
        <w:trPr>
          <w:trHeight w:val="292" w:hRule="atLeast"/>
          <w:jc w:val="center"/>
        </w:trPr>
        <w:tc>
          <w:tcPr>
            <w:tcW w:w="630" w:type="dxa"/>
            <w:shd w:val="clear" w:color="auto" w:fill="A8D08D"/>
            <w:tcMar>
              <w:top w:w="0" w:type="dxa"/>
              <w:left w:w="108" w:type="dxa"/>
              <w:bottom w:w="0" w:type="dxa"/>
              <w:right w:w="108" w:type="dxa"/>
            </w:tcMar>
          </w:tcPr>
          <w:p>
            <w:pPr>
              <w:spacing w:line="252" w:lineRule="auto"/>
              <w:jc w:val="center"/>
              <w:rPr>
                <w:bCs/>
                <w:sz w:val="20"/>
                <w:szCs w:val="20"/>
              </w:rPr>
            </w:pPr>
            <w:r>
              <w:rPr>
                <w:bCs/>
                <w:sz w:val="20"/>
                <w:szCs w:val="20"/>
              </w:rPr>
              <w:t>1</w:t>
            </w:r>
          </w:p>
        </w:tc>
        <w:tc>
          <w:tcPr>
            <w:tcW w:w="2970" w:type="dxa"/>
            <w:shd w:val="clear" w:color="auto" w:fill="A8D08D"/>
            <w:tcMar>
              <w:top w:w="0" w:type="dxa"/>
              <w:left w:w="108" w:type="dxa"/>
              <w:bottom w:w="0" w:type="dxa"/>
              <w:right w:w="108" w:type="dxa"/>
            </w:tcMar>
          </w:tcPr>
          <w:p>
            <w:pPr>
              <w:spacing w:line="252" w:lineRule="auto"/>
              <w:rPr>
                <w:bCs/>
                <w:sz w:val="20"/>
                <w:szCs w:val="20"/>
              </w:rPr>
            </w:pPr>
            <w:r>
              <w:rPr>
                <w:bCs/>
                <w:sz w:val="20"/>
                <w:szCs w:val="20"/>
              </w:rPr>
              <w:t>Удружење дистрофичара Бања Лука</w:t>
            </w:r>
          </w:p>
        </w:tc>
        <w:tc>
          <w:tcPr>
            <w:tcW w:w="2389" w:type="dxa"/>
            <w:shd w:val="clear" w:color="auto" w:fill="A8D08D"/>
            <w:tcMar>
              <w:top w:w="0" w:type="dxa"/>
              <w:left w:w="108" w:type="dxa"/>
              <w:bottom w:w="0" w:type="dxa"/>
              <w:right w:w="108" w:type="dxa"/>
            </w:tcMar>
          </w:tcPr>
          <w:p>
            <w:pPr>
              <w:spacing w:line="252" w:lineRule="auto"/>
              <w:rPr>
                <w:bCs/>
                <w:sz w:val="20"/>
                <w:szCs w:val="20"/>
              </w:rPr>
            </w:pPr>
            <w:r>
              <w:rPr>
                <w:bCs/>
                <w:sz w:val="20"/>
                <w:szCs w:val="20"/>
              </w:rPr>
              <w:t>Персонална асистенција</w:t>
            </w:r>
          </w:p>
        </w:tc>
        <w:tc>
          <w:tcPr>
            <w:tcW w:w="671" w:type="dxa"/>
            <w:shd w:val="clear" w:color="auto" w:fill="A8D08D"/>
            <w:tcMar>
              <w:top w:w="0" w:type="dxa"/>
              <w:left w:w="108" w:type="dxa"/>
              <w:bottom w:w="0" w:type="dxa"/>
              <w:right w:w="108" w:type="dxa"/>
            </w:tcMar>
          </w:tcPr>
          <w:p>
            <w:pPr>
              <w:spacing w:line="252" w:lineRule="auto"/>
              <w:rPr>
                <w:bCs/>
                <w:sz w:val="20"/>
                <w:szCs w:val="20"/>
              </w:rPr>
            </w:pPr>
            <w:r>
              <w:rPr>
                <w:bCs/>
                <w:sz w:val="20"/>
                <w:szCs w:val="20"/>
              </w:rPr>
              <w:t>42</w:t>
            </w:r>
          </w:p>
        </w:tc>
        <w:tc>
          <w:tcPr>
            <w:tcW w:w="720" w:type="dxa"/>
            <w:shd w:val="clear" w:color="auto" w:fill="A8D08D"/>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42</w:t>
            </w:r>
          </w:p>
        </w:tc>
        <w:tc>
          <w:tcPr>
            <w:tcW w:w="810" w:type="dxa"/>
            <w:shd w:val="clear" w:color="auto" w:fill="A8D08D"/>
            <w:noWrap/>
            <w:tcMar>
              <w:top w:w="0" w:type="dxa"/>
              <w:left w:w="108" w:type="dxa"/>
              <w:bottom w:w="0" w:type="dxa"/>
              <w:right w:w="108" w:type="dxa"/>
            </w:tcMar>
          </w:tcPr>
          <w:p>
            <w:pPr>
              <w:spacing w:line="252" w:lineRule="auto"/>
              <w:jc w:val="center"/>
              <w:rPr>
                <w:bCs/>
                <w:sz w:val="20"/>
                <w:szCs w:val="20"/>
              </w:rPr>
            </w:pPr>
            <w:r>
              <w:rPr>
                <w:bCs/>
                <w:sz w:val="20"/>
                <w:szCs w:val="20"/>
              </w:rPr>
              <w:t>31</w:t>
            </w:r>
          </w:p>
        </w:tc>
      </w:tr>
      <w:tr>
        <w:tblPrEx>
          <w:tblLayout w:type="fixed"/>
          <w:tblCellMar>
            <w:top w:w="0" w:type="dxa"/>
            <w:left w:w="0" w:type="dxa"/>
            <w:bottom w:w="0" w:type="dxa"/>
            <w:right w:w="0" w:type="dxa"/>
          </w:tblCellMar>
        </w:tblPrEx>
        <w:trPr>
          <w:trHeight w:val="101" w:hRule="atLeast"/>
          <w:jc w:val="center"/>
        </w:trPr>
        <w:tc>
          <w:tcPr>
            <w:tcW w:w="630" w:type="dxa"/>
            <w:vMerge w:val="restart"/>
            <w:tcMar>
              <w:top w:w="0" w:type="dxa"/>
              <w:left w:w="108" w:type="dxa"/>
              <w:bottom w:w="0" w:type="dxa"/>
              <w:right w:w="108" w:type="dxa"/>
            </w:tcMar>
          </w:tcPr>
          <w:p>
            <w:pPr>
              <w:spacing w:line="101" w:lineRule="atLeast"/>
              <w:jc w:val="center"/>
              <w:rPr>
                <w:bCs/>
                <w:sz w:val="20"/>
                <w:szCs w:val="20"/>
              </w:rPr>
            </w:pPr>
            <w:r>
              <w:rPr>
                <w:bCs/>
                <w:sz w:val="20"/>
                <w:szCs w:val="20"/>
              </w:rPr>
              <w:t>2</w:t>
            </w:r>
          </w:p>
        </w:tc>
        <w:tc>
          <w:tcPr>
            <w:tcW w:w="2970" w:type="dxa"/>
            <w:vMerge w:val="restart"/>
            <w:tcMar>
              <w:top w:w="0" w:type="dxa"/>
              <w:left w:w="108" w:type="dxa"/>
              <w:bottom w:w="0" w:type="dxa"/>
              <w:right w:w="108" w:type="dxa"/>
            </w:tcMar>
          </w:tcPr>
          <w:p>
            <w:pPr>
              <w:spacing w:line="101" w:lineRule="atLeast"/>
              <w:rPr>
                <w:bCs/>
                <w:sz w:val="20"/>
                <w:szCs w:val="20"/>
              </w:rPr>
            </w:pPr>
            <w:r>
              <w:rPr>
                <w:bCs/>
                <w:sz w:val="20"/>
                <w:szCs w:val="20"/>
              </w:rPr>
              <w:t>Хуманитарна организација ПАРТНЕР</w:t>
            </w:r>
          </w:p>
        </w:tc>
        <w:tc>
          <w:tcPr>
            <w:tcW w:w="2389" w:type="dxa"/>
            <w:tcMar>
              <w:top w:w="0" w:type="dxa"/>
              <w:left w:w="108" w:type="dxa"/>
              <w:bottom w:w="0" w:type="dxa"/>
              <w:right w:w="108" w:type="dxa"/>
            </w:tcMar>
          </w:tcPr>
          <w:p>
            <w:pPr>
              <w:spacing w:line="101" w:lineRule="atLeast"/>
              <w:rPr>
                <w:bCs/>
                <w:sz w:val="20"/>
                <w:szCs w:val="20"/>
              </w:rPr>
            </w:pPr>
            <w:r>
              <w:rPr>
                <w:bCs/>
                <w:sz w:val="20"/>
                <w:szCs w:val="20"/>
              </w:rPr>
              <w:t>Персонална асистенција</w:t>
            </w:r>
          </w:p>
        </w:tc>
        <w:tc>
          <w:tcPr>
            <w:tcW w:w="671" w:type="dxa"/>
            <w:tcMar>
              <w:top w:w="0" w:type="dxa"/>
              <w:left w:w="108" w:type="dxa"/>
              <w:bottom w:w="0" w:type="dxa"/>
              <w:right w:w="108" w:type="dxa"/>
            </w:tcMar>
          </w:tcPr>
          <w:p>
            <w:pPr>
              <w:spacing w:line="252" w:lineRule="auto"/>
              <w:rPr>
                <w:bCs/>
                <w:sz w:val="20"/>
                <w:szCs w:val="20"/>
              </w:rPr>
            </w:pPr>
            <w:r>
              <w:rPr>
                <w:bCs/>
                <w:sz w:val="20"/>
                <w:szCs w:val="20"/>
              </w:rPr>
              <w:t>36</w:t>
            </w:r>
          </w:p>
        </w:tc>
        <w:tc>
          <w:tcPr>
            <w:tcW w:w="720" w:type="dxa"/>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37</w:t>
            </w:r>
          </w:p>
        </w:tc>
        <w:tc>
          <w:tcPr>
            <w:tcW w:w="810" w:type="dxa"/>
            <w:noWrap/>
            <w:tcMar>
              <w:top w:w="0" w:type="dxa"/>
              <w:left w:w="108" w:type="dxa"/>
              <w:bottom w:w="0" w:type="dxa"/>
              <w:right w:w="108" w:type="dxa"/>
            </w:tcMar>
          </w:tcPr>
          <w:p>
            <w:pPr>
              <w:spacing w:line="101" w:lineRule="atLeast"/>
              <w:jc w:val="center"/>
              <w:rPr>
                <w:bCs/>
                <w:sz w:val="20"/>
                <w:szCs w:val="20"/>
              </w:rPr>
            </w:pPr>
            <w:r>
              <w:rPr>
                <w:bCs/>
                <w:sz w:val="20"/>
                <w:szCs w:val="20"/>
              </w:rPr>
              <w:t>34</w:t>
            </w:r>
          </w:p>
        </w:tc>
      </w:tr>
      <w:tr>
        <w:tblPrEx>
          <w:tblLayout w:type="fixed"/>
          <w:tblCellMar>
            <w:top w:w="0" w:type="dxa"/>
            <w:left w:w="0" w:type="dxa"/>
            <w:bottom w:w="0" w:type="dxa"/>
            <w:right w:w="0" w:type="dxa"/>
          </w:tblCellMar>
        </w:tblPrEx>
        <w:trPr>
          <w:trHeight w:val="101" w:hRule="atLeast"/>
          <w:jc w:val="center"/>
        </w:trPr>
        <w:tc>
          <w:tcPr>
            <w:tcW w:w="630" w:type="dxa"/>
            <w:vMerge w:val="continue"/>
            <w:vAlign w:val="center"/>
          </w:tcPr>
          <w:p>
            <w:pPr>
              <w:rPr>
                <w:bCs/>
                <w:sz w:val="20"/>
                <w:szCs w:val="20"/>
              </w:rPr>
            </w:pPr>
          </w:p>
        </w:tc>
        <w:tc>
          <w:tcPr>
            <w:tcW w:w="2970" w:type="dxa"/>
            <w:vMerge w:val="continue"/>
            <w:vAlign w:val="center"/>
          </w:tcPr>
          <w:p>
            <w:pPr>
              <w:rPr>
                <w:bCs/>
                <w:sz w:val="20"/>
                <w:szCs w:val="20"/>
              </w:rPr>
            </w:pPr>
          </w:p>
        </w:tc>
        <w:tc>
          <w:tcPr>
            <w:tcW w:w="2389" w:type="dxa"/>
            <w:shd w:val="clear" w:color="auto" w:fill="FFFFFF"/>
            <w:tcMar>
              <w:top w:w="0" w:type="dxa"/>
              <w:left w:w="108" w:type="dxa"/>
              <w:bottom w:w="0" w:type="dxa"/>
              <w:right w:w="108" w:type="dxa"/>
            </w:tcMar>
          </w:tcPr>
          <w:p>
            <w:pPr>
              <w:spacing w:line="101" w:lineRule="atLeast"/>
              <w:rPr>
                <w:bCs/>
                <w:sz w:val="20"/>
                <w:szCs w:val="20"/>
              </w:rPr>
            </w:pPr>
            <w:r>
              <w:rPr>
                <w:bCs/>
                <w:sz w:val="20"/>
                <w:szCs w:val="20"/>
              </w:rPr>
              <w:t>Помоћ у кући</w:t>
            </w:r>
          </w:p>
        </w:tc>
        <w:tc>
          <w:tcPr>
            <w:tcW w:w="671" w:type="dxa"/>
            <w:shd w:val="clear" w:color="auto" w:fill="FFFFFF"/>
            <w:tcMar>
              <w:top w:w="0" w:type="dxa"/>
              <w:left w:w="108" w:type="dxa"/>
              <w:bottom w:w="0" w:type="dxa"/>
              <w:right w:w="108" w:type="dxa"/>
            </w:tcMar>
          </w:tcPr>
          <w:p>
            <w:pPr>
              <w:spacing w:line="252" w:lineRule="auto"/>
              <w:rPr>
                <w:bCs/>
                <w:sz w:val="20"/>
                <w:szCs w:val="20"/>
              </w:rPr>
            </w:pPr>
          </w:p>
        </w:tc>
        <w:tc>
          <w:tcPr>
            <w:tcW w:w="720" w:type="dxa"/>
            <w:shd w:val="clear" w:color="auto" w:fill="FFFFFF"/>
            <w:tcMar>
              <w:top w:w="0" w:type="dxa"/>
              <w:left w:w="108" w:type="dxa"/>
              <w:bottom w:w="0" w:type="dxa"/>
              <w:right w:w="108" w:type="dxa"/>
            </w:tcMar>
          </w:tcPr>
          <w:p>
            <w:pPr>
              <w:spacing w:line="252" w:lineRule="auto"/>
              <w:jc w:val="center"/>
              <w:rPr>
                <w:bCs/>
                <w:sz w:val="20"/>
                <w:szCs w:val="20"/>
              </w:rPr>
            </w:pPr>
          </w:p>
        </w:tc>
        <w:tc>
          <w:tcPr>
            <w:tcW w:w="810" w:type="dxa"/>
            <w:shd w:val="clear" w:color="auto" w:fill="FFFFFF"/>
            <w:noWrap/>
            <w:tcMar>
              <w:top w:w="0" w:type="dxa"/>
              <w:left w:w="108" w:type="dxa"/>
              <w:bottom w:w="0" w:type="dxa"/>
              <w:right w:w="108" w:type="dxa"/>
            </w:tcMar>
          </w:tcPr>
          <w:p>
            <w:pPr>
              <w:spacing w:line="101" w:lineRule="atLeast"/>
              <w:jc w:val="center"/>
              <w:rPr>
                <w:bCs/>
                <w:sz w:val="20"/>
                <w:szCs w:val="20"/>
                <w:lang w:val="sr-Cyrl-BA"/>
              </w:rPr>
            </w:pPr>
          </w:p>
        </w:tc>
      </w:tr>
      <w:tr>
        <w:tblPrEx>
          <w:tblLayout w:type="fixed"/>
          <w:tblCellMar>
            <w:top w:w="0" w:type="dxa"/>
            <w:left w:w="0" w:type="dxa"/>
            <w:bottom w:w="0" w:type="dxa"/>
            <w:right w:w="0" w:type="dxa"/>
          </w:tblCellMar>
        </w:tblPrEx>
        <w:trPr>
          <w:trHeight w:val="191" w:hRule="atLeast"/>
          <w:jc w:val="center"/>
        </w:trPr>
        <w:tc>
          <w:tcPr>
            <w:tcW w:w="630" w:type="dxa"/>
            <w:shd w:val="clear" w:color="auto" w:fill="A8D08D"/>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3</w:t>
            </w:r>
          </w:p>
        </w:tc>
        <w:tc>
          <w:tcPr>
            <w:tcW w:w="2970" w:type="dxa"/>
            <w:shd w:val="clear" w:color="auto" w:fill="A8D08D"/>
            <w:tcMar>
              <w:top w:w="0" w:type="dxa"/>
              <w:left w:w="108" w:type="dxa"/>
              <w:bottom w:w="0" w:type="dxa"/>
              <w:right w:w="108" w:type="dxa"/>
            </w:tcMar>
          </w:tcPr>
          <w:p>
            <w:pPr>
              <w:spacing w:line="252" w:lineRule="auto"/>
              <w:rPr>
                <w:bCs/>
                <w:sz w:val="20"/>
                <w:szCs w:val="20"/>
              </w:rPr>
            </w:pPr>
            <w:r>
              <w:rPr>
                <w:bCs/>
                <w:sz w:val="20"/>
                <w:szCs w:val="20"/>
              </w:rPr>
              <w:t>Градска организација слијепих и слабовидих Бања Лука</w:t>
            </w:r>
          </w:p>
        </w:tc>
        <w:tc>
          <w:tcPr>
            <w:tcW w:w="2389" w:type="dxa"/>
            <w:shd w:val="clear" w:color="auto" w:fill="A8D08D"/>
            <w:tcMar>
              <w:top w:w="0" w:type="dxa"/>
              <w:left w:w="108" w:type="dxa"/>
              <w:bottom w:w="0" w:type="dxa"/>
              <w:right w:w="108" w:type="dxa"/>
            </w:tcMar>
          </w:tcPr>
          <w:p>
            <w:pPr>
              <w:spacing w:line="252" w:lineRule="auto"/>
              <w:rPr>
                <w:bCs/>
                <w:sz w:val="20"/>
                <w:szCs w:val="20"/>
              </w:rPr>
            </w:pPr>
            <w:r>
              <w:rPr>
                <w:bCs/>
                <w:sz w:val="20"/>
                <w:szCs w:val="20"/>
              </w:rPr>
              <w:t>Персонална асистенција</w:t>
            </w:r>
          </w:p>
        </w:tc>
        <w:tc>
          <w:tcPr>
            <w:tcW w:w="671" w:type="dxa"/>
            <w:shd w:val="clear" w:color="auto" w:fill="A8D08D"/>
            <w:tcMar>
              <w:top w:w="0" w:type="dxa"/>
              <w:left w:w="108" w:type="dxa"/>
              <w:bottom w:w="0" w:type="dxa"/>
              <w:right w:w="108" w:type="dxa"/>
            </w:tcMar>
          </w:tcPr>
          <w:p>
            <w:pPr>
              <w:spacing w:line="252" w:lineRule="auto"/>
              <w:rPr>
                <w:bCs/>
                <w:sz w:val="20"/>
                <w:szCs w:val="20"/>
              </w:rPr>
            </w:pPr>
            <w:r>
              <w:rPr>
                <w:bCs/>
                <w:sz w:val="20"/>
                <w:szCs w:val="20"/>
              </w:rPr>
              <w:t>7</w:t>
            </w:r>
          </w:p>
        </w:tc>
        <w:tc>
          <w:tcPr>
            <w:tcW w:w="720" w:type="dxa"/>
            <w:shd w:val="clear" w:color="auto" w:fill="A8D08D"/>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7</w:t>
            </w:r>
          </w:p>
        </w:tc>
        <w:tc>
          <w:tcPr>
            <w:tcW w:w="810" w:type="dxa"/>
            <w:shd w:val="clear" w:color="auto" w:fill="A8D08D"/>
            <w:noWrap/>
            <w:tcMar>
              <w:top w:w="0" w:type="dxa"/>
              <w:left w:w="108" w:type="dxa"/>
              <w:bottom w:w="0" w:type="dxa"/>
              <w:right w:w="108" w:type="dxa"/>
            </w:tcMar>
          </w:tcPr>
          <w:p>
            <w:pPr>
              <w:spacing w:line="252" w:lineRule="auto"/>
              <w:jc w:val="center"/>
              <w:rPr>
                <w:bCs/>
                <w:sz w:val="20"/>
                <w:szCs w:val="20"/>
              </w:rPr>
            </w:pPr>
            <w:r>
              <w:rPr>
                <w:bCs/>
                <w:sz w:val="20"/>
                <w:szCs w:val="20"/>
              </w:rPr>
              <w:t>11</w:t>
            </w:r>
          </w:p>
        </w:tc>
      </w:tr>
      <w:tr>
        <w:tblPrEx>
          <w:tblLayout w:type="fixed"/>
          <w:tblCellMar>
            <w:top w:w="0" w:type="dxa"/>
            <w:left w:w="0" w:type="dxa"/>
            <w:bottom w:w="0" w:type="dxa"/>
            <w:right w:w="0" w:type="dxa"/>
          </w:tblCellMar>
        </w:tblPrEx>
        <w:trPr>
          <w:trHeight w:val="303" w:hRule="atLeast"/>
          <w:jc w:val="center"/>
        </w:trPr>
        <w:tc>
          <w:tcPr>
            <w:tcW w:w="630" w:type="dxa"/>
            <w:shd w:val="clear" w:color="auto" w:fill="FFFFFF"/>
            <w:tcMar>
              <w:top w:w="0" w:type="dxa"/>
              <w:left w:w="108" w:type="dxa"/>
              <w:bottom w:w="0" w:type="dxa"/>
              <w:right w:w="108" w:type="dxa"/>
            </w:tcMar>
          </w:tcPr>
          <w:p>
            <w:pPr>
              <w:spacing w:line="252" w:lineRule="auto"/>
              <w:jc w:val="center"/>
              <w:rPr>
                <w:bCs/>
                <w:sz w:val="20"/>
                <w:szCs w:val="20"/>
                <w:lang w:val="sr-Cyrl-CS"/>
              </w:rPr>
            </w:pPr>
            <w:r>
              <w:rPr>
                <w:bCs/>
                <w:sz w:val="20"/>
                <w:szCs w:val="20"/>
                <w:lang w:val="sr-Cyrl-CS"/>
              </w:rPr>
              <w:t>4</w:t>
            </w:r>
          </w:p>
        </w:tc>
        <w:tc>
          <w:tcPr>
            <w:tcW w:w="2970" w:type="dxa"/>
            <w:shd w:val="clear" w:color="auto" w:fill="FFFFFF"/>
            <w:tcMar>
              <w:top w:w="0" w:type="dxa"/>
              <w:left w:w="108" w:type="dxa"/>
              <w:bottom w:w="0" w:type="dxa"/>
              <w:right w:w="108" w:type="dxa"/>
            </w:tcMar>
          </w:tcPr>
          <w:p>
            <w:pPr>
              <w:spacing w:line="252" w:lineRule="auto"/>
              <w:rPr>
                <w:bCs/>
                <w:sz w:val="20"/>
                <w:szCs w:val="20"/>
              </w:rPr>
            </w:pPr>
            <w:r>
              <w:rPr>
                <w:bCs/>
                <w:sz w:val="20"/>
                <w:szCs w:val="20"/>
              </w:rPr>
              <w:t>Удружење "ЗAЈЕДНО" Удружење за помоћ породицама и заједници у менталном здрављу</w:t>
            </w:r>
          </w:p>
        </w:tc>
        <w:tc>
          <w:tcPr>
            <w:tcW w:w="2389" w:type="dxa"/>
            <w:shd w:val="clear" w:color="auto" w:fill="FFFFFF"/>
            <w:tcMar>
              <w:top w:w="0" w:type="dxa"/>
              <w:left w:w="108" w:type="dxa"/>
              <w:bottom w:w="0" w:type="dxa"/>
              <w:right w:w="108" w:type="dxa"/>
            </w:tcMar>
          </w:tcPr>
          <w:p>
            <w:pPr>
              <w:spacing w:line="252" w:lineRule="auto"/>
              <w:rPr>
                <w:bCs/>
                <w:sz w:val="20"/>
                <w:szCs w:val="20"/>
              </w:rPr>
            </w:pPr>
            <w:r>
              <w:rPr>
                <w:bCs/>
                <w:sz w:val="20"/>
                <w:szCs w:val="20"/>
              </w:rPr>
              <w:t>Дневни центар за лица са проблемима у менталном здрављу</w:t>
            </w:r>
          </w:p>
        </w:tc>
        <w:tc>
          <w:tcPr>
            <w:tcW w:w="671" w:type="dxa"/>
            <w:shd w:val="clear" w:color="auto" w:fill="FFFFFF"/>
            <w:tcMar>
              <w:top w:w="0" w:type="dxa"/>
              <w:left w:w="108" w:type="dxa"/>
              <w:bottom w:w="0" w:type="dxa"/>
              <w:right w:w="108" w:type="dxa"/>
            </w:tcMar>
          </w:tcPr>
          <w:p>
            <w:pPr>
              <w:spacing w:line="252" w:lineRule="auto"/>
              <w:rPr>
                <w:bCs/>
                <w:sz w:val="20"/>
                <w:szCs w:val="20"/>
              </w:rPr>
            </w:pPr>
            <w:r>
              <w:rPr>
                <w:bCs/>
                <w:sz w:val="20"/>
                <w:szCs w:val="20"/>
              </w:rPr>
              <w:t>36</w:t>
            </w:r>
          </w:p>
        </w:tc>
        <w:tc>
          <w:tcPr>
            <w:tcW w:w="720" w:type="dxa"/>
            <w:shd w:val="clear" w:color="auto" w:fill="FFFFFF"/>
            <w:tcMar>
              <w:top w:w="0" w:type="dxa"/>
              <w:left w:w="108" w:type="dxa"/>
              <w:bottom w:w="0" w:type="dxa"/>
              <w:right w:w="108" w:type="dxa"/>
            </w:tcMar>
          </w:tcPr>
          <w:p>
            <w:pPr>
              <w:spacing w:line="252" w:lineRule="auto"/>
              <w:jc w:val="center"/>
              <w:rPr>
                <w:bCs/>
                <w:sz w:val="20"/>
                <w:szCs w:val="20"/>
              </w:rPr>
            </w:pPr>
            <w:r>
              <w:rPr>
                <w:bCs/>
                <w:sz w:val="20"/>
                <w:szCs w:val="20"/>
              </w:rPr>
              <w:t>44</w:t>
            </w:r>
          </w:p>
        </w:tc>
        <w:tc>
          <w:tcPr>
            <w:tcW w:w="810" w:type="dxa"/>
            <w:shd w:val="clear" w:color="auto" w:fill="FFFFFF"/>
            <w:noWrap/>
            <w:tcMar>
              <w:top w:w="0" w:type="dxa"/>
              <w:left w:w="108" w:type="dxa"/>
              <w:bottom w:w="0" w:type="dxa"/>
              <w:right w:w="108" w:type="dxa"/>
            </w:tcMar>
          </w:tcPr>
          <w:p>
            <w:pPr>
              <w:spacing w:line="252" w:lineRule="auto"/>
              <w:jc w:val="center"/>
              <w:rPr>
                <w:bCs/>
                <w:sz w:val="20"/>
                <w:szCs w:val="20"/>
              </w:rPr>
            </w:pPr>
            <w:r>
              <w:rPr>
                <w:bCs/>
                <w:sz w:val="20"/>
                <w:szCs w:val="20"/>
              </w:rPr>
              <w:t>43</w:t>
            </w:r>
          </w:p>
        </w:tc>
      </w:tr>
      <w:tr>
        <w:tblPrEx>
          <w:tblLayout w:type="fixed"/>
          <w:tblCellMar>
            <w:top w:w="0" w:type="dxa"/>
            <w:left w:w="0" w:type="dxa"/>
            <w:bottom w:w="0" w:type="dxa"/>
            <w:right w:w="0" w:type="dxa"/>
          </w:tblCellMar>
        </w:tblPrEx>
        <w:trPr>
          <w:trHeight w:val="197" w:hRule="atLeast"/>
          <w:jc w:val="center"/>
        </w:trPr>
        <w:tc>
          <w:tcPr>
            <w:tcW w:w="630" w:type="dxa"/>
            <w:shd w:val="clear" w:color="auto" w:fill="A8D08D"/>
            <w:tcMar>
              <w:top w:w="0" w:type="dxa"/>
              <w:left w:w="108" w:type="dxa"/>
              <w:bottom w:w="0" w:type="dxa"/>
              <w:right w:w="108" w:type="dxa"/>
            </w:tcMar>
          </w:tcPr>
          <w:p>
            <w:pPr>
              <w:spacing w:line="252" w:lineRule="auto"/>
              <w:jc w:val="center"/>
              <w:rPr>
                <w:bCs/>
                <w:sz w:val="20"/>
                <w:szCs w:val="20"/>
                <w:lang w:val="sr-Cyrl-CS"/>
              </w:rPr>
            </w:pPr>
            <w:r>
              <w:rPr>
                <w:bCs/>
                <w:sz w:val="20"/>
                <w:szCs w:val="20"/>
                <w:lang w:val="sr-Cyrl-CS"/>
              </w:rPr>
              <w:t>5</w:t>
            </w:r>
          </w:p>
        </w:tc>
        <w:tc>
          <w:tcPr>
            <w:tcW w:w="2970" w:type="dxa"/>
            <w:shd w:val="clear" w:color="auto" w:fill="A8D08D"/>
            <w:tcMar>
              <w:top w:w="0" w:type="dxa"/>
              <w:left w:w="108" w:type="dxa"/>
              <w:bottom w:w="0" w:type="dxa"/>
              <w:right w:w="108" w:type="dxa"/>
            </w:tcMar>
          </w:tcPr>
          <w:p>
            <w:pPr>
              <w:spacing w:line="252" w:lineRule="auto"/>
              <w:rPr>
                <w:bCs/>
                <w:sz w:val="20"/>
                <w:szCs w:val="20"/>
              </w:rPr>
            </w:pPr>
            <w:r>
              <w:rPr>
                <w:bCs/>
                <w:sz w:val="20"/>
                <w:szCs w:val="20"/>
              </w:rPr>
              <w:t xml:space="preserve">НВО </w:t>
            </w:r>
          </w:p>
          <w:p>
            <w:pPr>
              <w:spacing w:line="252" w:lineRule="auto"/>
              <w:rPr>
                <w:bCs/>
                <w:sz w:val="20"/>
                <w:szCs w:val="20"/>
              </w:rPr>
            </w:pPr>
            <w:r>
              <w:rPr>
                <w:bCs/>
                <w:sz w:val="20"/>
                <w:szCs w:val="20"/>
              </w:rPr>
              <w:t>"ДНЕВНИ ЦЕНТАР ЗА СТАРЕ ОСОБЕ"</w:t>
            </w:r>
          </w:p>
        </w:tc>
        <w:tc>
          <w:tcPr>
            <w:tcW w:w="2389" w:type="dxa"/>
            <w:shd w:val="clear" w:color="auto" w:fill="A8D08D"/>
            <w:tcMar>
              <w:top w:w="0" w:type="dxa"/>
              <w:left w:w="108" w:type="dxa"/>
              <w:bottom w:w="0" w:type="dxa"/>
              <w:right w:w="108" w:type="dxa"/>
            </w:tcMar>
          </w:tcPr>
          <w:p>
            <w:pPr>
              <w:spacing w:line="252" w:lineRule="auto"/>
              <w:rPr>
                <w:bCs/>
                <w:sz w:val="20"/>
                <w:szCs w:val="20"/>
              </w:rPr>
            </w:pPr>
            <w:r>
              <w:rPr>
                <w:bCs/>
                <w:sz w:val="20"/>
                <w:szCs w:val="20"/>
              </w:rPr>
              <w:t>Дневни центар за стара лица</w:t>
            </w:r>
          </w:p>
        </w:tc>
        <w:tc>
          <w:tcPr>
            <w:tcW w:w="671" w:type="dxa"/>
            <w:shd w:val="clear" w:color="auto" w:fill="A8D08D"/>
            <w:tcMar>
              <w:top w:w="0" w:type="dxa"/>
              <w:left w:w="108" w:type="dxa"/>
              <w:bottom w:w="0" w:type="dxa"/>
              <w:right w:w="108" w:type="dxa"/>
            </w:tcMar>
          </w:tcPr>
          <w:p>
            <w:pPr>
              <w:spacing w:line="252" w:lineRule="auto"/>
              <w:rPr>
                <w:bCs/>
                <w:sz w:val="20"/>
                <w:szCs w:val="20"/>
              </w:rPr>
            </w:pPr>
            <w:r>
              <w:rPr>
                <w:bCs/>
                <w:sz w:val="20"/>
                <w:szCs w:val="20"/>
              </w:rPr>
              <w:t>35</w:t>
            </w:r>
          </w:p>
        </w:tc>
        <w:tc>
          <w:tcPr>
            <w:tcW w:w="720" w:type="dxa"/>
            <w:shd w:val="clear" w:color="auto" w:fill="A8D08D"/>
            <w:tcMar>
              <w:top w:w="0" w:type="dxa"/>
              <w:left w:w="108" w:type="dxa"/>
              <w:bottom w:w="0" w:type="dxa"/>
              <w:right w:w="108" w:type="dxa"/>
            </w:tcMar>
          </w:tcPr>
          <w:p>
            <w:pPr>
              <w:spacing w:line="252" w:lineRule="auto"/>
              <w:jc w:val="center"/>
              <w:rPr>
                <w:bCs/>
                <w:sz w:val="20"/>
                <w:szCs w:val="20"/>
              </w:rPr>
            </w:pPr>
            <w:r>
              <w:rPr>
                <w:bCs/>
                <w:sz w:val="20"/>
                <w:szCs w:val="20"/>
              </w:rPr>
              <w:t>36</w:t>
            </w:r>
          </w:p>
        </w:tc>
        <w:tc>
          <w:tcPr>
            <w:tcW w:w="810" w:type="dxa"/>
            <w:shd w:val="clear" w:color="auto" w:fill="A8D08D"/>
            <w:noWrap/>
            <w:tcMar>
              <w:top w:w="0" w:type="dxa"/>
              <w:left w:w="108" w:type="dxa"/>
              <w:bottom w:w="0" w:type="dxa"/>
              <w:right w:w="108" w:type="dxa"/>
            </w:tcMar>
          </w:tcPr>
          <w:p>
            <w:pPr>
              <w:spacing w:line="252" w:lineRule="auto"/>
              <w:jc w:val="center"/>
              <w:rPr>
                <w:bCs/>
                <w:sz w:val="20"/>
                <w:szCs w:val="20"/>
              </w:rPr>
            </w:pPr>
            <w:r>
              <w:rPr>
                <w:bCs/>
                <w:sz w:val="20"/>
                <w:szCs w:val="20"/>
              </w:rPr>
              <w:t>32</w:t>
            </w:r>
          </w:p>
        </w:tc>
      </w:tr>
      <w:tr>
        <w:tblPrEx>
          <w:tblLayout w:type="fixed"/>
          <w:tblCellMar>
            <w:top w:w="0" w:type="dxa"/>
            <w:left w:w="0" w:type="dxa"/>
            <w:bottom w:w="0" w:type="dxa"/>
            <w:right w:w="0" w:type="dxa"/>
          </w:tblCellMar>
        </w:tblPrEx>
        <w:trPr>
          <w:trHeight w:val="1017" w:hRule="atLeast"/>
          <w:jc w:val="center"/>
        </w:trPr>
        <w:tc>
          <w:tcPr>
            <w:tcW w:w="630" w:type="dxa"/>
            <w:shd w:val="clear" w:color="auto" w:fill="FFFFFF"/>
            <w:tcMar>
              <w:top w:w="0" w:type="dxa"/>
              <w:left w:w="108" w:type="dxa"/>
              <w:bottom w:w="0" w:type="dxa"/>
              <w:right w:w="108" w:type="dxa"/>
            </w:tcMar>
          </w:tcPr>
          <w:p>
            <w:pPr>
              <w:spacing w:line="252" w:lineRule="auto"/>
              <w:jc w:val="center"/>
              <w:rPr>
                <w:bCs/>
                <w:sz w:val="20"/>
                <w:szCs w:val="20"/>
                <w:lang w:val="sr-Cyrl-CS"/>
              </w:rPr>
            </w:pPr>
            <w:r>
              <w:rPr>
                <w:bCs/>
                <w:sz w:val="20"/>
                <w:szCs w:val="20"/>
                <w:lang w:val="sr-Cyrl-CS"/>
              </w:rPr>
              <w:t>6</w:t>
            </w:r>
          </w:p>
        </w:tc>
        <w:tc>
          <w:tcPr>
            <w:tcW w:w="2970" w:type="dxa"/>
            <w:shd w:val="clear" w:color="auto" w:fill="FFFFFF"/>
            <w:tcMar>
              <w:top w:w="0" w:type="dxa"/>
              <w:left w:w="108" w:type="dxa"/>
              <w:bottom w:w="0" w:type="dxa"/>
              <w:right w:w="108" w:type="dxa"/>
            </w:tcMar>
          </w:tcPr>
          <w:p>
            <w:pPr>
              <w:spacing w:line="252" w:lineRule="auto"/>
              <w:rPr>
                <w:bCs/>
                <w:sz w:val="20"/>
                <w:szCs w:val="20"/>
              </w:rPr>
            </w:pPr>
            <w:r>
              <w:rPr>
                <w:bCs/>
                <w:sz w:val="20"/>
                <w:szCs w:val="20"/>
              </w:rPr>
              <w:t>Удружење за помоћ ментално недовољно развијеним лицима Бања Лука</w:t>
            </w:r>
          </w:p>
        </w:tc>
        <w:tc>
          <w:tcPr>
            <w:tcW w:w="2389" w:type="dxa"/>
            <w:shd w:val="clear" w:color="auto" w:fill="FFFFFF"/>
            <w:tcMar>
              <w:top w:w="0" w:type="dxa"/>
              <w:left w:w="108" w:type="dxa"/>
              <w:bottom w:w="0" w:type="dxa"/>
              <w:right w:w="108" w:type="dxa"/>
            </w:tcMar>
          </w:tcPr>
          <w:p>
            <w:pPr>
              <w:spacing w:line="252" w:lineRule="auto"/>
              <w:rPr>
                <w:bCs/>
                <w:sz w:val="20"/>
                <w:szCs w:val="20"/>
              </w:rPr>
            </w:pPr>
            <w:r>
              <w:rPr>
                <w:bCs/>
                <w:sz w:val="20"/>
                <w:szCs w:val="20"/>
              </w:rPr>
              <w:t>Дневни боравак за одрасла ментално недовољно развијена лица "Оnix"</w:t>
            </w:r>
          </w:p>
        </w:tc>
        <w:tc>
          <w:tcPr>
            <w:tcW w:w="671" w:type="dxa"/>
            <w:shd w:val="clear" w:color="auto" w:fill="FFFFFF"/>
            <w:tcMar>
              <w:top w:w="0" w:type="dxa"/>
              <w:left w:w="108" w:type="dxa"/>
              <w:bottom w:w="0" w:type="dxa"/>
              <w:right w:w="108" w:type="dxa"/>
            </w:tcMar>
          </w:tcPr>
          <w:p>
            <w:pPr>
              <w:spacing w:line="252" w:lineRule="auto"/>
              <w:rPr>
                <w:bCs/>
                <w:sz w:val="20"/>
                <w:szCs w:val="20"/>
              </w:rPr>
            </w:pPr>
            <w:r>
              <w:rPr>
                <w:bCs/>
                <w:sz w:val="20"/>
                <w:szCs w:val="20"/>
              </w:rPr>
              <w:t>22</w:t>
            </w:r>
          </w:p>
        </w:tc>
        <w:tc>
          <w:tcPr>
            <w:tcW w:w="720" w:type="dxa"/>
            <w:shd w:val="clear" w:color="auto" w:fill="FFFFFF"/>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22</w:t>
            </w:r>
          </w:p>
        </w:tc>
        <w:tc>
          <w:tcPr>
            <w:tcW w:w="810" w:type="dxa"/>
            <w:shd w:val="clear" w:color="auto" w:fill="FFFFFF"/>
            <w:noWrap/>
            <w:tcMar>
              <w:top w:w="0" w:type="dxa"/>
              <w:left w:w="108" w:type="dxa"/>
              <w:bottom w:w="0" w:type="dxa"/>
              <w:right w:w="108" w:type="dxa"/>
            </w:tcMar>
          </w:tcPr>
          <w:p>
            <w:pPr>
              <w:spacing w:line="252" w:lineRule="auto"/>
              <w:jc w:val="center"/>
              <w:rPr>
                <w:bCs/>
                <w:sz w:val="20"/>
                <w:szCs w:val="20"/>
              </w:rPr>
            </w:pPr>
            <w:r>
              <w:rPr>
                <w:bCs/>
                <w:sz w:val="20"/>
                <w:szCs w:val="20"/>
              </w:rPr>
              <w:t>26</w:t>
            </w:r>
          </w:p>
        </w:tc>
      </w:tr>
      <w:tr>
        <w:tblPrEx>
          <w:tblLayout w:type="fixed"/>
          <w:tblCellMar>
            <w:top w:w="0" w:type="dxa"/>
            <w:left w:w="0" w:type="dxa"/>
            <w:bottom w:w="0" w:type="dxa"/>
            <w:right w:w="0" w:type="dxa"/>
          </w:tblCellMar>
        </w:tblPrEx>
        <w:trPr>
          <w:trHeight w:val="202" w:hRule="atLeast"/>
          <w:jc w:val="center"/>
        </w:trPr>
        <w:tc>
          <w:tcPr>
            <w:tcW w:w="630" w:type="dxa"/>
            <w:shd w:val="clear" w:color="auto" w:fill="A8D08D"/>
            <w:tcMar>
              <w:top w:w="0" w:type="dxa"/>
              <w:left w:w="108" w:type="dxa"/>
              <w:bottom w:w="0" w:type="dxa"/>
              <w:right w:w="108" w:type="dxa"/>
            </w:tcMar>
          </w:tcPr>
          <w:p>
            <w:pPr>
              <w:spacing w:line="252" w:lineRule="auto"/>
              <w:jc w:val="center"/>
              <w:rPr>
                <w:bCs/>
                <w:sz w:val="20"/>
                <w:szCs w:val="20"/>
                <w:lang w:val="sr-Cyrl-CS"/>
              </w:rPr>
            </w:pPr>
            <w:r>
              <w:rPr>
                <w:bCs/>
                <w:sz w:val="20"/>
                <w:szCs w:val="20"/>
                <w:lang w:val="sr-Cyrl-CS"/>
              </w:rPr>
              <w:t>7</w:t>
            </w:r>
          </w:p>
        </w:tc>
        <w:tc>
          <w:tcPr>
            <w:tcW w:w="2970" w:type="dxa"/>
            <w:shd w:val="clear" w:color="auto" w:fill="A8D08D"/>
            <w:tcMar>
              <w:top w:w="0" w:type="dxa"/>
              <w:left w:w="108" w:type="dxa"/>
              <w:bottom w:w="0" w:type="dxa"/>
              <w:right w:w="108" w:type="dxa"/>
            </w:tcMar>
          </w:tcPr>
          <w:p>
            <w:pPr>
              <w:spacing w:line="252" w:lineRule="auto"/>
              <w:rPr>
                <w:bCs/>
                <w:sz w:val="20"/>
                <w:szCs w:val="20"/>
              </w:rPr>
            </w:pPr>
            <w:r>
              <w:rPr>
                <w:bCs/>
                <w:sz w:val="20"/>
                <w:szCs w:val="20"/>
              </w:rPr>
              <w:t xml:space="preserve">Удружење </w:t>
            </w:r>
          </w:p>
          <w:p>
            <w:pPr>
              <w:spacing w:line="252" w:lineRule="auto"/>
              <w:rPr>
                <w:bCs/>
                <w:sz w:val="20"/>
                <w:szCs w:val="20"/>
              </w:rPr>
            </w:pPr>
            <w:r>
              <w:rPr>
                <w:bCs/>
                <w:sz w:val="20"/>
                <w:szCs w:val="20"/>
              </w:rPr>
              <w:t>Нова генерација</w:t>
            </w:r>
          </w:p>
        </w:tc>
        <w:tc>
          <w:tcPr>
            <w:tcW w:w="2389" w:type="dxa"/>
            <w:shd w:val="clear" w:color="auto" w:fill="A8D08D"/>
            <w:tcMar>
              <w:top w:w="0" w:type="dxa"/>
              <w:left w:w="108" w:type="dxa"/>
              <w:bottom w:w="0" w:type="dxa"/>
              <w:right w:w="108" w:type="dxa"/>
            </w:tcMar>
          </w:tcPr>
          <w:p>
            <w:pPr>
              <w:spacing w:line="252" w:lineRule="auto"/>
              <w:rPr>
                <w:bCs/>
                <w:sz w:val="20"/>
                <w:szCs w:val="20"/>
              </w:rPr>
            </w:pPr>
            <w:r>
              <w:rPr>
                <w:bCs/>
                <w:sz w:val="20"/>
                <w:szCs w:val="20"/>
              </w:rPr>
              <w:t>Дневни центар за дјецу угрожену породичним приликама</w:t>
            </w:r>
          </w:p>
        </w:tc>
        <w:tc>
          <w:tcPr>
            <w:tcW w:w="671" w:type="dxa"/>
            <w:shd w:val="clear" w:color="auto" w:fill="A8D08D"/>
            <w:tcMar>
              <w:top w:w="0" w:type="dxa"/>
              <w:left w:w="108" w:type="dxa"/>
              <w:bottom w:w="0" w:type="dxa"/>
              <w:right w:w="108" w:type="dxa"/>
            </w:tcMar>
          </w:tcPr>
          <w:p>
            <w:pPr>
              <w:spacing w:line="252" w:lineRule="auto"/>
              <w:rPr>
                <w:bCs/>
                <w:sz w:val="20"/>
                <w:szCs w:val="20"/>
                <w:lang w:val="sr-Cyrl-BA"/>
              </w:rPr>
            </w:pPr>
            <w:r>
              <w:rPr>
                <w:bCs/>
                <w:sz w:val="20"/>
                <w:szCs w:val="20"/>
                <w:lang w:val="sr-Cyrl-BA"/>
              </w:rPr>
              <w:t>40</w:t>
            </w:r>
          </w:p>
        </w:tc>
        <w:tc>
          <w:tcPr>
            <w:tcW w:w="720" w:type="dxa"/>
            <w:shd w:val="clear" w:color="auto" w:fill="A8D08D"/>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38</w:t>
            </w:r>
          </w:p>
        </w:tc>
        <w:tc>
          <w:tcPr>
            <w:tcW w:w="810" w:type="dxa"/>
            <w:shd w:val="clear" w:color="auto" w:fill="A8D08D"/>
            <w:noWrap/>
            <w:tcMar>
              <w:top w:w="0" w:type="dxa"/>
              <w:left w:w="108" w:type="dxa"/>
              <w:bottom w:w="0" w:type="dxa"/>
              <w:right w:w="108" w:type="dxa"/>
            </w:tcMar>
          </w:tcPr>
          <w:p>
            <w:pPr>
              <w:spacing w:line="252" w:lineRule="auto"/>
              <w:jc w:val="center"/>
              <w:rPr>
                <w:bCs/>
                <w:sz w:val="20"/>
                <w:szCs w:val="20"/>
              </w:rPr>
            </w:pPr>
            <w:r>
              <w:rPr>
                <w:bCs/>
                <w:sz w:val="20"/>
                <w:szCs w:val="20"/>
              </w:rPr>
              <w:t>35</w:t>
            </w:r>
          </w:p>
        </w:tc>
      </w:tr>
      <w:tr>
        <w:tblPrEx>
          <w:tblLayout w:type="fixed"/>
          <w:tblCellMar>
            <w:top w:w="0" w:type="dxa"/>
            <w:left w:w="0" w:type="dxa"/>
            <w:bottom w:w="0" w:type="dxa"/>
            <w:right w:w="0" w:type="dxa"/>
          </w:tblCellMar>
        </w:tblPrEx>
        <w:trPr>
          <w:trHeight w:val="202" w:hRule="atLeast"/>
          <w:jc w:val="center"/>
        </w:trPr>
        <w:tc>
          <w:tcPr>
            <w:tcW w:w="630" w:type="dxa"/>
            <w:shd w:val="clear" w:color="auto" w:fill="FFFFFF"/>
            <w:tcMar>
              <w:top w:w="0" w:type="dxa"/>
              <w:left w:w="108" w:type="dxa"/>
              <w:bottom w:w="0" w:type="dxa"/>
              <w:right w:w="108" w:type="dxa"/>
            </w:tcMar>
          </w:tcPr>
          <w:p>
            <w:pPr>
              <w:spacing w:line="252" w:lineRule="auto"/>
              <w:jc w:val="center"/>
              <w:rPr>
                <w:bCs/>
                <w:sz w:val="20"/>
                <w:szCs w:val="20"/>
                <w:lang w:val="sr-Cyrl-CS"/>
              </w:rPr>
            </w:pPr>
            <w:r>
              <w:rPr>
                <w:bCs/>
                <w:sz w:val="20"/>
                <w:szCs w:val="20"/>
                <w:lang w:val="sr-Cyrl-CS"/>
              </w:rPr>
              <w:t>8</w:t>
            </w:r>
          </w:p>
        </w:tc>
        <w:tc>
          <w:tcPr>
            <w:tcW w:w="2970" w:type="dxa"/>
            <w:shd w:val="clear" w:color="auto" w:fill="FFFFFF"/>
            <w:tcMar>
              <w:top w:w="0" w:type="dxa"/>
              <w:left w:w="108" w:type="dxa"/>
              <w:bottom w:w="0" w:type="dxa"/>
              <w:right w:w="108" w:type="dxa"/>
            </w:tcMar>
          </w:tcPr>
          <w:p>
            <w:pPr>
              <w:spacing w:line="252" w:lineRule="auto"/>
              <w:rPr>
                <w:bCs/>
                <w:sz w:val="20"/>
                <w:szCs w:val="20"/>
              </w:rPr>
            </w:pPr>
            <w:r>
              <w:rPr>
                <w:bCs/>
                <w:sz w:val="20"/>
                <w:szCs w:val="20"/>
              </w:rPr>
              <w:t>Удружење</w:t>
            </w:r>
          </w:p>
          <w:p>
            <w:pPr>
              <w:spacing w:line="252" w:lineRule="auto"/>
              <w:rPr>
                <w:bCs/>
                <w:sz w:val="20"/>
                <w:szCs w:val="20"/>
              </w:rPr>
            </w:pPr>
            <w:r>
              <w:rPr>
                <w:bCs/>
                <w:sz w:val="20"/>
                <w:szCs w:val="20"/>
              </w:rPr>
              <w:t>Нова генерација</w:t>
            </w:r>
          </w:p>
        </w:tc>
        <w:tc>
          <w:tcPr>
            <w:tcW w:w="2389" w:type="dxa"/>
            <w:shd w:val="clear" w:color="auto" w:fill="FFFFFF"/>
            <w:tcMar>
              <w:top w:w="0" w:type="dxa"/>
              <w:left w:w="108" w:type="dxa"/>
              <w:bottom w:w="0" w:type="dxa"/>
              <w:right w:w="108" w:type="dxa"/>
            </w:tcMar>
          </w:tcPr>
          <w:p>
            <w:pPr>
              <w:spacing w:line="252" w:lineRule="auto"/>
              <w:rPr>
                <w:bCs/>
                <w:sz w:val="20"/>
                <w:szCs w:val="20"/>
              </w:rPr>
            </w:pPr>
            <w:r>
              <w:rPr>
                <w:bCs/>
                <w:sz w:val="20"/>
                <w:szCs w:val="20"/>
              </w:rPr>
              <w:t>Прихватна станица за дјецу затечену у скитњи</w:t>
            </w:r>
          </w:p>
        </w:tc>
        <w:tc>
          <w:tcPr>
            <w:tcW w:w="671" w:type="dxa"/>
            <w:shd w:val="clear" w:color="auto" w:fill="FFFFFF"/>
            <w:tcMar>
              <w:top w:w="0" w:type="dxa"/>
              <w:left w:w="108" w:type="dxa"/>
              <w:bottom w:w="0" w:type="dxa"/>
              <w:right w:w="108" w:type="dxa"/>
            </w:tcMar>
          </w:tcPr>
          <w:p>
            <w:pPr>
              <w:spacing w:line="252" w:lineRule="auto"/>
              <w:rPr>
                <w:bCs/>
                <w:sz w:val="20"/>
                <w:szCs w:val="20"/>
                <w:lang w:val="sr-Cyrl-BA"/>
              </w:rPr>
            </w:pPr>
            <w:r>
              <w:rPr>
                <w:bCs/>
                <w:sz w:val="20"/>
                <w:szCs w:val="20"/>
                <w:lang w:val="sr-Cyrl-BA"/>
              </w:rPr>
              <w:t>60</w:t>
            </w:r>
          </w:p>
        </w:tc>
        <w:tc>
          <w:tcPr>
            <w:tcW w:w="720" w:type="dxa"/>
            <w:shd w:val="clear" w:color="auto" w:fill="FFFFFF"/>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28</w:t>
            </w:r>
          </w:p>
        </w:tc>
        <w:tc>
          <w:tcPr>
            <w:tcW w:w="810" w:type="dxa"/>
            <w:shd w:val="clear" w:color="auto" w:fill="FFFFFF"/>
            <w:noWrap/>
            <w:tcMar>
              <w:top w:w="0" w:type="dxa"/>
              <w:left w:w="108" w:type="dxa"/>
              <w:bottom w:w="0" w:type="dxa"/>
              <w:right w:w="108" w:type="dxa"/>
            </w:tcMar>
          </w:tcPr>
          <w:p>
            <w:pPr>
              <w:spacing w:line="252" w:lineRule="auto"/>
              <w:jc w:val="center"/>
              <w:rPr>
                <w:bCs/>
                <w:sz w:val="20"/>
                <w:szCs w:val="20"/>
              </w:rPr>
            </w:pPr>
            <w:r>
              <w:rPr>
                <w:bCs/>
                <w:sz w:val="20"/>
                <w:szCs w:val="20"/>
              </w:rPr>
              <w:t>10</w:t>
            </w:r>
          </w:p>
        </w:tc>
      </w:tr>
      <w:tr>
        <w:tblPrEx>
          <w:tblLayout w:type="fixed"/>
          <w:tblCellMar>
            <w:top w:w="0" w:type="dxa"/>
            <w:left w:w="0" w:type="dxa"/>
            <w:bottom w:w="0" w:type="dxa"/>
            <w:right w:w="0" w:type="dxa"/>
          </w:tblCellMar>
        </w:tblPrEx>
        <w:trPr>
          <w:trHeight w:val="303" w:hRule="atLeast"/>
          <w:jc w:val="center"/>
        </w:trPr>
        <w:tc>
          <w:tcPr>
            <w:tcW w:w="630" w:type="dxa"/>
            <w:shd w:val="clear" w:color="auto" w:fill="A8D08D"/>
            <w:tcMar>
              <w:top w:w="0" w:type="dxa"/>
              <w:left w:w="108" w:type="dxa"/>
              <w:bottom w:w="0" w:type="dxa"/>
              <w:right w:w="108" w:type="dxa"/>
            </w:tcMar>
          </w:tcPr>
          <w:p>
            <w:pPr>
              <w:spacing w:line="252" w:lineRule="auto"/>
              <w:jc w:val="center"/>
              <w:rPr>
                <w:bCs/>
                <w:sz w:val="20"/>
                <w:szCs w:val="20"/>
                <w:lang w:val="sr-Cyrl-CS"/>
              </w:rPr>
            </w:pPr>
            <w:r>
              <w:rPr>
                <w:bCs/>
                <w:sz w:val="20"/>
                <w:szCs w:val="20"/>
                <w:lang w:val="sr-Cyrl-CS"/>
              </w:rPr>
              <w:t>9</w:t>
            </w:r>
          </w:p>
        </w:tc>
        <w:tc>
          <w:tcPr>
            <w:tcW w:w="2970" w:type="dxa"/>
            <w:shd w:val="clear" w:color="auto" w:fill="A8D08D"/>
            <w:tcMar>
              <w:top w:w="0" w:type="dxa"/>
              <w:left w:w="108" w:type="dxa"/>
              <w:bottom w:w="0" w:type="dxa"/>
              <w:right w:w="108" w:type="dxa"/>
            </w:tcMar>
          </w:tcPr>
          <w:p>
            <w:pPr>
              <w:spacing w:line="252" w:lineRule="auto"/>
              <w:rPr>
                <w:bCs/>
                <w:sz w:val="20"/>
                <w:szCs w:val="20"/>
              </w:rPr>
            </w:pPr>
            <w:r>
              <w:rPr>
                <w:bCs/>
                <w:sz w:val="20"/>
                <w:szCs w:val="20"/>
              </w:rPr>
              <w:t>УГ Моја Лука</w:t>
            </w:r>
          </w:p>
        </w:tc>
        <w:tc>
          <w:tcPr>
            <w:tcW w:w="2389" w:type="dxa"/>
            <w:shd w:val="clear" w:color="auto" w:fill="A8D08D"/>
            <w:tcMar>
              <w:top w:w="0" w:type="dxa"/>
              <w:left w:w="108" w:type="dxa"/>
              <w:bottom w:w="0" w:type="dxa"/>
              <w:right w:w="108" w:type="dxa"/>
            </w:tcMar>
          </w:tcPr>
          <w:p>
            <w:pPr>
              <w:spacing w:line="252" w:lineRule="auto"/>
              <w:rPr>
                <w:bCs/>
                <w:sz w:val="20"/>
                <w:szCs w:val="20"/>
              </w:rPr>
            </w:pPr>
            <w:r>
              <w:rPr>
                <w:bCs/>
                <w:sz w:val="20"/>
                <w:szCs w:val="20"/>
              </w:rPr>
              <w:t>Дневни центар за дјецу са тежим, тешким и комбинованим сметњама</w:t>
            </w:r>
          </w:p>
        </w:tc>
        <w:tc>
          <w:tcPr>
            <w:tcW w:w="671" w:type="dxa"/>
            <w:shd w:val="clear" w:color="auto" w:fill="A8D08D"/>
            <w:tcMar>
              <w:top w:w="0" w:type="dxa"/>
              <w:left w:w="108" w:type="dxa"/>
              <w:bottom w:w="0" w:type="dxa"/>
              <w:right w:w="108" w:type="dxa"/>
            </w:tcMar>
          </w:tcPr>
          <w:p>
            <w:pPr>
              <w:spacing w:line="252" w:lineRule="auto"/>
              <w:rPr>
                <w:bCs/>
                <w:sz w:val="20"/>
                <w:szCs w:val="20"/>
              </w:rPr>
            </w:pPr>
            <w:r>
              <w:rPr>
                <w:bCs/>
                <w:sz w:val="20"/>
                <w:szCs w:val="20"/>
              </w:rPr>
              <w:t>12</w:t>
            </w:r>
          </w:p>
        </w:tc>
        <w:tc>
          <w:tcPr>
            <w:tcW w:w="720" w:type="dxa"/>
            <w:shd w:val="clear" w:color="auto" w:fill="A8D08D"/>
            <w:tcMar>
              <w:top w:w="0" w:type="dxa"/>
              <w:left w:w="108" w:type="dxa"/>
              <w:bottom w:w="0" w:type="dxa"/>
              <w:right w:w="108" w:type="dxa"/>
            </w:tcMar>
          </w:tcPr>
          <w:p>
            <w:pPr>
              <w:spacing w:line="252" w:lineRule="auto"/>
              <w:jc w:val="center"/>
              <w:rPr>
                <w:bCs/>
                <w:sz w:val="20"/>
                <w:szCs w:val="20"/>
              </w:rPr>
            </w:pPr>
            <w:r>
              <w:rPr>
                <w:bCs/>
                <w:sz w:val="20"/>
                <w:szCs w:val="20"/>
              </w:rPr>
              <w:t>11</w:t>
            </w:r>
          </w:p>
        </w:tc>
        <w:tc>
          <w:tcPr>
            <w:tcW w:w="810" w:type="dxa"/>
            <w:shd w:val="clear" w:color="auto" w:fill="A8D08D"/>
            <w:noWrap/>
            <w:tcMar>
              <w:top w:w="0" w:type="dxa"/>
              <w:left w:w="108" w:type="dxa"/>
              <w:bottom w:w="0" w:type="dxa"/>
              <w:right w:w="108" w:type="dxa"/>
            </w:tcMar>
          </w:tcPr>
          <w:p>
            <w:pPr>
              <w:spacing w:line="252" w:lineRule="auto"/>
              <w:jc w:val="center"/>
              <w:rPr>
                <w:bCs/>
                <w:sz w:val="20"/>
                <w:szCs w:val="20"/>
              </w:rPr>
            </w:pPr>
            <w:r>
              <w:rPr>
                <w:bCs/>
                <w:sz w:val="20"/>
                <w:szCs w:val="20"/>
              </w:rPr>
              <w:t>10</w:t>
            </w:r>
          </w:p>
        </w:tc>
      </w:tr>
      <w:tr>
        <w:tblPrEx>
          <w:tblLayout w:type="fixed"/>
          <w:tblCellMar>
            <w:top w:w="0" w:type="dxa"/>
            <w:left w:w="0" w:type="dxa"/>
            <w:bottom w:w="0" w:type="dxa"/>
            <w:right w:w="0" w:type="dxa"/>
          </w:tblCellMar>
        </w:tblPrEx>
        <w:trPr>
          <w:trHeight w:val="293" w:hRule="atLeast"/>
          <w:jc w:val="center"/>
        </w:trPr>
        <w:tc>
          <w:tcPr>
            <w:tcW w:w="630" w:type="dxa"/>
            <w:shd w:val="clear" w:color="auto" w:fill="FFFFFF"/>
            <w:tcMar>
              <w:top w:w="0" w:type="dxa"/>
              <w:left w:w="108" w:type="dxa"/>
              <w:bottom w:w="0" w:type="dxa"/>
              <w:right w:w="108" w:type="dxa"/>
            </w:tcMar>
          </w:tcPr>
          <w:p>
            <w:pPr>
              <w:spacing w:line="252" w:lineRule="auto"/>
              <w:jc w:val="center"/>
              <w:rPr>
                <w:bCs/>
                <w:sz w:val="20"/>
                <w:szCs w:val="20"/>
                <w:lang w:val="sr-Cyrl-BA"/>
              </w:rPr>
            </w:pPr>
            <w:r>
              <w:rPr>
                <w:bCs/>
                <w:sz w:val="20"/>
                <w:szCs w:val="20"/>
              </w:rPr>
              <w:t>1</w:t>
            </w:r>
            <w:r>
              <w:rPr>
                <w:bCs/>
                <w:sz w:val="20"/>
                <w:szCs w:val="20"/>
                <w:lang w:val="sr-Cyrl-BA"/>
              </w:rPr>
              <w:t>0</w:t>
            </w:r>
          </w:p>
        </w:tc>
        <w:tc>
          <w:tcPr>
            <w:tcW w:w="2970" w:type="dxa"/>
            <w:shd w:val="clear" w:color="auto" w:fill="FFFFFF"/>
            <w:tcMar>
              <w:top w:w="0" w:type="dxa"/>
              <w:left w:w="108" w:type="dxa"/>
              <w:bottom w:w="0" w:type="dxa"/>
              <w:right w:w="108" w:type="dxa"/>
            </w:tcMar>
          </w:tcPr>
          <w:p>
            <w:pPr>
              <w:spacing w:line="252" w:lineRule="auto"/>
              <w:rPr>
                <w:bCs/>
                <w:sz w:val="20"/>
                <w:szCs w:val="20"/>
              </w:rPr>
            </w:pPr>
            <w:r>
              <w:rPr>
                <w:bCs/>
                <w:sz w:val="20"/>
                <w:szCs w:val="20"/>
              </w:rPr>
              <w:t>Удружење за помоћ лицима са аутизмом "ДЈЕЦА СВЈЕТЛОСТИ"</w:t>
            </w:r>
          </w:p>
        </w:tc>
        <w:tc>
          <w:tcPr>
            <w:tcW w:w="2389" w:type="dxa"/>
            <w:shd w:val="clear" w:color="auto" w:fill="FFFFFF"/>
            <w:tcMar>
              <w:top w:w="0" w:type="dxa"/>
              <w:left w:w="108" w:type="dxa"/>
              <w:bottom w:w="0" w:type="dxa"/>
              <w:right w:w="108" w:type="dxa"/>
            </w:tcMar>
          </w:tcPr>
          <w:p>
            <w:pPr>
              <w:spacing w:line="252" w:lineRule="auto"/>
              <w:rPr>
                <w:bCs/>
                <w:sz w:val="20"/>
                <w:szCs w:val="20"/>
              </w:rPr>
            </w:pPr>
            <w:r>
              <w:rPr>
                <w:bCs/>
                <w:sz w:val="20"/>
                <w:szCs w:val="20"/>
              </w:rPr>
              <w:t>Дневни центар  за лица са аутизмом</w:t>
            </w:r>
          </w:p>
        </w:tc>
        <w:tc>
          <w:tcPr>
            <w:tcW w:w="671" w:type="dxa"/>
            <w:shd w:val="clear" w:color="auto" w:fill="FFFFFF"/>
            <w:tcMar>
              <w:top w:w="0" w:type="dxa"/>
              <w:left w:w="108" w:type="dxa"/>
              <w:bottom w:w="0" w:type="dxa"/>
              <w:right w:w="108" w:type="dxa"/>
            </w:tcMar>
          </w:tcPr>
          <w:p>
            <w:pPr>
              <w:spacing w:line="252" w:lineRule="auto"/>
              <w:rPr>
                <w:bCs/>
                <w:sz w:val="20"/>
                <w:szCs w:val="20"/>
              </w:rPr>
            </w:pPr>
            <w:r>
              <w:rPr>
                <w:bCs/>
                <w:sz w:val="20"/>
                <w:szCs w:val="20"/>
              </w:rPr>
              <w:t>5</w:t>
            </w:r>
          </w:p>
        </w:tc>
        <w:tc>
          <w:tcPr>
            <w:tcW w:w="720" w:type="dxa"/>
            <w:shd w:val="clear" w:color="auto" w:fill="FFFFFF"/>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6</w:t>
            </w:r>
          </w:p>
        </w:tc>
        <w:tc>
          <w:tcPr>
            <w:tcW w:w="810" w:type="dxa"/>
            <w:shd w:val="clear" w:color="auto" w:fill="FFFFFF"/>
            <w:noWrap/>
            <w:tcMar>
              <w:top w:w="0" w:type="dxa"/>
              <w:left w:w="108" w:type="dxa"/>
              <w:bottom w:w="0" w:type="dxa"/>
              <w:right w:w="108" w:type="dxa"/>
            </w:tcMar>
          </w:tcPr>
          <w:p>
            <w:pPr>
              <w:spacing w:line="252" w:lineRule="auto"/>
              <w:jc w:val="center"/>
              <w:rPr>
                <w:bCs/>
                <w:sz w:val="20"/>
                <w:szCs w:val="20"/>
              </w:rPr>
            </w:pPr>
            <w:r>
              <w:rPr>
                <w:bCs/>
                <w:sz w:val="20"/>
                <w:szCs w:val="20"/>
              </w:rPr>
              <w:t>5</w:t>
            </w:r>
          </w:p>
        </w:tc>
      </w:tr>
      <w:tr>
        <w:tblPrEx>
          <w:tblLayout w:type="fixed"/>
          <w:tblCellMar>
            <w:top w:w="0" w:type="dxa"/>
            <w:left w:w="0" w:type="dxa"/>
            <w:bottom w:w="0" w:type="dxa"/>
            <w:right w:w="0" w:type="dxa"/>
          </w:tblCellMar>
        </w:tblPrEx>
        <w:trPr>
          <w:trHeight w:val="293" w:hRule="atLeast"/>
          <w:jc w:val="center"/>
        </w:trPr>
        <w:tc>
          <w:tcPr>
            <w:tcW w:w="630" w:type="dxa"/>
            <w:shd w:val="clear" w:color="auto" w:fill="FFFFFF"/>
            <w:tcMar>
              <w:top w:w="0" w:type="dxa"/>
              <w:left w:w="108" w:type="dxa"/>
              <w:bottom w:w="0" w:type="dxa"/>
              <w:right w:w="108" w:type="dxa"/>
            </w:tcMar>
          </w:tcPr>
          <w:p>
            <w:pPr>
              <w:spacing w:line="252" w:lineRule="auto"/>
              <w:jc w:val="center"/>
              <w:rPr>
                <w:bCs/>
                <w:sz w:val="20"/>
                <w:szCs w:val="20"/>
                <w:lang w:val="sr-Cyrl-CS"/>
              </w:rPr>
            </w:pPr>
            <w:r>
              <w:rPr>
                <w:bCs/>
                <w:sz w:val="20"/>
                <w:szCs w:val="20"/>
              </w:rPr>
              <w:t>1</w:t>
            </w:r>
            <w:r>
              <w:rPr>
                <w:bCs/>
                <w:sz w:val="20"/>
                <w:szCs w:val="20"/>
                <w:lang w:val="sr-Cyrl-CS"/>
              </w:rPr>
              <w:t>1</w:t>
            </w:r>
          </w:p>
        </w:tc>
        <w:tc>
          <w:tcPr>
            <w:tcW w:w="2970" w:type="dxa"/>
            <w:shd w:val="clear" w:color="auto" w:fill="FFFFFF"/>
            <w:tcMar>
              <w:top w:w="0" w:type="dxa"/>
              <w:left w:w="108" w:type="dxa"/>
              <w:bottom w:w="0" w:type="dxa"/>
              <w:right w:w="108" w:type="dxa"/>
            </w:tcMar>
          </w:tcPr>
          <w:p>
            <w:pPr>
              <w:spacing w:line="252" w:lineRule="auto"/>
              <w:rPr>
                <w:bCs/>
                <w:sz w:val="20"/>
                <w:szCs w:val="20"/>
                <w:lang w:val="sr-Cyrl-BA"/>
              </w:rPr>
            </w:pPr>
            <w:r>
              <w:rPr>
                <w:bCs/>
                <w:sz w:val="20"/>
                <w:szCs w:val="20"/>
                <w:lang w:val="sr-Cyrl-BA"/>
              </w:rPr>
              <w:t xml:space="preserve">Едукацијско рехабилитацијски центар </w:t>
            </w:r>
          </w:p>
        </w:tc>
        <w:tc>
          <w:tcPr>
            <w:tcW w:w="2389" w:type="dxa"/>
            <w:shd w:val="clear" w:color="auto" w:fill="FFFFFF"/>
            <w:tcMar>
              <w:top w:w="0" w:type="dxa"/>
              <w:left w:w="108" w:type="dxa"/>
              <w:bottom w:w="0" w:type="dxa"/>
              <w:right w:w="108" w:type="dxa"/>
            </w:tcMar>
          </w:tcPr>
          <w:p>
            <w:pPr>
              <w:spacing w:line="252" w:lineRule="auto"/>
              <w:rPr>
                <w:bCs/>
                <w:sz w:val="20"/>
                <w:szCs w:val="20"/>
                <w:lang w:val="sr-Cyrl-BA"/>
              </w:rPr>
            </w:pPr>
            <w:r>
              <w:rPr>
                <w:bCs/>
                <w:sz w:val="20"/>
                <w:szCs w:val="20"/>
                <w:lang w:val="sr-Cyrl-BA"/>
              </w:rPr>
              <w:t>За дјецу и омладину</w:t>
            </w:r>
          </w:p>
        </w:tc>
        <w:tc>
          <w:tcPr>
            <w:tcW w:w="671" w:type="dxa"/>
            <w:shd w:val="clear" w:color="auto" w:fill="FFFFFF"/>
            <w:tcMar>
              <w:top w:w="0" w:type="dxa"/>
              <w:left w:w="108" w:type="dxa"/>
              <w:bottom w:w="0" w:type="dxa"/>
              <w:right w:w="108" w:type="dxa"/>
            </w:tcMar>
          </w:tcPr>
          <w:p>
            <w:pPr>
              <w:spacing w:line="252" w:lineRule="auto"/>
              <w:rPr>
                <w:bCs/>
                <w:sz w:val="20"/>
                <w:szCs w:val="20"/>
                <w:lang w:val="sr-Cyrl-BA"/>
              </w:rPr>
            </w:pPr>
            <w:r>
              <w:rPr>
                <w:bCs/>
                <w:sz w:val="20"/>
                <w:szCs w:val="20"/>
                <w:lang w:val="sr-Cyrl-BA"/>
              </w:rPr>
              <w:t>17</w:t>
            </w:r>
          </w:p>
        </w:tc>
        <w:tc>
          <w:tcPr>
            <w:tcW w:w="720" w:type="dxa"/>
            <w:shd w:val="clear" w:color="auto" w:fill="FFFFFF"/>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17</w:t>
            </w:r>
          </w:p>
        </w:tc>
        <w:tc>
          <w:tcPr>
            <w:tcW w:w="810" w:type="dxa"/>
            <w:shd w:val="clear" w:color="auto" w:fill="FFFFFF"/>
            <w:noWrap/>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0</w:t>
            </w:r>
          </w:p>
        </w:tc>
      </w:tr>
      <w:tr>
        <w:tblPrEx>
          <w:tblLayout w:type="fixed"/>
          <w:tblCellMar>
            <w:top w:w="0" w:type="dxa"/>
            <w:left w:w="0" w:type="dxa"/>
            <w:bottom w:w="0" w:type="dxa"/>
            <w:right w:w="0" w:type="dxa"/>
          </w:tblCellMar>
        </w:tblPrEx>
        <w:trPr>
          <w:trHeight w:val="202" w:hRule="atLeast"/>
          <w:jc w:val="center"/>
        </w:trPr>
        <w:tc>
          <w:tcPr>
            <w:tcW w:w="630" w:type="dxa"/>
            <w:shd w:val="clear" w:color="auto" w:fill="A8D08D"/>
            <w:tcMar>
              <w:top w:w="0" w:type="dxa"/>
              <w:left w:w="108" w:type="dxa"/>
              <w:bottom w:w="0" w:type="dxa"/>
              <w:right w:w="108" w:type="dxa"/>
            </w:tcMar>
          </w:tcPr>
          <w:p>
            <w:pPr>
              <w:spacing w:line="252" w:lineRule="auto"/>
              <w:jc w:val="center"/>
              <w:rPr>
                <w:bCs/>
                <w:sz w:val="20"/>
                <w:szCs w:val="20"/>
              </w:rPr>
            </w:pPr>
            <w:r>
              <w:rPr>
                <w:bCs/>
                <w:sz w:val="20"/>
                <w:szCs w:val="20"/>
              </w:rPr>
              <w:t>12</w:t>
            </w:r>
          </w:p>
        </w:tc>
        <w:tc>
          <w:tcPr>
            <w:tcW w:w="2970" w:type="dxa"/>
            <w:shd w:val="clear" w:color="auto" w:fill="A8D08D"/>
            <w:tcMar>
              <w:top w:w="0" w:type="dxa"/>
              <w:left w:w="108" w:type="dxa"/>
              <w:bottom w:w="0" w:type="dxa"/>
              <w:right w:w="108" w:type="dxa"/>
            </w:tcMar>
          </w:tcPr>
          <w:p>
            <w:pPr>
              <w:spacing w:line="252" w:lineRule="auto"/>
              <w:rPr>
                <w:bCs/>
                <w:sz w:val="20"/>
                <w:szCs w:val="20"/>
              </w:rPr>
            </w:pPr>
            <w:r>
              <w:rPr>
                <w:bCs/>
                <w:sz w:val="20"/>
                <w:szCs w:val="20"/>
              </w:rPr>
              <w:t xml:space="preserve">Геронтолошки центар </w:t>
            </w:r>
          </w:p>
          <w:p>
            <w:pPr>
              <w:spacing w:line="252" w:lineRule="auto"/>
              <w:rPr>
                <w:bCs/>
                <w:sz w:val="20"/>
                <w:szCs w:val="20"/>
              </w:rPr>
            </w:pPr>
            <w:r>
              <w:rPr>
                <w:bCs/>
                <w:sz w:val="20"/>
                <w:szCs w:val="20"/>
              </w:rPr>
              <w:t>Бања Лука</w:t>
            </w:r>
          </w:p>
        </w:tc>
        <w:tc>
          <w:tcPr>
            <w:tcW w:w="2389" w:type="dxa"/>
            <w:shd w:val="clear" w:color="auto" w:fill="A8D08D"/>
            <w:tcMar>
              <w:top w:w="0" w:type="dxa"/>
              <w:left w:w="108" w:type="dxa"/>
              <w:bottom w:w="0" w:type="dxa"/>
              <w:right w:w="108" w:type="dxa"/>
            </w:tcMar>
          </w:tcPr>
          <w:p>
            <w:pPr>
              <w:spacing w:line="252" w:lineRule="auto"/>
              <w:rPr>
                <w:bCs/>
                <w:sz w:val="20"/>
                <w:szCs w:val="20"/>
              </w:rPr>
            </w:pPr>
            <w:r>
              <w:rPr>
                <w:bCs/>
                <w:sz w:val="20"/>
                <w:szCs w:val="20"/>
              </w:rPr>
              <w:t>Прихватна станица за одрасла и стара лица</w:t>
            </w:r>
          </w:p>
        </w:tc>
        <w:tc>
          <w:tcPr>
            <w:tcW w:w="671" w:type="dxa"/>
            <w:shd w:val="clear" w:color="auto" w:fill="A8D08D"/>
            <w:tcMar>
              <w:top w:w="0" w:type="dxa"/>
              <w:left w:w="108" w:type="dxa"/>
              <w:bottom w:w="0" w:type="dxa"/>
              <w:right w:w="108" w:type="dxa"/>
            </w:tcMar>
          </w:tcPr>
          <w:p>
            <w:pPr>
              <w:spacing w:line="252" w:lineRule="auto"/>
              <w:rPr>
                <w:bCs/>
                <w:sz w:val="20"/>
                <w:szCs w:val="20"/>
                <w:lang w:val="sr-Cyrl-BA"/>
              </w:rPr>
            </w:pPr>
            <w:r>
              <w:rPr>
                <w:bCs/>
                <w:sz w:val="20"/>
                <w:szCs w:val="20"/>
                <w:lang w:val="sr-Cyrl-BA"/>
              </w:rPr>
              <w:t>59</w:t>
            </w:r>
          </w:p>
        </w:tc>
        <w:tc>
          <w:tcPr>
            <w:tcW w:w="720" w:type="dxa"/>
            <w:shd w:val="clear" w:color="auto" w:fill="A8D08D"/>
            <w:tcMar>
              <w:top w:w="0" w:type="dxa"/>
              <w:left w:w="108" w:type="dxa"/>
              <w:bottom w:w="0" w:type="dxa"/>
              <w:right w:w="108" w:type="dxa"/>
            </w:tcMar>
          </w:tcPr>
          <w:p>
            <w:pPr>
              <w:spacing w:line="252" w:lineRule="auto"/>
              <w:jc w:val="center"/>
              <w:rPr>
                <w:bCs/>
                <w:sz w:val="20"/>
                <w:szCs w:val="20"/>
                <w:lang w:val="sr-Cyrl-BA"/>
              </w:rPr>
            </w:pPr>
            <w:r>
              <w:rPr>
                <w:bCs/>
                <w:sz w:val="20"/>
                <w:szCs w:val="20"/>
                <w:lang w:val="sr-Cyrl-BA"/>
              </w:rPr>
              <w:t>43</w:t>
            </w:r>
          </w:p>
        </w:tc>
        <w:tc>
          <w:tcPr>
            <w:tcW w:w="810" w:type="dxa"/>
            <w:shd w:val="clear" w:color="auto" w:fill="A8D08D"/>
            <w:noWrap/>
            <w:tcMar>
              <w:top w:w="0" w:type="dxa"/>
              <w:left w:w="108" w:type="dxa"/>
              <w:bottom w:w="0" w:type="dxa"/>
              <w:right w:w="108" w:type="dxa"/>
            </w:tcMar>
          </w:tcPr>
          <w:p>
            <w:pPr>
              <w:spacing w:line="252" w:lineRule="auto"/>
              <w:jc w:val="center"/>
              <w:rPr>
                <w:bCs/>
                <w:sz w:val="20"/>
                <w:szCs w:val="20"/>
              </w:rPr>
            </w:pPr>
            <w:r>
              <w:rPr>
                <w:bCs/>
                <w:sz w:val="20"/>
                <w:szCs w:val="20"/>
              </w:rPr>
              <w:t>35</w:t>
            </w:r>
          </w:p>
        </w:tc>
      </w:tr>
    </w:tbl>
    <w:p>
      <w:pPr>
        <w:pStyle w:val="20"/>
        <w:shd w:val="clear" w:color="auto" w:fill="FFFFFF"/>
        <w:jc w:val="both"/>
        <w:rPr>
          <w:rFonts w:ascii="Calibri" w:hAnsi="Calibri" w:cs="Calibri"/>
          <w:i/>
          <w:sz w:val="18"/>
          <w:szCs w:val="18"/>
          <w:lang w:val="sr-Cyrl-RS"/>
        </w:rPr>
      </w:pPr>
      <w:r>
        <w:rPr>
          <w:rFonts w:ascii="Calibri" w:hAnsi="Calibri" w:cs="Calibri"/>
          <w:i/>
          <w:sz w:val="22"/>
          <w:szCs w:val="22"/>
          <w:lang w:val="sr-Cyrl-RS"/>
        </w:rPr>
        <w:t xml:space="preserve">           </w:t>
      </w:r>
      <w:r>
        <w:rPr>
          <w:rFonts w:ascii="Calibri" w:hAnsi="Calibri" w:cs="Calibri"/>
          <w:i/>
          <w:sz w:val="18"/>
          <w:szCs w:val="18"/>
          <w:lang w:val="sr-Cyrl-RS"/>
        </w:rPr>
        <w:t xml:space="preserve">Извор: Годишњи извјештаји ЦСР </w:t>
      </w:r>
    </w:p>
    <w:p>
      <w:pPr>
        <w:pStyle w:val="20"/>
        <w:shd w:val="clear" w:color="auto" w:fill="FFFFFF"/>
        <w:jc w:val="both"/>
        <w:rPr>
          <w:rFonts w:asciiTheme="minorHAnsi" w:hAnsiTheme="minorHAnsi" w:cstheme="minorHAnsi"/>
          <w:sz w:val="22"/>
          <w:szCs w:val="22"/>
          <w:lang w:val="sr-Cyrl-CS"/>
        </w:rPr>
      </w:pPr>
      <w:r>
        <w:rPr>
          <w:rFonts w:asciiTheme="minorHAnsi" w:hAnsiTheme="minorHAnsi" w:cstheme="minorHAnsi"/>
          <w:b/>
          <w:sz w:val="22"/>
          <w:szCs w:val="22"/>
          <w:lang w:val="sr-Cyrl-RS"/>
        </w:rPr>
        <w:t xml:space="preserve">Партнерства. </w:t>
      </w:r>
      <w:r>
        <w:rPr>
          <w:rFonts w:asciiTheme="minorHAnsi" w:hAnsiTheme="minorHAnsi" w:cstheme="minorHAnsi"/>
          <w:sz w:val="22"/>
          <w:szCs w:val="22"/>
        </w:rPr>
        <w:t xml:space="preserve">Концепт рада у партнерству </w:t>
      </w:r>
      <w:r>
        <w:rPr>
          <w:rFonts w:asciiTheme="minorHAnsi" w:hAnsiTheme="minorHAnsi" w:cstheme="minorHAnsi"/>
          <w:sz w:val="22"/>
          <w:szCs w:val="22"/>
          <w:lang w:val="sr-Cyrl-CS"/>
        </w:rPr>
        <w:t>је</w:t>
      </w:r>
      <w:r>
        <w:rPr>
          <w:rFonts w:asciiTheme="minorHAnsi" w:hAnsiTheme="minorHAnsi" w:cstheme="minorHAnsi"/>
          <w:sz w:val="22"/>
          <w:szCs w:val="22"/>
        </w:rPr>
        <w:t xml:space="preserve"> један од приоритетних приступа у оквиру реформе социјалног сектора, која је започела на нивоу града Бања Лука пројектом </w:t>
      </w:r>
      <w:r>
        <w:rPr>
          <w:rFonts w:asciiTheme="minorHAnsi" w:hAnsiTheme="minorHAnsi" w:cstheme="minorHAnsi"/>
          <w:sz w:val="22"/>
          <w:szCs w:val="22"/>
          <w:lang w:val="sr-Cyrl-RS"/>
        </w:rPr>
        <w:t>„</w:t>
      </w:r>
      <w:r>
        <w:rPr>
          <w:rFonts w:asciiTheme="minorHAnsi" w:hAnsiTheme="minorHAnsi" w:cstheme="minorHAnsi"/>
          <w:sz w:val="22"/>
          <w:szCs w:val="22"/>
        </w:rPr>
        <w:t>Реформисање система и структура режима централне и локалне социјалне политике у БиХ</w:t>
      </w:r>
      <w:r>
        <w:rPr>
          <w:rFonts w:asciiTheme="minorHAnsi" w:hAnsiTheme="minorHAnsi" w:cstheme="minorHAnsi"/>
          <w:sz w:val="22"/>
          <w:szCs w:val="22"/>
          <w:lang w:val="sr-Cyrl-RS"/>
        </w:rPr>
        <w:t>“</w:t>
      </w:r>
      <w:r>
        <w:rPr>
          <w:rFonts w:asciiTheme="minorHAnsi" w:hAnsiTheme="minorHAnsi" w:cstheme="minorHAnsi"/>
          <w:sz w:val="22"/>
          <w:szCs w:val="22"/>
        </w:rPr>
        <w:t>.</w:t>
      </w:r>
      <w:r>
        <w:rPr>
          <w:rFonts w:asciiTheme="minorHAnsi" w:hAnsiTheme="minorHAnsi" w:cstheme="minorHAnsi"/>
          <w:sz w:val="22"/>
          <w:szCs w:val="22"/>
          <w:lang w:val="sr-Cyrl-RS"/>
        </w:rPr>
        <w:t xml:space="preserve"> </w:t>
      </w:r>
      <w:r>
        <w:rPr>
          <w:rFonts w:asciiTheme="minorHAnsi" w:hAnsiTheme="minorHAnsi" w:cstheme="minorHAnsi"/>
          <w:sz w:val="22"/>
          <w:szCs w:val="22"/>
        </w:rPr>
        <w:t>Јавна установа "Центар за социјални рад" Бања Лука сарађује са значајним бројем организација из јавног, приватног и невладиног сектора, министарствима у Влади Републике Српске, Градском управом Града Бања Лука, представницима мјесних заједница, предсједником Скупштине и одборницима у Скупштини Града Бања Лука, организацијама цивилног друштва, удружењима грађана, и појединцима који желе пружити подршку корисницима права из социјалне, породично-правне и дјечије заштите.</w:t>
      </w:r>
      <w:r>
        <w:rPr>
          <w:rFonts w:asciiTheme="minorHAnsi" w:hAnsiTheme="minorHAnsi" w:cstheme="minorHAnsi"/>
          <w:sz w:val="22"/>
          <w:szCs w:val="22"/>
          <w:lang w:val="sr-Cyrl-RS"/>
        </w:rPr>
        <w:t xml:space="preserve"> </w:t>
      </w:r>
      <w:r>
        <w:rPr>
          <w:rFonts w:asciiTheme="minorHAnsi" w:hAnsiTheme="minorHAnsi" w:cstheme="minorHAnsi"/>
          <w:sz w:val="22"/>
          <w:szCs w:val="22"/>
        </w:rPr>
        <w:t>Рад у партнерству огледа се кроз услов да се услуге усмјерене ка кориснику организују у сарадњи јавног, НВО и приватног сектора. Партнерство подразумијева конципирање услуга усмјерених ка рјешавању</w:t>
      </w:r>
      <w:r>
        <w:rPr>
          <w:rFonts w:asciiTheme="minorHAnsi" w:hAnsiTheme="minorHAnsi" w:cstheme="minorHAnsi"/>
          <w:sz w:val="22"/>
          <w:szCs w:val="22"/>
          <w:lang w:val="sr-Cyrl-CS"/>
        </w:rPr>
        <w:t xml:space="preserve"> </w:t>
      </w:r>
      <w:r>
        <w:rPr>
          <w:rFonts w:asciiTheme="minorHAnsi" w:hAnsiTheme="minorHAnsi" w:cstheme="minorHAnsi"/>
          <w:sz w:val="22"/>
          <w:szCs w:val="22"/>
        </w:rPr>
        <w:t>потреба корисника кроз сарадњу више организација. Сарадња са јавним организацијама, приватним сектором, невладиним организацијама и грађанима, омогућава пружање услуга које су дјелотворне, економичне за локалну заједницу и које задовољавају потребе јавности.</w:t>
      </w:r>
      <w:r>
        <w:rPr>
          <w:rFonts w:asciiTheme="minorHAnsi" w:hAnsiTheme="minorHAnsi" w:cstheme="minorHAnsi"/>
          <w:sz w:val="22"/>
          <w:szCs w:val="22"/>
          <w:lang w:val="sr-Cyrl-RS"/>
        </w:rPr>
        <w:t xml:space="preserve"> </w:t>
      </w:r>
      <w:r>
        <w:rPr>
          <w:rFonts w:asciiTheme="minorHAnsi" w:hAnsiTheme="minorHAnsi" w:cstheme="minorHAnsi"/>
          <w:sz w:val="22"/>
          <w:szCs w:val="22"/>
        </w:rPr>
        <w:t>У циљу реализације и унапређења услуга и права за лица у стању социјалне потребе потписан је низ меморандума о сарадњи са актерима у локалној заједници и окружењу који су углавном фокусирани на различите категорије корисника и лица у стању потребе за подршком система социјалне заштите.</w:t>
      </w:r>
      <w:r>
        <w:rPr>
          <w:rFonts w:asciiTheme="minorHAnsi" w:hAnsiTheme="minorHAnsi" w:cstheme="minorHAnsi"/>
          <w:sz w:val="22"/>
          <w:szCs w:val="22"/>
          <w:lang w:val="sr-Cyrl-RS"/>
        </w:rPr>
        <w:t xml:space="preserve"> </w:t>
      </w:r>
    </w:p>
    <w:tbl>
      <w:tblPr>
        <w:tblStyle w:val="36"/>
        <w:tblW w:w="9576"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5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rPr>
          <w:trHeight w:val="620" w:hRule="atLeast"/>
        </w:trPr>
        <w:tc>
          <w:tcPr>
            <w:tcW w:w="9576" w:type="dxa"/>
            <w:shd w:val="clear" w:color="auto" w:fill="C5E0B3" w:themeFill="accent6" w:themeFillTint="66"/>
          </w:tcPr>
          <w:p>
            <w:pPr>
              <w:jc w:val="both"/>
              <w:rPr>
                <w:i/>
              </w:rPr>
            </w:pPr>
            <w:r>
              <w:rPr>
                <w:i/>
              </w:rPr>
              <w:t>У постојећем систему, одговорности носилаца социјалне заштите су подјељене између Републике и</w:t>
            </w:r>
            <w:r>
              <w:rPr>
                <w:i/>
                <w:lang w:val="sr-Cyrl-RS"/>
              </w:rPr>
              <w:t xml:space="preserve"> Г</w:t>
            </w:r>
            <w:r>
              <w:rPr>
                <w:i/>
              </w:rPr>
              <w:t>рада као јединицe локалне самоуправе. Подјељеност продукује систем у коме Република није развила механизме за гаранцију било којег права, ни</w:t>
            </w:r>
            <w:r>
              <w:rPr>
                <w:i/>
              </w:rPr>
              <w:softHyphen/>
            </w:r>
            <w:r>
              <w:rPr>
                <w:i/>
              </w:rPr>
              <w:t xml:space="preserve">ти једнакост у приступу правима, јер значајан број општина због недостатка средстава има проблема у примјени закона и обезбјеђивању средстава за основна права с једне стране, а са друге стране, развијеније општине су у прилици да значајно проширују права и стварају повољније услове за њихову реализацију као и реализацију законских права. Град Бања Лука има највећи обим проширених права/социјалних услуга у Републици Српској. </w:t>
            </w:r>
          </w:p>
        </w:tc>
      </w:tr>
    </w:tbl>
    <w:p>
      <w:pPr>
        <w:keepNext/>
        <w:keepLines/>
        <w:spacing w:before="200"/>
        <w:ind w:left="426"/>
        <w:jc w:val="both"/>
        <w:outlineLvl w:val="3"/>
        <w:rPr>
          <w:rFonts w:eastAsia="Times New Roman" w:asciiTheme="minorHAnsi" w:hAnsiTheme="minorHAnsi" w:cstheme="minorHAnsi"/>
          <w:b/>
          <w:bCs/>
          <w:iCs/>
          <w:lang w:val="sr-Cyrl-CS"/>
        </w:rPr>
      </w:pPr>
      <w:bookmarkStart w:id="54" w:name="_Toc508060565"/>
      <w:bookmarkStart w:id="55" w:name="_Toc526761904"/>
    </w:p>
    <w:p>
      <w:pPr>
        <w:keepNext/>
        <w:keepLines/>
        <w:spacing w:before="200"/>
        <w:ind w:left="426"/>
        <w:jc w:val="both"/>
        <w:outlineLvl w:val="3"/>
        <w:rPr>
          <w:rFonts w:eastAsia="Times New Roman" w:asciiTheme="minorHAnsi" w:hAnsiTheme="minorHAnsi" w:cstheme="minorHAnsi"/>
          <w:b/>
          <w:bCs/>
          <w:iCs/>
          <w:lang w:val="sr-Cyrl-CS"/>
        </w:rPr>
      </w:pPr>
      <w:r>
        <w:rPr>
          <w:rFonts w:eastAsia="Times New Roman" w:asciiTheme="minorHAnsi" w:hAnsiTheme="minorHAnsi" w:cstheme="minorHAnsi"/>
          <w:b/>
          <w:bCs/>
          <w:iCs/>
        </w:rPr>
        <w:t>IV.1.5.6. Цивилна заштита, имовинска и лична сигурност грађана</w:t>
      </w:r>
      <w:bookmarkEnd w:id="54"/>
      <w:bookmarkEnd w:id="55"/>
    </w:p>
    <w:p>
      <w:pPr>
        <w:jc w:val="both"/>
      </w:pPr>
    </w:p>
    <w:p>
      <w:pPr>
        <w:jc w:val="both"/>
        <w:rPr>
          <w:b/>
          <w:lang w:val="sr-Cyrl-CS"/>
        </w:rPr>
      </w:pPr>
      <w:r>
        <w:t xml:space="preserve">Анализом стања је потврђено да су успостављени капацитети у области цивилне заштите грађана у случајевима поплава, пожара и клизишта. </w:t>
      </w:r>
      <w:r>
        <w:rPr>
          <w:lang w:val="sr-Cyrl-CS"/>
        </w:rPr>
        <w:t xml:space="preserve">У организационом смислу, за послове цивилне заштите и противпожарне заштите, у оквиру Градске управе, задужени су: </w:t>
      </w:r>
    </w:p>
    <w:p>
      <w:pPr>
        <w:pStyle w:val="46"/>
        <w:numPr>
          <w:ilvl w:val="0"/>
          <w:numId w:val="22"/>
        </w:numPr>
        <w:rPr>
          <w:rFonts w:asciiTheme="minorHAnsi" w:hAnsiTheme="minorHAnsi" w:cstheme="minorHAnsi"/>
          <w:bCs/>
          <w:shd w:val="clear" w:color="auto" w:fill="FFFFFF"/>
          <w:lang w:val="sr-Cyrl-RS"/>
        </w:rPr>
      </w:pPr>
      <w:r>
        <w:rPr>
          <w:rFonts w:asciiTheme="minorHAnsi" w:hAnsiTheme="minorHAnsi" w:cstheme="minorHAnsi"/>
          <w:bCs/>
          <w:shd w:val="clear" w:color="auto" w:fill="FFFFFF"/>
        </w:rPr>
        <w:t>Одсјек</w:t>
      </w:r>
      <w:r>
        <w:rPr>
          <w:rFonts w:asciiTheme="minorHAnsi" w:hAnsiTheme="minorHAnsi" w:cstheme="minorHAnsi"/>
          <w:bCs/>
          <w:shd w:val="clear" w:color="auto" w:fill="FFFFFF"/>
          <w:lang w:val="hr-BA"/>
        </w:rPr>
        <w:t xml:space="preserve"> </w:t>
      </w:r>
      <w:r>
        <w:rPr>
          <w:rFonts w:asciiTheme="minorHAnsi" w:hAnsiTheme="minorHAnsi" w:cstheme="minorHAnsi"/>
          <w:bCs/>
          <w:shd w:val="clear" w:color="auto" w:fill="FFFFFF"/>
        </w:rPr>
        <w:t>за</w:t>
      </w:r>
      <w:r>
        <w:rPr>
          <w:rFonts w:asciiTheme="minorHAnsi" w:hAnsiTheme="minorHAnsi" w:cstheme="minorHAnsi"/>
          <w:bCs/>
          <w:shd w:val="clear" w:color="auto" w:fill="FFFFFF"/>
          <w:lang w:val="hr-BA"/>
        </w:rPr>
        <w:t xml:space="preserve"> </w:t>
      </w:r>
      <w:r>
        <w:rPr>
          <w:rFonts w:asciiTheme="minorHAnsi" w:hAnsiTheme="minorHAnsi" w:cstheme="minorHAnsi"/>
          <w:bCs/>
          <w:shd w:val="clear" w:color="auto" w:fill="FFFFFF"/>
        </w:rPr>
        <w:t>послове</w:t>
      </w:r>
      <w:r>
        <w:rPr>
          <w:rFonts w:asciiTheme="minorHAnsi" w:hAnsiTheme="minorHAnsi" w:cstheme="minorHAnsi"/>
          <w:bCs/>
          <w:shd w:val="clear" w:color="auto" w:fill="FFFFFF"/>
          <w:lang w:val="hr-BA"/>
        </w:rPr>
        <w:t xml:space="preserve"> </w:t>
      </w:r>
      <w:r>
        <w:rPr>
          <w:rFonts w:asciiTheme="minorHAnsi" w:hAnsiTheme="minorHAnsi" w:cstheme="minorHAnsi"/>
          <w:bCs/>
          <w:shd w:val="clear" w:color="auto" w:fill="FFFFFF"/>
        </w:rPr>
        <w:t>цивилне</w:t>
      </w:r>
      <w:r>
        <w:rPr>
          <w:rFonts w:asciiTheme="minorHAnsi" w:hAnsiTheme="minorHAnsi" w:cstheme="minorHAnsi"/>
          <w:bCs/>
          <w:shd w:val="clear" w:color="auto" w:fill="FFFFFF"/>
          <w:lang w:val="hr-BA"/>
        </w:rPr>
        <w:t xml:space="preserve"> </w:t>
      </w:r>
      <w:r>
        <w:rPr>
          <w:rFonts w:asciiTheme="minorHAnsi" w:hAnsiTheme="minorHAnsi" w:cstheme="minorHAnsi"/>
          <w:bCs/>
          <w:shd w:val="clear" w:color="auto" w:fill="FFFFFF"/>
        </w:rPr>
        <w:t>заштите</w:t>
      </w:r>
      <w:r>
        <w:rPr>
          <w:rFonts w:asciiTheme="minorHAnsi" w:hAnsiTheme="minorHAnsi" w:cstheme="minorHAnsi"/>
          <w:bCs/>
          <w:shd w:val="clear" w:color="auto" w:fill="FFFFFF"/>
          <w:lang w:val="hr-BA"/>
        </w:rPr>
        <w:t xml:space="preserve"> </w:t>
      </w:r>
      <w:r>
        <w:rPr>
          <w:rFonts w:asciiTheme="minorHAnsi" w:hAnsiTheme="minorHAnsi" w:cstheme="minorHAnsi"/>
          <w:bCs/>
          <w:shd w:val="clear" w:color="auto" w:fill="FFFFFF"/>
          <w:lang w:val="sr-Cyrl-RS"/>
        </w:rPr>
        <w:t xml:space="preserve">и професионалне територијалне ватрогасне јединице </w:t>
      </w:r>
    </w:p>
    <w:p>
      <w:pPr>
        <w:pStyle w:val="46"/>
        <w:numPr>
          <w:ilvl w:val="0"/>
          <w:numId w:val="22"/>
        </w:numPr>
        <w:rPr>
          <w:rFonts w:asciiTheme="minorHAnsi" w:hAnsiTheme="minorHAnsi" w:cstheme="minorHAnsi"/>
          <w:bCs/>
          <w:lang w:val="sr-Cyrl-RS"/>
        </w:rPr>
      </w:pPr>
      <w:r>
        <w:rPr>
          <w:rFonts w:asciiTheme="minorHAnsi" w:hAnsiTheme="minorHAnsi" w:cstheme="minorHAnsi"/>
          <w:bCs/>
          <w:lang w:val="sr-Cyrl-RS"/>
        </w:rPr>
        <w:t>Професионална територијална ватрогасна јединица</w:t>
      </w:r>
      <w:r>
        <w:rPr>
          <w:rFonts w:asciiTheme="minorHAnsi" w:hAnsiTheme="minorHAnsi" w:cstheme="minorHAnsi"/>
          <w:lang w:val="sr-Cyrl-RS"/>
        </w:rPr>
        <w:t xml:space="preserve"> спроводи пожарну заштиту која је у саставу</w:t>
      </w:r>
      <w:r>
        <w:rPr>
          <w:rFonts w:asciiTheme="minorHAnsi" w:hAnsiTheme="minorHAnsi" w:cstheme="minorHAnsi"/>
          <w:bCs/>
          <w:lang w:val="sr-Cyrl-RS"/>
        </w:rPr>
        <w:t xml:space="preserve"> Одсјека.</w:t>
      </w:r>
    </w:p>
    <w:p>
      <w:pPr>
        <w:jc w:val="both"/>
        <w:rPr>
          <w:shd w:val="clear" w:color="auto" w:fill="FFFFFF"/>
        </w:rPr>
      </w:pPr>
      <w:r>
        <w:rPr>
          <w:shd w:val="clear" w:color="auto" w:fill="FFFFFF"/>
        </w:rPr>
        <w:t xml:space="preserve"> </w:t>
      </w:r>
    </w:p>
    <w:p>
      <w:pPr>
        <w:jc w:val="both"/>
        <w:rPr>
          <w:shd w:val="clear" w:color="auto" w:fill="FFFFFF"/>
          <w:lang w:val="sr-Cyrl-CS"/>
        </w:rPr>
      </w:pPr>
      <w:r>
        <w:rPr>
          <w:shd w:val="clear" w:color="auto" w:fill="FFFFFF"/>
        </w:rPr>
        <w:t>Професионална ватрогасна јединица Бања Лука</w:t>
      </w:r>
      <w:r>
        <w:rPr>
          <w:shd w:val="clear" w:color="auto" w:fill="FFFFFF"/>
          <w:lang w:val="sr-Cyrl-RS"/>
        </w:rPr>
        <w:t xml:space="preserve"> има о</w:t>
      </w:r>
      <w:r>
        <w:rPr>
          <w:shd w:val="clear" w:color="auto" w:fill="FFFFFF"/>
        </w:rPr>
        <w:t xml:space="preserve">бјекат </w:t>
      </w:r>
      <w:r>
        <w:rPr>
          <w:shd w:val="clear" w:color="auto" w:fill="FFFFFF"/>
          <w:lang w:val="sr-Cyrl-RS"/>
        </w:rPr>
        <w:t>у</w:t>
      </w:r>
      <w:r>
        <w:rPr>
          <w:shd w:val="clear" w:color="auto" w:fill="FFFFFF"/>
        </w:rPr>
        <w:t>купн</w:t>
      </w:r>
      <w:r>
        <w:rPr>
          <w:shd w:val="clear" w:color="auto" w:fill="FFFFFF"/>
          <w:lang w:val="sr-Cyrl-RS"/>
        </w:rPr>
        <w:t>е</w:t>
      </w:r>
      <w:r>
        <w:rPr>
          <w:shd w:val="clear" w:color="auto" w:fill="FFFFFF"/>
        </w:rPr>
        <w:t xml:space="preserve"> површин</w:t>
      </w:r>
      <w:r>
        <w:rPr>
          <w:shd w:val="clear" w:color="auto" w:fill="FFFFFF"/>
          <w:lang w:val="sr-Cyrl-RS"/>
        </w:rPr>
        <w:t>е</w:t>
      </w:r>
      <w:r>
        <w:rPr>
          <w:shd w:val="clear" w:color="auto" w:fill="FFFFFF"/>
        </w:rPr>
        <w:t xml:space="preserve"> </w:t>
      </w:r>
      <w:r>
        <w:rPr>
          <w:shd w:val="clear" w:color="auto" w:fill="FFFFFF"/>
          <w:lang w:val="sr-Cyrl-RS"/>
        </w:rPr>
        <w:t>од</w:t>
      </w:r>
      <w:r>
        <w:rPr>
          <w:shd w:val="clear" w:color="auto" w:fill="FFFFFF"/>
        </w:rPr>
        <w:t xml:space="preserve"> око 1.500м</w:t>
      </w:r>
      <w:r>
        <w:rPr>
          <w:shd w:val="clear" w:color="auto" w:fill="FFFFFF"/>
          <w:vertAlign w:val="superscript"/>
        </w:rPr>
        <w:t>2</w:t>
      </w:r>
      <w:r>
        <w:rPr>
          <w:shd w:val="clear" w:color="auto" w:fill="FFFFFF"/>
          <w:vertAlign w:val="superscript"/>
          <w:lang w:val="sr-Cyrl-RS"/>
        </w:rPr>
        <w:t xml:space="preserve">, </w:t>
      </w:r>
      <w:r>
        <w:rPr>
          <w:shd w:val="clear" w:color="auto" w:fill="FFFFFF"/>
        </w:rPr>
        <w:t>који је реновиран и постоје услови за ефикасан рад</w:t>
      </w:r>
      <w:r>
        <w:rPr>
          <w:shd w:val="clear" w:color="auto" w:fill="FFFFFF"/>
          <w:lang w:val="sr-Cyrl-RS"/>
        </w:rPr>
        <w:t>и</w:t>
      </w:r>
      <w:r>
        <w:rPr>
          <w:shd w:val="clear" w:color="auto" w:fill="FFFFFF"/>
        </w:rPr>
        <w:t>. У објекту се налазе канцеларије за администрацију, учионица, теретана, два апартмана, чајна кухиња а у приземљу објекта налази се 12 гаража, радионица и приручни магацин укупне површине од око 900м</w:t>
      </w:r>
      <w:r>
        <w:rPr>
          <w:shd w:val="clear" w:color="auto" w:fill="FFFFFF"/>
          <w:vertAlign w:val="superscript"/>
        </w:rPr>
        <w:t>2</w:t>
      </w:r>
      <w:r>
        <w:rPr>
          <w:shd w:val="clear" w:color="auto" w:fill="FFFFFF"/>
        </w:rPr>
        <w:t>. Укупна површина објекта је око 1.500м</w:t>
      </w:r>
      <w:r>
        <w:rPr>
          <w:shd w:val="clear" w:color="auto" w:fill="FFFFFF"/>
          <w:vertAlign w:val="superscript"/>
        </w:rPr>
        <w:t>2</w:t>
      </w:r>
      <w:r>
        <w:rPr>
          <w:shd w:val="clear" w:color="auto" w:fill="FFFFFF"/>
        </w:rPr>
        <w:t>.</w:t>
      </w:r>
      <w:r>
        <w:rPr>
          <w:lang w:val="sr-Cyrl-RS"/>
        </w:rPr>
        <w:t xml:space="preserve"> </w:t>
      </w:r>
      <w:r>
        <w:rPr>
          <w:shd w:val="clear" w:color="auto" w:fill="FFFFFF"/>
        </w:rPr>
        <w:t xml:space="preserve">Објекат новог дома ПТВЈ </w:t>
      </w:r>
      <w:r>
        <w:rPr>
          <w:shd w:val="clear" w:color="auto" w:fill="FFFFFF"/>
          <w:lang w:val="sr-Cyrl-RS"/>
        </w:rPr>
        <w:t xml:space="preserve"> површине </w:t>
      </w:r>
      <w:r>
        <w:rPr>
          <w:shd w:val="clear" w:color="auto" w:fill="FFFFFF"/>
        </w:rPr>
        <w:t>1618м</w:t>
      </w:r>
      <w:r>
        <w:rPr>
          <w:shd w:val="clear" w:color="auto" w:fill="FFFFFF"/>
          <w:vertAlign w:val="superscript"/>
        </w:rPr>
        <w:t>2</w:t>
      </w:r>
      <w:r>
        <w:rPr>
          <w:shd w:val="clear" w:color="auto" w:fill="FFFFFF"/>
        </w:rPr>
        <w:t> у МЗ „Лазарево“</w:t>
      </w:r>
      <w:r>
        <w:rPr>
          <w:shd w:val="clear" w:color="auto" w:fill="FFFFFF"/>
          <w:lang w:val="sr-Cyrl-CS"/>
        </w:rPr>
        <w:t>,</w:t>
      </w:r>
      <w:r>
        <w:rPr>
          <w:shd w:val="clear" w:color="auto" w:fill="FFFFFF"/>
        </w:rPr>
        <w:t xml:space="preserve"> отворен је 2014.године.</w:t>
      </w:r>
      <w:r>
        <w:rPr>
          <w:shd w:val="clear" w:color="auto" w:fill="FFFFFF"/>
          <w:lang w:val="sr-Cyrl-RS"/>
        </w:rPr>
        <w:t xml:space="preserve"> </w:t>
      </w:r>
    </w:p>
    <w:p>
      <w:pPr>
        <w:jc w:val="both"/>
        <w:rPr>
          <w:rFonts w:asciiTheme="minorHAnsi" w:hAnsiTheme="minorHAnsi" w:cstheme="minorHAnsi"/>
          <w:shd w:val="clear" w:color="auto" w:fill="FFFFFF"/>
          <w:lang w:val="sr-Cyrl-RS"/>
        </w:rPr>
      </w:pPr>
      <w:r>
        <w:rPr>
          <w:shd w:val="clear" w:color="auto" w:fill="FFFFFF"/>
        </w:rPr>
        <w:t>Сви ватрогасци су опремљени личном заштитном опремом која испуњава европске норме. Јединица располаже и савременом опремом, као што су: изолациони апарати, преносне пумпе, димовуци, преносне љестве, агрегати, средства за гашење пожара и друга опрема. </w:t>
      </w:r>
      <w:r>
        <w:br w:type="textWrapping"/>
      </w:r>
      <w:r>
        <w:rPr>
          <w:shd w:val="clear" w:color="auto" w:fill="FFFFFF"/>
        </w:rPr>
        <w:t>Јединица је опремљена савременим ватрогасним возилима са комплетном опремом</w:t>
      </w:r>
      <w:r>
        <w:rPr>
          <w:shd w:val="clear" w:color="auto" w:fill="FFFFFF"/>
          <w:lang w:val="sr-Cyrl-RS"/>
        </w:rPr>
        <w:t xml:space="preserve">. </w:t>
      </w:r>
      <w:r>
        <w:t>Сви ватрогасци су професионални ватрогасци и положили су стручни испит за ватрогасца, а 29 ватрогасаца има испит руководиоца акције гашења пожара. </w:t>
      </w:r>
      <w:r>
        <w:rPr>
          <w:lang w:val="sr-Cyrl-RS"/>
        </w:rPr>
        <w:t xml:space="preserve"> </w:t>
      </w:r>
      <w:r>
        <w:t>Поред гашења пожара (стамбени, индустријски, привредни објекти и друга средства; шумски пожари)</w:t>
      </w:r>
      <w:r>
        <w:rPr>
          <w:lang w:val="sr-Cyrl-CS"/>
        </w:rPr>
        <w:t>,</w:t>
      </w:r>
      <w:r>
        <w:t xml:space="preserve"> ватрогасна јединица врши и друге интервенције као што су интервенције приликом саобраћајних удеса</w:t>
      </w:r>
      <w:r>
        <w:rPr>
          <w:rFonts w:asciiTheme="minorHAnsi" w:hAnsiTheme="minorHAnsi" w:cstheme="minorHAnsi"/>
        </w:rPr>
        <w:t>,</w:t>
      </w:r>
      <w:r>
        <w:rPr>
          <w:rFonts w:asciiTheme="minorHAnsi" w:hAnsiTheme="minorHAnsi" w:cstheme="minorHAnsi"/>
          <w:shd w:val="clear" w:color="auto" w:fill="FFFFFF"/>
        </w:rPr>
        <w:t xml:space="preserve"> техничко-технолошки акциденти, елементарне непогоде и друге несреће</w:t>
      </w:r>
      <w:r>
        <w:rPr>
          <w:rStyle w:val="31"/>
          <w:rFonts w:asciiTheme="minorHAnsi" w:hAnsiTheme="minorHAnsi" w:cstheme="minorHAnsi"/>
          <w:shd w:val="clear" w:color="auto" w:fill="FFFFFF"/>
        </w:rPr>
        <w:footnoteReference w:id="61"/>
      </w:r>
      <w:r>
        <w:rPr>
          <w:rFonts w:asciiTheme="minorHAnsi" w:hAnsiTheme="minorHAnsi" w:cstheme="minorHAnsi"/>
          <w:shd w:val="clear" w:color="auto" w:fill="FFFFFF"/>
          <w:lang w:val="sr-Cyrl-RS"/>
        </w:rPr>
        <w:t>.</w:t>
      </w:r>
    </w:p>
    <w:p>
      <w:pPr>
        <w:jc w:val="both"/>
        <w:rPr>
          <w:rFonts w:ascii="Arial" w:hAnsi="Arial" w:cs="Arial"/>
          <w:color w:val="3C3032"/>
          <w:shd w:val="clear" w:color="auto" w:fill="FFFFFF"/>
          <w:lang w:val="sr-Cyrl-RS"/>
        </w:rPr>
      </w:pPr>
    </w:p>
    <w:p>
      <w:pPr>
        <w:jc w:val="both"/>
        <w:rPr>
          <w:rFonts w:asciiTheme="minorHAnsi" w:hAnsiTheme="minorHAnsi" w:cstheme="minorHAnsi"/>
          <w:shd w:val="clear" w:color="auto" w:fill="FFFFFF"/>
        </w:rPr>
      </w:pPr>
      <w:r>
        <w:rPr>
          <w:rFonts w:asciiTheme="minorHAnsi" w:hAnsiTheme="minorHAnsi" w:cstheme="minorHAnsi"/>
          <w:shd w:val="clear" w:color="auto" w:fill="FFFFFF"/>
          <w:lang w:val="sr-Cyrl-RS"/>
        </w:rPr>
        <w:t xml:space="preserve">На територији општине постоје два ватрогасна друштва </w:t>
      </w:r>
      <w:r>
        <w:rPr>
          <w:rFonts w:asciiTheme="minorHAnsi" w:hAnsiTheme="minorHAnsi" w:cstheme="minorHAnsi"/>
          <w:b/>
          <w:bCs/>
          <w:color w:val="3C3032"/>
          <w:shd w:val="clear" w:color="auto" w:fill="FFFFFF"/>
        </w:rPr>
        <w:t>Ватрогасно друштво „Бања Лука"</w:t>
      </w:r>
      <w:r>
        <w:rPr>
          <w:rFonts w:asciiTheme="minorHAnsi" w:hAnsiTheme="minorHAnsi" w:cstheme="minorHAnsi"/>
          <w:shd w:val="clear" w:color="auto" w:fill="FFFFFF"/>
          <w:lang w:val="sr-Cyrl-RS"/>
        </w:rPr>
        <w:t xml:space="preserve"> и </w:t>
      </w:r>
      <w:r>
        <w:rPr>
          <w:rFonts w:asciiTheme="minorHAnsi" w:hAnsiTheme="minorHAnsi" w:cstheme="minorHAnsi"/>
          <w:b/>
          <w:bCs/>
          <w:shd w:val="clear" w:color="auto" w:fill="FFFFFF"/>
        </w:rPr>
        <w:t>Ватрогасно друштво „Врбања</w:t>
      </w:r>
      <w:r>
        <w:rPr>
          <w:rFonts w:asciiTheme="minorHAnsi" w:hAnsiTheme="minorHAnsi" w:cstheme="minorHAnsi"/>
          <w:b/>
          <w:bCs/>
          <w:color w:val="3C3032"/>
          <w:shd w:val="clear" w:color="auto" w:fill="FFFFFF"/>
        </w:rPr>
        <w:t>"</w:t>
      </w:r>
      <w:r>
        <w:rPr>
          <w:rFonts w:asciiTheme="minorHAnsi" w:hAnsiTheme="minorHAnsi" w:cstheme="minorHAnsi"/>
          <w:shd w:val="clear" w:color="auto" w:fill="FFFFFF"/>
          <w:lang w:val="sr-Cyrl-CS"/>
        </w:rPr>
        <w:t>.</w:t>
      </w:r>
      <w:r>
        <w:rPr>
          <w:rFonts w:asciiTheme="minorHAnsi" w:hAnsiTheme="minorHAnsi" w:cstheme="minorHAnsi"/>
          <w:shd w:val="clear" w:color="auto" w:fill="FFFFFF"/>
          <w:lang w:val="sr-Cyrl-RS"/>
        </w:rPr>
        <w:t xml:space="preserve"> Ова </w:t>
      </w:r>
      <w:r>
        <w:rPr>
          <w:rFonts w:asciiTheme="minorHAnsi" w:hAnsiTheme="minorHAnsi" w:cstheme="minorHAnsi"/>
          <w:shd w:val="clear" w:color="auto" w:fill="FFFFFF"/>
        </w:rPr>
        <w:t>удружењ</w:t>
      </w:r>
      <w:r>
        <w:rPr>
          <w:rFonts w:asciiTheme="minorHAnsi" w:hAnsiTheme="minorHAnsi" w:cstheme="minorHAnsi"/>
          <w:shd w:val="clear" w:color="auto" w:fill="FFFFFF"/>
          <w:lang w:val="sr-Cyrl-RS"/>
        </w:rPr>
        <w:t>а</w:t>
      </w:r>
      <w:r>
        <w:rPr>
          <w:rFonts w:asciiTheme="minorHAnsi" w:hAnsiTheme="minorHAnsi" w:cstheme="minorHAnsi"/>
          <w:shd w:val="clear" w:color="auto" w:fill="FFFFFF"/>
        </w:rPr>
        <w:t xml:space="preserve"> грађана од посебног</w:t>
      </w:r>
      <w:r>
        <w:rPr>
          <w:rFonts w:asciiTheme="minorHAnsi" w:hAnsiTheme="minorHAnsi" w:cstheme="minorHAnsi"/>
          <w:shd w:val="clear" w:color="auto" w:fill="FFFFFF"/>
          <w:lang w:val="sr-Cyrl-RS"/>
        </w:rPr>
        <w:t xml:space="preserve"> су</w:t>
      </w:r>
      <w:r>
        <w:rPr>
          <w:rFonts w:asciiTheme="minorHAnsi" w:hAnsiTheme="minorHAnsi" w:cstheme="minorHAnsi"/>
          <w:shd w:val="clear" w:color="auto" w:fill="FFFFFF"/>
        </w:rPr>
        <w:t xml:space="preserve"> друштвеног интереса у спровођењу мјера заштите од пожара. Основне дјелатности ов</w:t>
      </w:r>
      <w:r>
        <w:rPr>
          <w:rFonts w:asciiTheme="minorHAnsi" w:hAnsiTheme="minorHAnsi" w:cstheme="minorHAnsi"/>
          <w:shd w:val="clear" w:color="auto" w:fill="FFFFFF"/>
          <w:lang w:val="sr-Cyrl-RS"/>
        </w:rPr>
        <w:t>их</w:t>
      </w:r>
      <w:r>
        <w:rPr>
          <w:rFonts w:asciiTheme="minorHAnsi" w:hAnsiTheme="minorHAnsi" w:cstheme="minorHAnsi"/>
          <w:shd w:val="clear" w:color="auto" w:fill="FFFFFF"/>
        </w:rPr>
        <w:t xml:space="preserve"> удружења су: окупљање грађана у циљу спровођења превентивних мјера заштите од пожара на подручју </w:t>
      </w:r>
      <w:r>
        <w:rPr>
          <w:rFonts w:asciiTheme="minorHAnsi" w:hAnsiTheme="minorHAnsi" w:cstheme="minorHAnsi"/>
          <w:shd w:val="clear" w:color="auto" w:fill="FFFFFF"/>
          <w:lang w:val="sr-Cyrl-RS"/>
        </w:rPr>
        <w:t xml:space="preserve">Бања Луке и </w:t>
      </w:r>
      <w:r>
        <w:rPr>
          <w:rFonts w:asciiTheme="minorHAnsi" w:hAnsiTheme="minorHAnsi" w:cstheme="minorHAnsi"/>
          <w:shd w:val="clear" w:color="auto" w:fill="FFFFFF"/>
        </w:rPr>
        <w:t>МЗ Врбања, обука чланова друштва за потребе гашења пожара, гашење пожара, пружање помоћи угроженим и у случају других елементарних непогода и несрећа. </w:t>
      </w:r>
      <w:r>
        <w:rPr>
          <w:rFonts w:asciiTheme="minorHAnsi" w:hAnsiTheme="minorHAnsi" w:cstheme="minorHAnsi"/>
          <w:lang w:val="sr-Cyrl-RS"/>
        </w:rPr>
        <w:t xml:space="preserve"> </w:t>
      </w:r>
      <w:r>
        <w:rPr>
          <w:rFonts w:asciiTheme="minorHAnsi" w:hAnsiTheme="minorHAnsi" w:cstheme="minorHAnsi"/>
          <w:shd w:val="clear" w:color="auto" w:fill="FFFFFF"/>
        </w:rPr>
        <w:t>ВД „Врбања"</w:t>
      </w:r>
      <w:r>
        <w:rPr>
          <w:rFonts w:asciiTheme="minorHAnsi" w:hAnsiTheme="minorHAnsi" w:cstheme="minorHAnsi"/>
          <w:shd w:val="clear" w:color="auto" w:fill="FFFFFF"/>
          <w:lang w:val="sr-Cyrl-CS"/>
        </w:rPr>
        <w:t xml:space="preserve"> </w:t>
      </w:r>
      <w:r>
        <w:rPr>
          <w:rFonts w:asciiTheme="minorHAnsi" w:hAnsiTheme="minorHAnsi" w:cstheme="minorHAnsi"/>
          <w:shd w:val="clear" w:color="auto" w:fill="FFFFFF"/>
        </w:rPr>
        <w:t>се ангажује на гашењу пожара и пружању помоћи на цијелој територији града Бање Луке.</w:t>
      </w:r>
    </w:p>
    <w:p>
      <w:pPr>
        <w:jc w:val="both"/>
        <w:rPr>
          <w:shd w:val="clear" w:color="auto" w:fill="FFFFFF"/>
        </w:rPr>
      </w:pPr>
    </w:p>
    <w:p>
      <w:pPr>
        <w:jc w:val="both"/>
        <w:rPr>
          <w:shd w:val="clear" w:color="auto" w:fill="FFFFFF"/>
        </w:rPr>
      </w:pPr>
      <w:r>
        <w:rPr>
          <w:rFonts w:asciiTheme="minorHAnsi" w:hAnsiTheme="minorHAnsi" w:cstheme="minorHAnsi"/>
          <w:b/>
          <w:bCs/>
          <w:shd w:val="clear" w:color="auto" w:fill="FFFFFF"/>
        </w:rPr>
        <w:t>Ронилачки клуб „Бук"</w:t>
      </w:r>
      <w:r>
        <w:rPr>
          <w:rFonts w:asciiTheme="minorHAnsi" w:hAnsiTheme="minorHAnsi" w:cstheme="minorHAnsi"/>
          <w:shd w:val="clear" w:color="auto" w:fill="FFFFFF"/>
        </w:rPr>
        <w:t> </w:t>
      </w:r>
      <w:r>
        <w:rPr>
          <w:shd w:val="clear" w:color="auto" w:fill="FFFFFF"/>
        </w:rPr>
        <w:t>је удружење грађана од посебног друштвеног интереса у спровођењу мјера заштите и спашавања на води и под водом.</w:t>
      </w:r>
      <w:r>
        <w:rPr>
          <w:shd w:val="clear" w:color="auto" w:fill="FFFFFF"/>
          <w:lang w:val="sr-Cyrl-RS"/>
        </w:rPr>
        <w:t xml:space="preserve"> </w:t>
      </w:r>
      <w:r>
        <w:rPr>
          <w:shd w:val="clear" w:color="auto" w:fill="FFFFFF"/>
        </w:rPr>
        <w:t>Основна дјелатност овог удружења је на: оспособљавању чланова удружења за управљање чамцима на води, веслање, роњење, оспособљавање у циљу спашавања људи и материјалних добара на води и под водом.</w:t>
      </w:r>
      <w:r>
        <w:br w:type="textWrapping"/>
      </w:r>
      <w:r>
        <w:rPr>
          <w:shd w:val="clear" w:color="auto" w:fill="FFFFFF"/>
        </w:rPr>
        <w:t>Чланови клуба су припадници Јединице цивилне заштите града Бања Лука за заштиту и спашавање на води и под водом.</w:t>
      </w:r>
    </w:p>
    <w:p>
      <w:pPr>
        <w:jc w:val="both"/>
        <w:rPr>
          <w:rFonts w:ascii="Arial" w:hAnsi="Arial" w:cs="Arial"/>
          <w:color w:val="3C3032"/>
          <w:shd w:val="clear" w:color="auto" w:fill="FFFFFF"/>
        </w:rPr>
      </w:pPr>
    </w:p>
    <w:p>
      <w:pPr>
        <w:jc w:val="both"/>
        <w:rPr>
          <w:shd w:val="clear" w:color="auto" w:fill="FFFFFF"/>
        </w:rPr>
      </w:pPr>
      <w:r>
        <w:rPr>
          <w:b/>
          <w:bCs/>
          <w:shd w:val="clear" w:color="auto" w:fill="FFFFFF"/>
        </w:rPr>
        <w:t>Рафтинг клуб "Кањон</w:t>
      </w:r>
      <w:r>
        <w:rPr>
          <w:shd w:val="clear" w:color="auto" w:fill="FFFFFF"/>
        </w:rPr>
        <w:t>" је удружење грађана са главним циљем афирмације рафтинг спорта и спортова на води уопште,</w:t>
      </w:r>
      <w:r>
        <w:rPr>
          <w:shd w:val="clear" w:color="auto" w:fill="FFFFFF"/>
          <w:lang w:val="sr-Cyrl-RS"/>
        </w:rPr>
        <w:t xml:space="preserve"> </w:t>
      </w:r>
      <w:r>
        <w:rPr>
          <w:shd w:val="clear" w:color="auto" w:fill="FFFFFF"/>
        </w:rPr>
        <w:t>учествовање у организацији еколошких акција и заштите кањона ријеке Врбас, подизању еколошке свијести  код грађана, промовисање туристичких потенцијала ријеке Врбас, промовисање значаја бављења спортом на води и пружања помоћи угроженом становништву у случају елементарних непогода</w:t>
      </w:r>
      <w:r>
        <w:rPr>
          <w:shd w:val="clear" w:color="auto" w:fill="FFFFFF"/>
          <w:lang w:val="sr-Cyrl-CS"/>
        </w:rPr>
        <w:t>,</w:t>
      </w:r>
      <w:r>
        <w:rPr>
          <w:shd w:val="clear" w:color="auto" w:fill="FFFFFF"/>
        </w:rPr>
        <w:t xml:space="preserve"> поплава и др. Удружење је укључено у састав Специјализоване јединице за спашавање на води и под водом Града Бања Лука.</w:t>
      </w:r>
    </w:p>
    <w:p>
      <w:pPr>
        <w:jc w:val="both"/>
        <w:rPr>
          <w:shd w:val="clear" w:color="auto" w:fill="FFFFFF"/>
        </w:rPr>
      </w:pPr>
    </w:p>
    <w:p>
      <w:pPr>
        <w:jc w:val="both"/>
        <w:rPr>
          <w:shd w:val="clear" w:color="auto" w:fill="FFFFFF"/>
        </w:rPr>
      </w:pPr>
      <w:r>
        <w:rPr>
          <w:b/>
          <w:bCs/>
          <w:shd w:val="clear" w:color="auto" w:fill="FFFFFF"/>
        </w:rPr>
        <w:t>Горска служба спасавања Бања Лука</w:t>
      </w:r>
      <w:r>
        <w:rPr>
          <w:shd w:val="clear" w:color="auto" w:fill="FFFFFF"/>
        </w:rPr>
        <w:t xml:space="preserve"> је добровољна, хуманитарна и стручна организација – удружење грађана за пружање помоћи и спасавање угрожених лица, учествује у спасавању, тражењу несталих лица. Удружење има за циљ спасавање људи и имовине те пружање прве помоћи унесрећенима на неприступачним теренима, у урбаним условима у случају елементарних непогода као што су поплаве, сњежни наноси, земљотреси и др. Удружење је укључено у састав Специјализоване јединице за спашавање из рушевина Града Бања Лука.</w:t>
      </w:r>
    </w:p>
    <w:p>
      <w:pPr>
        <w:jc w:val="both"/>
        <w:rPr>
          <w:rFonts w:ascii="Arial" w:hAnsi="Arial" w:cs="Arial"/>
          <w:b/>
          <w:bCs/>
          <w:color w:val="3C3032"/>
          <w:shd w:val="clear" w:color="auto" w:fill="FFFFFF"/>
        </w:rPr>
      </w:pPr>
    </w:p>
    <w:p>
      <w:pPr>
        <w:jc w:val="both"/>
        <w:rPr>
          <w:shd w:val="clear" w:color="auto" w:fill="FFFFFF"/>
        </w:rPr>
      </w:pPr>
      <w:r>
        <w:rPr>
          <w:b/>
          <w:bCs/>
        </w:rPr>
        <w:t>Планинарско-алпинистички</w:t>
      </w:r>
      <w:r>
        <w:rPr>
          <w:b/>
          <w:bCs/>
          <w:lang w:val="sr-Cyrl-CS"/>
        </w:rPr>
        <w:t xml:space="preserve"> </w:t>
      </w:r>
      <w:r>
        <w:rPr>
          <w:b/>
          <w:bCs/>
        </w:rPr>
        <w:t>орјентациони клуб „ПАОК"</w:t>
      </w:r>
      <w:r>
        <w:rPr>
          <w:shd w:val="clear" w:color="auto" w:fill="FFFFFF"/>
        </w:rPr>
        <w:t xml:space="preserve"> је удружење грађана са основном дјелатношћу на афирмацији планинарства, оспособљавању чланова удружења за орјентацију у природи, савладавању природни и висинских препрека у циљу освајања планинских врхова и откривања природних бога</w:t>
      </w:r>
      <w:r>
        <w:rPr>
          <w:shd w:val="clear" w:color="auto" w:fill="FFFFFF"/>
          <w:lang w:val="sr-Cyrl-RS"/>
        </w:rPr>
        <w:t>т</w:t>
      </w:r>
      <w:r>
        <w:rPr>
          <w:shd w:val="clear" w:color="auto" w:fill="FFFFFF"/>
        </w:rPr>
        <w:t>сава.</w:t>
      </w:r>
      <w:r>
        <w:rPr>
          <w:lang w:val="sr-Cyrl-RS"/>
        </w:rPr>
        <w:t xml:space="preserve"> </w:t>
      </w:r>
      <w:r>
        <w:rPr>
          <w:shd w:val="clear" w:color="auto" w:fill="FFFFFF"/>
        </w:rPr>
        <w:t>Чланови клуба су припадници Јединице цивилне заштите за заштиту и спашавање из рушевина и са висина.</w:t>
      </w:r>
    </w:p>
    <w:p>
      <w:pPr>
        <w:jc w:val="both"/>
        <w:rPr>
          <w:shd w:val="clear" w:color="auto" w:fill="FFFFFF"/>
        </w:rPr>
      </w:pPr>
    </w:p>
    <w:p>
      <w:pPr>
        <w:jc w:val="both"/>
        <w:rPr>
          <w:shd w:val="clear" w:color="auto" w:fill="FFFFFF"/>
        </w:rPr>
      </w:pPr>
      <w:r>
        <w:rPr>
          <w:b/>
          <w:bCs/>
        </w:rPr>
        <w:t>Спелеолошко друштво „Понир"</w:t>
      </w:r>
      <w:r>
        <w:rPr>
          <w:shd w:val="clear" w:color="auto" w:fill="FFFFFF"/>
        </w:rPr>
        <w:t xml:space="preserve"> је удружење грађана са основном дјелатношћу на оспособљавању чланова друштва у сврху испитивања пећина и јама као природног добра.</w:t>
      </w:r>
      <w:r>
        <w:rPr>
          <w:lang w:val="sr-Cyrl-RS"/>
        </w:rPr>
        <w:t xml:space="preserve"> </w:t>
      </w:r>
      <w:r>
        <w:rPr>
          <w:shd w:val="clear" w:color="auto" w:fill="FFFFFF"/>
        </w:rPr>
        <w:t>Чланови друштва су припадници Јединице цивилне заштите за заштиту и спашавање из рушевина и са висина.</w:t>
      </w:r>
    </w:p>
    <w:p>
      <w:pPr>
        <w:rPr>
          <w:rFonts w:eastAsia="Times New Roman"/>
          <w:kern w:val="32"/>
          <w:lang w:val="sr-Cyrl-RS"/>
        </w:rPr>
      </w:pPr>
    </w:p>
    <w:p>
      <w:pPr>
        <w:jc w:val="both"/>
        <w:rPr>
          <w:shd w:val="clear" w:color="auto" w:fill="FFFFFF"/>
        </w:rPr>
      </w:pPr>
      <w:r>
        <w:rPr>
          <w:b/>
          <w:bCs/>
        </w:rPr>
        <w:t>Црвени крст - Градска организација Бања Лука</w:t>
      </w:r>
      <w:r>
        <w:rPr>
          <w:rFonts w:ascii="Arial" w:hAnsi="Arial" w:cs="Arial"/>
          <w:b/>
          <w:bCs/>
          <w:color w:val="3C3032"/>
          <w:shd w:val="clear" w:color="auto" w:fill="FFFFFF"/>
        </w:rPr>
        <w:t> </w:t>
      </w:r>
      <w:r>
        <w:rPr>
          <w:shd w:val="clear" w:color="auto" w:fill="FFFFFF"/>
        </w:rPr>
        <w:t>је хуманитарна организација која окупља велики број волонтера.</w:t>
      </w:r>
      <w:r>
        <w:rPr>
          <w:shd w:val="clear" w:color="auto" w:fill="FFFFFF"/>
          <w:lang w:val="sr-Cyrl-CS"/>
        </w:rPr>
        <w:t xml:space="preserve"> </w:t>
      </w:r>
      <w:r>
        <w:rPr>
          <w:shd w:val="clear" w:color="auto" w:fill="FFFFFF"/>
        </w:rPr>
        <w:t>Основна дјелатност ове организације је пружање помоћи угроженим, изнемоглим и незбринутим  грађанима, организовање активиста ЦК и других грађана на добровољном давању крви.</w:t>
      </w:r>
      <w:r>
        <w:rPr>
          <w:lang w:val="sr-Cyrl-RS"/>
        </w:rPr>
        <w:t xml:space="preserve"> </w:t>
      </w:r>
      <w:r>
        <w:rPr>
          <w:shd w:val="clear" w:color="auto" w:fill="FFFFFF"/>
        </w:rPr>
        <w:t>Чланови организације црвеног крста су укључени у активности Јединице цивилне заштите за пружање прве медицинске помоћи.</w:t>
      </w:r>
    </w:p>
    <w:p>
      <w:pPr>
        <w:jc w:val="both"/>
        <w:rPr>
          <w:shd w:val="clear" w:color="auto" w:fill="FFFFFF"/>
        </w:rPr>
      </w:pPr>
    </w:p>
    <w:tbl>
      <w:tblPr>
        <w:tblStyle w:val="36"/>
        <w:tblW w:w="9360"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3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PrEx>
        <w:trPr>
          <w:trHeight w:val="1250" w:hRule="atLeast"/>
          <w:jc w:val="center"/>
        </w:trPr>
        <w:tc>
          <w:tcPr>
            <w:tcW w:w="9360" w:type="dxa"/>
            <w:shd w:val="clear" w:color="auto" w:fill="C5E0B3" w:themeFill="accent6" w:themeFillTint="66"/>
          </w:tcPr>
          <w:p>
            <w:pPr>
              <w:pStyle w:val="54"/>
              <w:ind w:right="-113"/>
              <w:jc w:val="both"/>
              <w:rPr>
                <w:rFonts w:cs="Calibri"/>
                <w:i/>
                <w:lang w:val="sr-Cyrl-CS"/>
              </w:rPr>
            </w:pPr>
            <w:r>
              <w:rPr>
                <w:rFonts w:cs="Calibri"/>
                <w:i/>
                <w:lang w:val="sr-Cyrl-CS"/>
              </w:rPr>
              <w:t xml:space="preserve">У области цивилне заштите, од стране надлежних Органа донешени сви нормативно-правни акти (од законске и подзаконске регулативе, па до планова на свим нивоима). За период 2015-2017. године, радило се на сталном планирању и обезбјеђивању финансијских средстава за улагање у средства и опрему за заштиту и спашавање. Одсјек за послове цивилне заштите и професионалне територијалне ватрогасне јединице је опремљен савременим средствима и опремом да се с правом може сматрати регионалним лидером. Градска управа је посредством овог Одсјека у више наврата била у могућности да донира одређена средства и опрему мање развијеним локалним заједницама у свом ближем и ширем окружењу (задња донација се односила на пет специјалних возила ватрогасне намјене општинама: Котор Варош, Босанско Грахово, Дрвар, Челинац и Љубиње, а једно КПЗ „Туњице“). </w:t>
            </w:r>
          </w:p>
          <w:p>
            <w:pPr>
              <w:pStyle w:val="54"/>
              <w:ind w:right="-113"/>
              <w:jc w:val="both"/>
              <w:rPr>
                <w:rFonts w:cs="Calibri"/>
                <w:i/>
                <w:lang w:val="sr-Cyrl-CS"/>
              </w:rPr>
            </w:pPr>
            <w:r>
              <w:rPr>
                <w:rFonts w:cs="Calibri"/>
                <w:i/>
                <w:lang w:val="sr-Cyrl-CS"/>
              </w:rPr>
              <w:t>У периоду од почетка 2015. до краја 2017. године уложено је укупно: у возила 3.404.633,21 КМ, у опрему 1.691.679,36 КМ, и радне машине 310.000,00 КМ</w:t>
            </w:r>
            <w:r>
              <w:rPr>
                <w:rFonts w:cs="Calibri"/>
                <w:i/>
                <w:lang w:val="sr-Latn-BA"/>
              </w:rPr>
              <w:t xml:space="preserve">, </w:t>
            </w:r>
            <w:r>
              <w:rPr>
                <w:rFonts w:cs="Calibri"/>
                <w:i/>
                <w:lang w:val="sr-Cyrl-CS"/>
              </w:rPr>
              <w:t xml:space="preserve">односно свеукупно 5.406.312,57 КМ. Још увијек је недовољна и површна посвећеност субјеката у спровођењу мјера из области заштите и спашавања као што је: непостојање планске документације коју су у обавези да израде органи и субјекти, неспровођење обуке радника, итд. </w:t>
            </w:r>
          </w:p>
        </w:tc>
      </w:tr>
    </w:tbl>
    <w:p/>
    <w:p>
      <w:pPr>
        <w:rPr>
          <w:lang w:val="sr-Cyrl-CS"/>
        </w:rPr>
      </w:pPr>
    </w:p>
    <w:p>
      <w:pPr>
        <w:keepNext/>
        <w:keepLines/>
        <w:spacing w:before="200"/>
        <w:ind w:left="426"/>
        <w:jc w:val="both"/>
        <w:outlineLvl w:val="3"/>
        <w:rPr>
          <w:rFonts w:eastAsia="Times New Roman" w:asciiTheme="minorHAnsi" w:hAnsiTheme="minorHAnsi" w:cstheme="minorHAnsi"/>
          <w:b/>
          <w:bCs/>
          <w:iCs/>
          <w:lang w:val="sr-Cyrl-RS"/>
        </w:rPr>
      </w:pPr>
      <w:bookmarkStart w:id="56" w:name="_Toc508060566"/>
      <w:bookmarkStart w:id="57" w:name="_Toc526761905"/>
      <w:r>
        <w:rPr>
          <w:rFonts w:eastAsia="Times New Roman" w:asciiTheme="minorHAnsi" w:hAnsiTheme="minorHAnsi" w:cstheme="minorHAnsi"/>
          <w:b/>
          <w:bCs/>
          <w:iCs/>
        </w:rPr>
        <w:t>IV.1.5.7.</w:t>
      </w:r>
      <w:r>
        <w:rPr>
          <w:rFonts w:eastAsia="Times New Roman" w:asciiTheme="minorHAnsi" w:hAnsiTheme="minorHAnsi" w:cstheme="minorHAnsi"/>
          <w:b/>
          <w:bCs/>
          <w:iCs/>
          <w:lang w:val="sr-Cyrl-RS"/>
        </w:rPr>
        <w:t xml:space="preserve"> </w:t>
      </w:r>
      <w:r>
        <w:rPr>
          <w:rFonts w:eastAsia="Times New Roman" w:asciiTheme="minorHAnsi" w:hAnsiTheme="minorHAnsi" w:cstheme="minorHAnsi"/>
          <w:b/>
          <w:bCs/>
          <w:iCs/>
        </w:rPr>
        <w:t>Рањиве групе</w:t>
      </w:r>
      <w:bookmarkEnd w:id="56"/>
      <w:bookmarkEnd w:id="57"/>
    </w:p>
    <w:p>
      <w:pPr>
        <w:spacing w:after="120"/>
        <w:jc w:val="both"/>
        <w:rPr>
          <w:rFonts w:eastAsia="Times New Roman"/>
          <w:bCs/>
          <w:kern w:val="32"/>
        </w:rPr>
      </w:pPr>
    </w:p>
    <w:p>
      <w:pPr>
        <w:spacing w:after="120"/>
        <w:jc w:val="both"/>
        <w:rPr>
          <w:rFonts w:eastAsia="Times New Roman"/>
          <w:bCs/>
          <w:kern w:val="32"/>
          <w:lang w:val="sr-Cyrl-RS"/>
        </w:rPr>
      </w:pPr>
      <w:r>
        <w:rPr>
          <w:rFonts w:eastAsia="Times New Roman"/>
          <w:bCs/>
          <w:kern w:val="32"/>
        </w:rPr>
        <w:t xml:space="preserve">За потребе унапређења положаја </w:t>
      </w:r>
      <w:r>
        <w:rPr>
          <w:rFonts w:eastAsia="Times New Roman"/>
          <w:b/>
          <w:bCs/>
          <w:kern w:val="32"/>
        </w:rPr>
        <w:t>рањивих група</w:t>
      </w:r>
      <w:r>
        <w:rPr>
          <w:rFonts w:eastAsia="Times New Roman"/>
          <w:b/>
          <w:bCs/>
          <w:i/>
          <w:kern w:val="32"/>
        </w:rPr>
        <w:t>,</w:t>
      </w:r>
      <w:r>
        <w:rPr>
          <w:rFonts w:eastAsia="Times New Roman"/>
          <w:bCs/>
          <w:kern w:val="32"/>
        </w:rPr>
        <w:t xml:space="preserve"> анализа стања у </w:t>
      </w:r>
      <w:r>
        <w:rPr>
          <w:rFonts w:eastAsia="Times New Roman"/>
          <w:bCs/>
          <w:kern w:val="32"/>
          <w:lang w:val="sr-Cyrl-RS"/>
        </w:rPr>
        <w:t>граду Бања Лука</w:t>
      </w:r>
      <w:r>
        <w:rPr>
          <w:rFonts w:eastAsia="Times New Roman"/>
          <w:bCs/>
          <w:kern w:val="32"/>
        </w:rPr>
        <w:t xml:space="preserve"> потврдила да су до сад успостављени значајни капацитети у заједници, али и даље треба радити на унапређивању истих.</w:t>
      </w:r>
      <w:r>
        <w:rPr>
          <w:rFonts w:eastAsia="Times New Roman"/>
          <w:bCs/>
          <w:kern w:val="32"/>
          <w:lang w:val="sr-Cyrl-RS"/>
        </w:rPr>
        <w:t xml:space="preserve"> Рањиве категорије становништва су:</w:t>
      </w:r>
    </w:p>
    <w:p>
      <w:pPr>
        <w:numPr>
          <w:ilvl w:val="0"/>
          <w:numId w:val="23"/>
        </w:numPr>
        <w:contextualSpacing/>
        <w:jc w:val="both"/>
        <w:rPr>
          <w:b/>
          <w:bCs/>
          <w:lang w:val="sr-Cyrl-RS"/>
        </w:rPr>
      </w:pPr>
      <w:r>
        <w:rPr>
          <w:rFonts w:eastAsia="Times New Roman"/>
          <w:b/>
          <w:bCs/>
          <w:lang w:val="sr-Cyrl-RS"/>
        </w:rPr>
        <w:t>Лица са инвалидитетом</w:t>
      </w:r>
      <w:r>
        <w:rPr>
          <w:rFonts w:eastAsia="Times New Roman"/>
          <w:b/>
          <w:bCs/>
        </w:rPr>
        <w:t xml:space="preserve">, </w:t>
      </w:r>
      <w:r>
        <w:rPr>
          <w:rFonts w:eastAsia="Times New Roman"/>
          <w:b/>
          <w:bCs/>
          <w:lang w:val="sr-Cyrl-RS"/>
        </w:rPr>
        <w:t>одрасла</w:t>
      </w:r>
      <w:r>
        <w:rPr>
          <w:rFonts w:eastAsia="Times New Roman"/>
          <w:b/>
          <w:bCs/>
        </w:rPr>
        <w:t xml:space="preserve"> </w:t>
      </w:r>
      <w:r>
        <w:rPr>
          <w:rFonts w:eastAsia="Times New Roman"/>
          <w:b/>
          <w:bCs/>
          <w:lang w:val="sr-Cyrl-RS"/>
        </w:rPr>
        <w:t>лица</w:t>
      </w:r>
      <w:r>
        <w:rPr>
          <w:rFonts w:eastAsia="Times New Roman"/>
          <w:b/>
          <w:bCs/>
        </w:rPr>
        <w:t xml:space="preserve"> </w:t>
      </w:r>
      <w:r>
        <w:rPr>
          <w:rFonts w:eastAsia="Times New Roman"/>
          <w:b/>
          <w:bCs/>
          <w:lang w:val="sr-Cyrl-RS"/>
        </w:rPr>
        <w:t>зависна</w:t>
      </w:r>
      <w:r>
        <w:rPr>
          <w:rFonts w:eastAsia="Times New Roman"/>
          <w:b/>
          <w:bCs/>
        </w:rPr>
        <w:t xml:space="preserve"> </w:t>
      </w:r>
      <w:r>
        <w:rPr>
          <w:rFonts w:eastAsia="Times New Roman"/>
          <w:b/>
          <w:bCs/>
          <w:lang w:val="sr-Cyrl-RS"/>
        </w:rPr>
        <w:t>од</w:t>
      </w:r>
      <w:r>
        <w:rPr>
          <w:rFonts w:eastAsia="Times New Roman"/>
          <w:b/>
          <w:bCs/>
        </w:rPr>
        <w:t xml:space="preserve"> </w:t>
      </w:r>
      <w:r>
        <w:rPr>
          <w:rFonts w:eastAsia="Times New Roman"/>
          <w:b/>
          <w:bCs/>
          <w:lang w:val="sr-Cyrl-RS"/>
        </w:rPr>
        <w:t>туђе</w:t>
      </w:r>
      <w:r>
        <w:rPr>
          <w:rFonts w:eastAsia="Times New Roman"/>
          <w:b/>
          <w:bCs/>
        </w:rPr>
        <w:t xml:space="preserve"> </w:t>
      </w:r>
      <w:r>
        <w:rPr>
          <w:rFonts w:eastAsia="Times New Roman"/>
          <w:b/>
          <w:bCs/>
          <w:lang w:val="sr-Cyrl-RS"/>
        </w:rPr>
        <w:t>његе</w:t>
      </w:r>
      <w:r>
        <w:rPr>
          <w:rFonts w:eastAsia="Times New Roman"/>
          <w:b/>
          <w:bCs/>
        </w:rPr>
        <w:t xml:space="preserve"> </w:t>
      </w:r>
      <w:r>
        <w:rPr>
          <w:rFonts w:eastAsia="Times New Roman"/>
          <w:b/>
          <w:bCs/>
          <w:lang w:val="sr-Cyrl-RS"/>
        </w:rPr>
        <w:t>и</w:t>
      </w:r>
      <w:r>
        <w:rPr>
          <w:rFonts w:eastAsia="Times New Roman"/>
          <w:b/>
          <w:bCs/>
        </w:rPr>
        <w:t xml:space="preserve"> </w:t>
      </w:r>
      <w:r>
        <w:rPr>
          <w:rFonts w:eastAsia="Times New Roman"/>
          <w:b/>
          <w:bCs/>
          <w:lang w:val="sr-Cyrl-RS"/>
        </w:rPr>
        <w:t>помоћи</w:t>
      </w:r>
      <w:r>
        <w:rPr>
          <w:rFonts w:eastAsia="Times New Roman"/>
          <w:b/>
          <w:bCs/>
        </w:rPr>
        <w:t xml:space="preserve">, </w:t>
      </w:r>
      <w:r>
        <w:rPr>
          <w:rFonts w:eastAsia="Times New Roman"/>
          <w:b/>
          <w:bCs/>
          <w:lang w:val="sr-Cyrl-RS"/>
        </w:rPr>
        <w:t>лица</w:t>
      </w:r>
      <w:r>
        <w:rPr>
          <w:rFonts w:eastAsia="Times New Roman"/>
          <w:b/>
          <w:bCs/>
        </w:rPr>
        <w:t xml:space="preserve"> </w:t>
      </w:r>
      <w:r>
        <w:rPr>
          <w:rFonts w:eastAsia="Times New Roman"/>
          <w:b/>
          <w:bCs/>
          <w:lang w:val="sr-Cyrl-RS"/>
        </w:rPr>
        <w:t>која</w:t>
      </w:r>
      <w:r>
        <w:rPr>
          <w:rFonts w:eastAsia="Times New Roman"/>
          <w:b/>
          <w:bCs/>
        </w:rPr>
        <w:t xml:space="preserve"> </w:t>
      </w:r>
      <w:r>
        <w:rPr>
          <w:rFonts w:eastAsia="Times New Roman"/>
          <w:b/>
          <w:bCs/>
          <w:lang w:val="sr-Cyrl-RS"/>
        </w:rPr>
        <w:t>користе</w:t>
      </w:r>
      <w:r>
        <w:rPr>
          <w:rFonts w:eastAsia="Times New Roman"/>
          <w:b/>
          <w:bCs/>
        </w:rPr>
        <w:t xml:space="preserve"> </w:t>
      </w:r>
      <w:r>
        <w:rPr>
          <w:rFonts w:eastAsia="Times New Roman"/>
          <w:b/>
          <w:bCs/>
          <w:lang w:val="sr-Cyrl-RS"/>
        </w:rPr>
        <w:t>социјалне</w:t>
      </w:r>
      <w:r>
        <w:rPr>
          <w:rFonts w:eastAsia="Times New Roman"/>
          <w:b/>
          <w:bCs/>
        </w:rPr>
        <w:t xml:space="preserve"> </w:t>
      </w:r>
      <w:r>
        <w:rPr>
          <w:rFonts w:eastAsia="Times New Roman"/>
          <w:b/>
          <w:bCs/>
          <w:lang w:val="sr-Cyrl-RS"/>
        </w:rPr>
        <w:t>услуге</w:t>
      </w:r>
      <w:r>
        <w:rPr>
          <w:rFonts w:eastAsia="Times New Roman"/>
          <w:b/>
          <w:bCs/>
        </w:rPr>
        <w:t xml:space="preserve">, </w:t>
      </w:r>
      <w:r>
        <w:rPr>
          <w:rFonts w:eastAsia="Times New Roman"/>
          <w:b/>
          <w:bCs/>
          <w:lang w:val="sr-Cyrl-RS"/>
        </w:rPr>
        <w:t>и</w:t>
      </w:r>
      <w:r>
        <w:rPr>
          <w:rFonts w:eastAsia="Times New Roman"/>
          <w:b/>
          <w:bCs/>
        </w:rPr>
        <w:t xml:space="preserve"> </w:t>
      </w:r>
      <w:r>
        <w:rPr>
          <w:rFonts w:eastAsia="Times New Roman"/>
          <w:b/>
          <w:bCs/>
          <w:lang w:val="sr-Cyrl-RS"/>
        </w:rPr>
        <w:t>лица</w:t>
      </w:r>
      <w:r>
        <w:rPr>
          <w:rFonts w:eastAsia="Times New Roman"/>
          <w:b/>
          <w:bCs/>
        </w:rPr>
        <w:t xml:space="preserve"> - </w:t>
      </w:r>
      <w:r>
        <w:rPr>
          <w:rFonts w:eastAsia="Times New Roman"/>
          <w:b/>
          <w:bCs/>
          <w:lang w:val="sr-Cyrl-RS"/>
        </w:rPr>
        <w:t>која</w:t>
      </w:r>
      <w:r>
        <w:rPr>
          <w:rFonts w:eastAsia="Times New Roman"/>
          <w:b/>
          <w:bCs/>
        </w:rPr>
        <w:t xml:space="preserve"> </w:t>
      </w:r>
      <w:r>
        <w:rPr>
          <w:rFonts w:eastAsia="Times New Roman"/>
          <w:b/>
          <w:bCs/>
          <w:lang w:val="sr-Cyrl-RS"/>
        </w:rPr>
        <w:t>због</w:t>
      </w:r>
      <w:r>
        <w:rPr>
          <w:rFonts w:eastAsia="Times New Roman"/>
          <w:b/>
          <w:bCs/>
        </w:rPr>
        <w:t xml:space="preserve"> </w:t>
      </w:r>
      <w:r>
        <w:rPr>
          <w:rFonts w:eastAsia="Times New Roman"/>
          <w:b/>
          <w:bCs/>
          <w:lang w:val="sr-Cyrl-RS"/>
        </w:rPr>
        <w:t>радне</w:t>
      </w:r>
      <w:r>
        <w:rPr>
          <w:rFonts w:eastAsia="Times New Roman"/>
          <w:b/>
          <w:bCs/>
        </w:rPr>
        <w:t xml:space="preserve"> </w:t>
      </w:r>
      <w:r>
        <w:rPr>
          <w:rFonts w:eastAsia="Times New Roman"/>
          <w:b/>
          <w:bCs/>
          <w:lang w:val="sr-Cyrl-RS"/>
        </w:rPr>
        <w:t>неспособности</w:t>
      </w:r>
      <w:r>
        <w:rPr>
          <w:rFonts w:eastAsia="Times New Roman"/>
          <w:b/>
          <w:bCs/>
        </w:rPr>
        <w:t xml:space="preserve">, </w:t>
      </w:r>
      <w:r>
        <w:rPr>
          <w:rFonts w:eastAsia="Times New Roman"/>
          <w:b/>
          <w:bCs/>
          <w:lang w:val="sr-Cyrl-RS"/>
        </w:rPr>
        <w:t>примају</w:t>
      </w:r>
      <w:r>
        <w:rPr>
          <w:rFonts w:eastAsia="Times New Roman"/>
          <w:b/>
          <w:bCs/>
        </w:rPr>
        <w:t xml:space="preserve"> </w:t>
      </w:r>
      <w:r>
        <w:rPr>
          <w:rFonts w:eastAsia="Times New Roman"/>
          <w:b/>
          <w:bCs/>
          <w:lang w:val="sr-Cyrl-RS"/>
        </w:rPr>
        <w:t>новчану</w:t>
      </w:r>
      <w:r>
        <w:rPr>
          <w:rFonts w:eastAsia="Times New Roman"/>
          <w:b/>
          <w:bCs/>
        </w:rPr>
        <w:t xml:space="preserve"> </w:t>
      </w:r>
      <w:r>
        <w:rPr>
          <w:rFonts w:eastAsia="Times New Roman"/>
          <w:b/>
          <w:bCs/>
          <w:lang w:val="sr-Cyrl-RS"/>
        </w:rPr>
        <w:t>помоћ</w:t>
      </w:r>
      <w:r>
        <w:rPr>
          <w:rFonts w:eastAsia="Times New Roman"/>
          <w:b/>
          <w:bCs/>
        </w:rPr>
        <w:t xml:space="preserve"> </w:t>
      </w:r>
      <w:r>
        <w:rPr>
          <w:rFonts w:eastAsia="Times New Roman"/>
          <w:b/>
          <w:bCs/>
          <w:lang w:val="sr-Cyrl-RS"/>
        </w:rPr>
        <w:t>или</w:t>
      </w:r>
      <w:r>
        <w:rPr>
          <w:rFonts w:eastAsia="Times New Roman"/>
          <w:b/>
          <w:bCs/>
        </w:rPr>
        <w:t xml:space="preserve">, </w:t>
      </w:r>
      <w:r>
        <w:rPr>
          <w:rFonts w:eastAsia="Times New Roman"/>
          <w:b/>
          <w:bCs/>
          <w:lang w:val="sr-Cyrl-RS"/>
        </w:rPr>
        <w:t>повремено</w:t>
      </w:r>
      <w:r>
        <w:rPr>
          <w:rFonts w:eastAsia="Times New Roman"/>
          <w:b/>
          <w:bCs/>
        </w:rPr>
        <w:t xml:space="preserve">, </w:t>
      </w:r>
      <w:r>
        <w:rPr>
          <w:rFonts w:eastAsia="Times New Roman"/>
          <w:b/>
          <w:bCs/>
          <w:lang w:val="sr-Cyrl-RS"/>
        </w:rPr>
        <w:t>једнократну</w:t>
      </w:r>
      <w:r>
        <w:rPr>
          <w:rFonts w:eastAsia="Times New Roman"/>
          <w:b/>
          <w:bCs/>
        </w:rPr>
        <w:t xml:space="preserve"> </w:t>
      </w:r>
      <w:r>
        <w:rPr>
          <w:rFonts w:eastAsia="Times New Roman"/>
          <w:b/>
          <w:bCs/>
          <w:lang w:val="sr-Cyrl-RS"/>
        </w:rPr>
        <w:t>помоћ</w:t>
      </w:r>
      <w:r>
        <w:rPr>
          <w:rFonts w:eastAsia="Times New Roman"/>
          <w:b/>
          <w:bCs/>
        </w:rPr>
        <w:t>.</w:t>
      </w:r>
      <w:r>
        <w:rPr>
          <w:rFonts w:eastAsia="Times New Roman"/>
          <w:bCs/>
        </w:rPr>
        <w:t xml:space="preserve"> </w:t>
      </w:r>
      <w:r>
        <w:rPr>
          <w:rFonts w:eastAsia="Times New Roman"/>
          <w:bCs/>
          <w:lang w:val="en-US"/>
        </w:rPr>
        <w:t>Према</w:t>
      </w:r>
      <w:r>
        <w:rPr>
          <w:rFonts w:eastAsia="Times New Roman"/>
          <w:bCs/>
        </w:rPr>
        <w:t xml:space="preserve"> </w:t>
      </w:r>
      <w:r>
        <w:rPr>
          <w:rFonts w:eastAsia="Times New Roman"/>
          <w:bCs/>
          <w:lang w:val="en-US"/>
        </w:rPr>
        <w:t>подацима</w:t>
      </w:r>
      <w:r>
        <w:rPr>
          <w:rFonts w:eastAsia="Times New Roman"/>
          <w:bCs/>
        </w:rPr>
        <w:t xml:space="preserve">, </w:t>
      </w:r>
      <w:r>
        <w:rPr>
          <w:rFonts w:eastAsia="Times New Roman"/>
          <w:bCs/>
          <w:lang w:val="en-US"/>
        </w:rPr>
        <w:t>у</w:t>
      </w:r>
      <w:r>
        <w:rPr>
          <w:rFonts w:eastAsia="Times New Roman"/>
          <w:bCs/>
        </w:rPr>
        <w:t xml:space="preserve"> </w:t>
      </w:r>
      <w:r>
        <w:rPr>
          <w:rFonts w:eastAsia="Times New Roman"/>
          <w:bCs/>
          <w:lang w:val="en-US"/>
        </w:rPr>
        <w:t>Бања</w:t>
      </w:r>
      <w:r>
        <w:rPr>
          <w:rFonts w:eastAsia="Times New Roman"/>
          <w:bCs/>
        </w:rPr>
        <w:t xml:space="preserve"> </w:t>
      </w:r>
      <w:r>
        <w:rPr>
          <w:rFonts w:eastAsia="Times New Roman"/>
          <w:bCs/>
          <w:lang w:val="en-US"/>
        </w:rPr>
        <w:t>Луци</w:t>
      </w:r>
      <w:r>
        <w:rPr>
          <w:rFonts w:eastAsia="Times New Roman"/>
          <w:bCs/>
        </w:rPr>
        <w:t xml:space="preserve"> </w:t>
      </w:r>
      <w:r>
        <w:rPr>
          <w:rFonts w:eastAsia="Times New Roman"/>
          <w:bCs/>
          <w:lang w:val="en-US"/>
        </w:rPr>
        <w:t>има</w:t>
      </w:r>
      <w:r>
        <w:rPr>
          <w:rFonts w:eastAsia="Times New Roman"/>
          <w:bCs/>
        </w:rPr>
        <w:t xml:space="preserve"> </w:t>
      </w:r>
      <w:r>
        <w:rPr>
          <w:rFonts w:eastAsia="Times New Roman"/>
          <w:bCs/>
          <w:lang w:val="en-US"/>
        </w:rPr>
        <w:t>преко</w:t>
      </w:r>
      <w:r>
        <w:rPr>
          <w:rFonts w:eastAsia="Times New Roman"/>
          <w:bCs/>
        </w:rPr>
        <w:t xml:space="preserve"> 3</w:t>
      </w:r>
      <w:r>
        <w:rPr>
          <w:rFonts w:eastAsia="Times New Roman"/>
          <w:bCs/>
          <w:lang w:val="sr-Cyrl-RS"/>
        </w:rPr>
        <w:t>.</w:t>
      </w:r>
      <w:r>
        <w:rPr>
          <w:rFonts w:eastAsia="Times New Roman"/>
          <w:bCs/>
        </w:rPr>
        <w:t xml:space="preserve">614 </w:t>
      </w:r>
      <w:r>
        <w:rPr>
          <w:rFonts w:eastAsia="Times New Roman"/>
          <w:bCs/>
          <w:lang w:val="en-US"/>
        </w:rPr>
        <w:t>корисника</w:t>
      </w:r>
      <w:r>
        <w:rPr>
          <w:rFonts w:eastAsia="Times New Roman"/>
          <w:bCs/>
        </w:rPr>
        <w:t xml:space="preserve"> </w:t>
      </w:r>
      <w:r>
        <w:rPr>
          <w:rFonts w:eastAsia="Times New Roman"/>
          <w:bCs/>
          <w:lang w:val="en-US"/>
        </w:rPr>
        <w:t>туђе</w:t>
      </w:r>
      <w:r>
        <w:rPr>
          <w:rFonts w:eastAsia="Times New Roman"/>
          <w:bCs/>
        </w:rPr>
        <w:t xml:space="preserve"> </w:t>
      </w:r>
      <w:r>
        <w:rPr>
          <w:rFonts w:eastAsia="Times New Roman"/>
          <w:bCs/>
          <w:lang w:val="en-US"/>
        </w:rPr>
        <w:t>његе</w:t>
      </w:r>
      <w:r>
        <w:rPr>
          <w:rFonts w:eastAsia="Times New Roman"/>
          <w:bCs/>
        </w:rPr>
        <w:t xml:space="preserve"> </w:t>
      </w:r>
      <w:r>
        <w:rPr>
          <w:rFonts w:eastAsia="Times New Roman"/>
          <w:bCs/>
          <w:lang w:val="en-US"/>
        </w:rPr>
        <w:t>и</w:t>
      </w:r>
      <w:r>
        <w:rPr>
          <w:rFonts w:eastAsia="Times New Roman"/>
          <w:bCs/>
        </w:rPr>
        <w:t xml:space="preserve"> </w:t>
      </w:r>
      <w:r>
        <w:rPr>
          <w:rFonts w:eastAsia="Times New Roman"/>
          <w:bCs/>
          <w:lang w:val="en-US"/>
        </w:rPr>
        <w:t>помоћи</w:t>
      </w:r>
      <w:r>
        <w:rPr>
          <w:rFonts w:eastAsia="Times New Roman"/>
          <w:bCs/>
        </w:rPr>
        <w:t xml:space="preserve">, </w:t>
      </w:r>
      <w:r>
        <w:rPr>
          <w:rFonts w:eastAsia="Times New Roman"/>
          <w:bCs/>
          <w:lang w:val="en-US"/>
        </w:rPr>
        <w:t>од</w:t>
      </w:r>
      <w:r>
        <w:rPr>
          <w:rFonts w:eastAsia="Times New Roman"/>
          <w:bCs/>
        </w:rPr>
        <w:t xml:space="preserve"> </w:t>
      </w:r>
      <w:r>
        <w:rPr>
          <w:rFonts w:eastAsia="Times New Roman"/>
          <w:bCs/>
          <w:lang w:val="en-US"/>
        </w:rPr>
        <w:t>којих</w:t>
      </w:r>
      <w:r>
        <w:rPr>
          <w:rFonts w:eastAsia="Times New Roman"/>
          <w:bCs/>
        </w:rPr>
        <w:t xml:space="preserve"> </w:t>
      </w:r>
      <w:r>
        <w:rPr>
          <w:rFonts w:eastAsia="Times New Roman"/>
          <w:bCs/>
          <w:lang w:val="en-US"/>
        </w:rPr>
        <w:t>је</w:t>
      </w:r>
      <w:r>
        <w:rPr>
          <w:rFonts w:eastAsia="Times New Roman"/>
          <w:bCs/>
        </w:rPr>
        <w:t xml:space="preserve"> 1</w:t>
      </w:r>
      <w:r>
        <w:rPr>
          <w:rFonts w:eastAsia="Times New Roman"/>
          <w:bCs/>
          <w:lang w:val="sr-Cyrl-RS"/>
        </w:rPr>
        <w:t>.</w:t>
      </w:r>
      <w:r>
        <w:rPr>
          <w:rFonts w:eastAsia="Times New Roman"/>
          <w:bCs/>
        </w:rPr>
        <w:t xml:space="preserve">384 </w:t>
      </w:r>
      <w:r>
        <w:rPr>
          <w:rFonts w:eastAsia="Times New Roman"/>
          <w:bCs/>
          <w:lang w:val="en-US"/>
        </w:rPr>
        <w:t>потпуно</w:t>
      </w:r>
      <w:r>
        <w:rPr>
          <w:rFonts w:eastAsia="Times New Roman"/>
          <w:bCs/>
        </w:rPr>
        <w:t xml:space="preserve"> </w:t>
      </w:r>
      <w:r>
        <w:rPr>
          <w:rFonts w:eastAsia="Times New Roman"/>
          <w:bCs/>
          <w:lang w:val="en-US"/>
        </w:rPr>
        <w:t>зависно</w:t>
      </w:r>
      <w:r>
        <w:rPr>
          <w:rFonts w:eastAsia="Times New Roman"/>
          <w:bCs/>
        </w:rPr>
        <w:t xml:space="preserve"> </w:t>
      </w:r>
      <w:r>
        <w:rPr>
          <w:rFonts w:eastAsia="Times New Roman"/>
          <w:bCs/>
          <w:lang w:val="en-US"/>
        </w:rPr>
        <w:t>од</w:t>
      </w:r>
      <w:r>
        <w:rPr>
          <w:rFonts w:eastAsia="Times New Roman"/>
          <w:bCs/>
        </w:rPr>
        <w:t xml:space="preserve"> </w:t>
      </w:r>
      <w:r>
        <w:rPr>
          <w:rFonts w:eastAsia="Times New Roman"/>
          <w:bCs/>
          <w:lang w:val="en-US"/>
        </w:rPr>
        <w:t>помоћи</w:t>
      </w:r>
      <w:r>
        <w:rPr>
          <w:rFonts w:eastAsia="Times New Roman"/>
          <w:bCs/>
        </w:rPr>
        <w:t xml:space="preserve"> </w:t>
      </w:r>
      <w:r>
        <w:rPr>
          <w:rFonts w:eastAsia="Times New Roman"/>
          <w:bCs/>
          <w:lang w:val="en-US"/>
        </w:rPr>
        <w:t>других</w:t>
      </w:r>
      <w:r>
        <w:rPr>
          <w:rFonts w:eastAsia="Times New Roman"/>
          <w:bCs/>
        </w:rPr>
        <w:t xml:space="preserve"> </w:t>
      </w:r>
      <w:r>
        <w:rPr>
          <w:rFonts w:eastAsia="Times New Roman"/>
          <w:bCs/>
          <w:lang w:val="en-US"/>
        </w:rPr>
        <w:t>лица</w:t>
      </w:r>
      <w:r>
        <w:rPr>
          <w:rFonts w:eastAsia="Times New Roman"/>
          <w:bCs/>
        </w:rPr>
        <w:t xml:space="preserve"> - </w:t>
      </w:r>
      <w:r>
        <w:rPr>
          <w:rFonts w:eastAsia="Times New Roman"/>
          <w:bCs/>
          <w:lang w:val="en-US"/>
        </w:rPr>
        <w:t>т</w:t>
      </w:r>
      <w:r>
        <w:rPr>
          <w:rFonts w:eastAsia="Times New Roman"/>
          <w:bCs/>
          <w:lang w:val="sr-Cyrl-CS"/>
        </w:rPr>
        <w:t>зв</w:t>
      </w:r>
      <w:r>
        <w:rPr>
          <w:rFonts w:eastAsia="Times New Roman"/>
          <w:bCs/>
        </w:rPr>
        <w:t xml:space="preserve">. </w:t>
      </w:r>
      <w:r>
        <w:rPr>
          <w:rFonts w:eastAsia="Times New Roman"/>
          <w:bCs/>
          <w:lang w:val="en-US"/>
        </w:rPr>
        <w:t>прва</w:t>
      </w:r>
      <w:r>
        <w:rPr>
          <w:rFonts w:eastAsia="Times New Roman"/>
          <w:bCs/>
        </w:rPr>
        <w:t xml:space="preserve"> </w:t>
      </w:r>
      <w:r>
        <w:rPr>
          <w:rFonts w:eastAsia="Times New Roman"/>
          <w:bCs/>
          <w:lang w:val="en-US"/>
        </w:rPr>
        <w:t>група</w:t>
      </w:r>
      <w:r>
        <w:rPr>
          <w:rFonts w:eastAsia="Times New Roman"/>
          <w:bCs/>
        </w:rPr>
        <w:t xml:space="preserve">.  </w:t>
      </w:r>
      <w:r>
        <w:rPr>
          <w:rFonts w:eastAsia="Times New Roman"/>
          <w:bCs/>
          <w:lang w:val="en-US"/>
        </w:rPr>
        <w:t>Дио</w:t>
      </w:r>
      <w:r>
        <w:rPr>
          <w:rFonts w:eastAsia="Times New Roman"/>
          <w:bCs/>
        </w:rPr>
        <w:t xml:space="preserve"> </w:t>
      </w:r>
      <w:r>
        <w:rPr>
          <w:rFonts w:eastAsia="Times New Roman"/>
          <w:bCs/>
          <w:lang w:val="en-US"/>
        </w:rPr>
        <w:t>корисника</w:t>
      </w:r>
      <w:r>
        <w:rPr>
          <w:rFonts w:eastAsia="Times New Roman"/>
          <w:bCs/>
        </w:rPr>
        <w:t xml:space="preserve"> </w:t>
      </w:r>
      <w:r>
        <w:rPr>
          <w:rFonts w:eastAsia="Times New Roman"/>
          <w:bCs/>
          <w:lang w:val="en-US"/>
        </w:rPr>
        <w:t>су</w:t>
      </w:r>
      <w:r>
        <w:rPr>
          <w:rFonts w:eastAsia="Times New Roman"/>
          <w:bCs/>
        </w:rPr>
        <w:t xml:space="preserve"> </w:t>
      </w:r>
      <w:r>
        <w:rPr>
          <w:rFonts w:eastAsia="Times New Roman"/>
          <w:bCs/>
          <w:lang w:val="en-US"/>
        </w:rPr>
        <w:t>и</w:t>
      </w:r>
      <w:r>
        <w:rPr>
          <w:rFonts w:eastAsia="Times New Roman"/>
          <w:bCs/>
        </w:rPr>
        <w:t xml:space="preserve"> </w:t>
      </w:r>
      <w:r>
        <w:rPr>
          <w:rFonts w:eastAsia="Times New Roman"/>
          <w:bCs/>
          <w:lang w:val="en-US"/>
        </w:rPr>
        <w:t>из</w:t>
      </w:r>
      <w:r>
        <w:rPr>
          <w:rFonts w:eastAsia="Times New Roman"/>
          <w:bCs/>
        </w:rPr>
        <w:t xml:space="preserve"> </w:t>
      </w:r>
      <w:r>
        <w:rPr>
          <w:rFonts w:eastAsia="Times New Roman"/>
          <w:bCs/>
          <w:lang w:val="en-US"/>
        </w:rPr>
        <w:t>популације</w:t>
      </w:r>
      <w:r>
        <w:rPr>
          <w:rFonts w:eastAsia="Times New Roman"/>
          <w:bCs/>
        </w:rPr>
        <w:t xml:space="preserve"> </w:t>
      </w:r>
      <w:r>
        <w:rPr>
          <w:rFonts w:eastAsia="Times New Roman"/>
          <w:bCs/>
          <w:lang w:val="en-US"/>
        </w:rPr>
        <w:t>глувих</w:t>
      </w:r>
      <w:r>
        <w:rPr>
          <w:rFonts w:eastAsia="Times New Roman"/>
          <w:bCs/>
        </w:rPr>
        <w:t xml:space="preserve"> </w:t>
      </w:r>
      <w:r>
        <w:rPr>
          <w:rFonts w:eastAsia="Times New Roman"/>
          <w:bCs/>
          <w:lang w:val="en-US"/>
        </w:rPr>
        <w:t>лица</w:t>
      </w:r>
      <w:r>
        <w:rPr>
          <w:rFonts w:eastAsia="Times New Roman"/>
          <w:bCs/>
        </w:rPr>
        <w:t xml:space="preserve"> - </w:t>
      </w:r>
      <w:r>
        <w:rPr>
          <w:rFonts w:eastAsia="Times New Roman"/>
          <w:bCs/>
          <w:lang w:val="en-US"/>
        </w:rPr>
        <w:t>који</w:t>
      </w:r>
      <w:r>
        <w:rPr>
          <w:rFonts w:eastAsia="Times New Roman"/>
          <w:bCs/>
        </w:rPr>
        <w:t xml:space="preserve"> </w:t>
      </w:r>
      <w:r>
        <w:rPr>
          <w:rFonts w:eastAsia="Times New Roman"/>
          <w:bCs/>
          <w:lang w:val="en-US"/>
        </w:rPr>
        <w:t>имају</w:t>
      </w:r>
      <w:r>
        <w:rPr>
          <w:rFonts w:eastAsia="Times New Roman"/>
          <w:bCs/>
        </w:rPr>
        <w:t xml:space="preserve"> </w:t>
      </w:r>
      <w:r>
        <w:rPr>
          <w:rFonts w:eastAsia="Times New Roman"/>
          <w:bCs/>
          <w:lang w:val="en-US"/>
        </w:rPr>
        <w:t>проблеме</w:t>
      </w:r>
      <w:r>
        <w:rPr>
          <w:rFonts w:eastAsia="Times New Roman"/>
          <w:bCs/>
        </w:rPr>
        <w:t xml:space="preserve"> </w:t>
      </w:r>
      <w:r>
        <w:rPr>
          <w:rFonts w:eastAsia="Times New Roman"/>
          <w:bCs/>
          <w:lang w:val="en-US"/>
        </w:rPr>
        <w:t>са</w:t>
      </w:r>
      <w:r>
        <w:rPr>
          <w:rFonts w:eastAsia="Times New Roman"/>
          <w:bCs/>
        </w:rPr>
        <w:t xml:space="preserve"> </w:t>
      </w:r>
      <w:r>
        <w:rPr>
          <w:rFonts w:eastAsia="Times New Roman"/>
          <w:bCs/>
          <w:lang w:val="en-US"/>
        </w:rPr>
        <w:t>комуникацијом</w:t>
      </w:r>
      <w:r>
        <w:rPr>
          <w:rFonts w:eastAsia="Times New Roman"/>
          <w:bCs/>
        </w:rPr>
        <w:t xml:space="preserve">, </w:t>
      </w:r>
      <w:r>
        <w:rPr>
          <w:rFonts w:eastAsia="Times New Roman"/>
          <w:bCs/>
          <w:lang w:val="en-US"/>
        </w:rPr>
        <w:t>због</w:t>
      </w:r>
      <w:r>
        <w:rPr>
          <w:rFonts w:eastAsia="Times New Roman"/>
          <w:bCs/>
        </w:rPr>
        <w:t xml:space="preserve"> </w:t>
      </w:r>
      <w:r>
        <w:rPr>
          <w:rFonts w:eastAsia="Times New Roman"/>
          <w:bCs/>
          <w:lang w:val="en-US"/>
        </w:rPr>
        <w:t>којих</w:t>
      </w:r>
      <w:r>
        <w:rPr>
          <w:rFonts w:eastAsia="Times New Roman"/>
          <w:bCs/>
        </w:rPr>
        <w:t xml:space="preserve"> </w:t>
      </w:r>
      <w:r>
        <w:rPr>
          <w:rFonts w:eastAsia="Times New Roman"/>
          <w:bCs/>
          <w:lang w:val="en-US"/>
        </w:rPr>
        <w:t>им</w:t>
      </w:r>
      <w:r>
        <w:rPr>
          <w:rFonts w:eastAsia="Times New Roman"/>
          <w:bCs/>
        </w:rPr>
        <w:t xml:space="preserve"> </w:t>
      </w:r>
      <w:r>
        <w:rPr>
          <w:rFonts w:eastAsia="Times New Roman"/>
          <w:bCs/>
          <w:lang w:val="en-US"/>
        </w:rPr>
        <w:t>је</w:t>
      </w:r>
      <w:r>
        <w:rPr>
          <w:rFonts w:eastAsia="Times New Roman"/>
          <w:bCs/>
        </w:rPr>
        <w:t xml:space="preserve"> </w:t>
      </w:r>
      <w:r>
        <w:rPr>
          <w:rFonts w:eastAsia="Times New Roman"/>
          <w:bCs/>
          <w:lang w:val="en-US"/>
        </w:rPr>
        <w:t>неопходан</w:t>
      </w:r>
      <w:r>
        <w:rPr>
          <w:rFonts w:eastAsia="Times New Roman"/>
          <w:bCs/>
        </w:rPr>
        <w:t xml:space="preserve"> </w:t>
      </w:r>
      <w:r>
        <w:rPr>
          <w:rFonts w:eastAsia="Times New Roman"/>
          <w:bCs/>
          <w:lang w:val="en-US"/>
        </w:rPr>
        <w:t>тумач</w:t>
      </w:r>
      <w:r>
        <w:rPr>
          <w:rFonts w:eastAsia="Times New Roman"/>
          <w:bCs/>
        </w:rPr>
        <w:t xml:space="preserve">, </w:t>
      </w:r>
      <w:r>
        <w:rPr>
          <w:rFonts w:eastAsia="Times New Roman"/>
          <w:bCs/>
          <w:lang w:val="en-US"/>
        </w:rPr>
        <w:t>а</w:t>
      </w:r>
      <w:r>
        <w:rPr>
          <w:rFonts w:eastAsia="Times New Roman"/>
          <w:bCs/>
        </w:rPr>
        <w:t xml:space="preserve"> </w:t>
      </w:r>
      <w:r>
        <w:rPr>
          <w:rFonts w:eastAsia="Times New Roman"/>
          <w:bCs/>
          <w:lang w:val="en-US"/>
        </w:rPr>
        <w:t>по</w:t>
      </w:r>
      <w:r>
        <w:rPr>
          <w:rFonts w:eastAsia="Times New Roman"/>
          <w:bCs/>
        </w:rPr>
        <w:t xml:space="preserve"> </w:t>
      </w:r>
      <w:r>
        <w:rPr>
          <w:rFonts w:eastAsia="Times New Roman"/>
          <w:bCs/>
          <w:lang w:val="en-US"/>
        </w:rPr>
        <w:t>том</w:t>
      </w:r>
      <w:r>
        <w:rPr>
          <w:rFonts w:eastAsia="Times New Roman"/>
          <w:bCs/>
        </w:rPr>
        <w:t xml:space="preserve"> </w:t>
      </w:r>
      <w:r>
        <w:rPr>
          <w:rFonts w:eastAsia="Times New Roman"/>
          <w:bCs/>
          <w:lang w:val="en-US"/>
        </w:rPr>
        <w:t>основу</w:t>
      </w:r>
      <w:r>
        <w:rPr>
          <w:rFonts w:eastAsia="Times New Roman"/>
          <w:bCs/>
        </w:rPr>
        <w:t xml:space="preserve"> </w:t>
      </w:r>
      <w:r>
        <w:rPr>
          <w:rFonts w:eastAsia="Times New Roman"/>
          <w:bCs/>
          <w:lang w:val="en-US"/>
        </w:rPr>
        <w:t>не</w:t>
      </w:r>
      <w:r>
        <w:rPr>
          <w:rFonts w:eastAsia="Times New Roman"/>
          <w:bCs/>
        </w:rPr>
        <w:t xml:space="preserve"> </w:t>
      </w:r>
      <w:r>
        <w:rPr>
          <w:rFonts w:eastAsia="Times New Roman"/>
          <w:bCs/>
          <w:lang w:val="en-US"/>
        </w:rPr>
        <w:t>примају</w:t>
      </w:r>
      <w:r>
        <w:rPr>
          <w:rFonts w:eastAsia="Times New Roman"/>
          <w:bCs/>
        </w:rPr>
        <w:t xml:space="preserve"> </w:t>
      </w:r>
      <w:r>
        <w:rPr>
          <w:rFonts w:eastAsia="Times New Roman"/>
          <w:bCs/>
          <w:lang w:val="en-US"/>
        </w:rPr>
        <w:t>помоћ</w:t>
      </w:r>
      <w:r>
        <w:rPr>
          <w:rFonts w:eastAsia="Times New Roman"/>
          <w:bCs/>
        </w:rPr>
        <w:t xml:space="preserve">. </w:t>
      </w:r>
      <w:r>
        <w:rPr>
          <w:rFonts w:eastAsia="Times New Roman"/>
          <w:bCs/>
          <w:lang w:val="en-US"/>
        </w:rPr>
        <w:t>Ова</w:t>
      </w:r>
      <w:r>
        <w:rPr>
          <w:rFonts w:eastAsia="Times New Roman"/>
          <w:bCs/>
        </w:rPr>
        <w:t xml:space="preserve"> </w:t>
      </w:r>
      <w:r>
        <w:rPr>
          <w:rFonts w:eastAsia="Times New Roman"/>
          <w:bCs/>
          <w:lang w:val="en-US"/>
        </w:rPr>
        <w:t>евиденција</w:t>
      </w:r>
      <w:r>
        <w:rPr>
          <w:rFonts w:eastAsia="Times New Roman"/>
          <w:bCs/>
        </w:rPr>
        <w:t xml:space="preserve"> </w:t>
      </w:r>
      <w:r>
        <w:rPr>
          <w:rFonts w:eastAsia="Times New Roman"/>
          <w:bCs/>
          <w:lang w:val="en-US"/>
        </w:rPr>
        <w:t>не</w:t>
      </w:r>
      <w:r>
        <w:rPr>
          <w:rFonts w:eastAsia="Times New Roman"/>
          <w:bCs/>
        </w:rPr>
        <w:t xml:space="preserve"> </w:t>
      </w:r>
      <w:r>
        <w:rPr>
          <w:rFonts w:eastAsia="Times New Roman"/>
          <w:bCs/>
          <w:lang w:val="en-US"/>
        </w:rPr>
        <w:t>обухвата</w:t>
      </w:r>
      <w:r>
        <w:rPr>
          <w:rFonts w:eastAsia="Times New Roman"/>
          <w:bCs/>
        </w:rPr>
        <w:t xml:space="preserve"> </w:t>
      </w:r>
      <w:r>
        <w:rPr>
          <w:rFonts w:eastAsia="Times New Roman"/>
          <w:bCs/>
          <w:lang w:val="en-US"/>
        </w:rPr>
        <w:t>ратне</w:t>
      </w:r>
      <w:r>
        <w:rPr>
          <w:rFonts w:eastAsia="Times New Roman"/>
          <w:bCs/>
        </w:rPr>
        <w:t xml:space="preserve"> </w:t>
      </w:r>
      <w:r>
        <w:rPr>
          <w:rFonts w:eastAsia="Times New Roman"/>
          <w:bCs/>
          <w:lang w:val="en-US"/>
        </w:rPr>
        <w:t>војне</w:t>
      </w:r>
      <w:r>
        <w:rPr>
          <w:rFonts w:eastAsia="Times New Roman"/>
          <w:bCs/>
        </w:rPr>
        <w:t xml:space="preserve"> </w:t>
      </w:r>
      <w:r>
        <w:rPr>
          <w:rFonts w:eastAsia="Times New Roman"/>
          <w:bCs/>
          <w:lang w:val="en-US"/>
        </w:rPr>
        <w:t>инвалиде</w:t>
      </w:r>
      <w:r>
        <w:rPr>
          <w:rFonts w:eastAsia="Times New Roman"/>
          <w:bCs/>
        </w:rPr>
        <w:t xml:space="preserve"> </w:t>
      </w:r>
      <w:r>
        <w:rPr>
          <w:rFonts w:eastAsia="Times New Roman"/>
          <w:bCs/>
          <w:lang w:val="en-US"/>
        </w:rPr>
        <w:t>и</w:t>
      </w:r>
      <w:r>
        <w:rPr>
          <w:rFonts w:eastAsia="Times New Roman"/>
          <w:bCs/>
        </w:rPr>
        <w:t xml:space="preserve"> </w:t>
      </w:r>
      <w:r>
        <w:rPr>
          <w:rFonts w:eastAsia="Times New Roman"/>
          <w:bCs/>
          <w:lang w:val="en-US"/>
        </w:rPr>
        <w:t>цивилне</w:t>
      </w:r>
      <w:r>
        <w:rPr>
          <w:rFonts w:eastAsia="Times New Roman"/>
          <w:bCs/>
        </w:rPr>
        <w:t xml:space="preserve"> </w:t>
      </w:r>
      <w:r>
        <w:rPr>
          <w:rFonts w:eastAsia="Times New Roman"/>
          <w:bCs/>
          <w:lang w:val="en-US"/>
        </w:rPr>
        <w:t>жртве</w:t>
      </w:r>
      <w:r>
        <w:rPr>
          <w:rFonts w:eastAsia="Times New Roman"/>
          <w:bCs/>
        </w:rPr>
        <w:t xml:space="preserve"> </w:t>
      </w:r>
      <w:r>
        <w:rPr>
          <w:rFonts w:eastAsia="Times New Roman"/>
          <w:bCs/>
          <w:lang w:val="en-US"/>
        </w:rPr>
        <w:t>рата</w:t>
      </w:r>
      <w:r>
        <w:rPr>
          <w:rFonts w:eastAsia="Times New Roman"/>
          <w:bCs/>
        </w:rPr>
        <w:t xml:space="preserve"> - </w:t>
      </w:r>
      <w:r>
        <w:rPr>
          <w:rFonts w:eastAsia="Times New Roman"/>
          <w:bCs/>
          <w:lang w:val="en-US"/>
        </w:rPr>
        <w:t>јер</w:t>
      </w:r>
      <w:r>
        <w:rPr>
          <w:rFonts w:eastAsia="Times New Roman"/>
          <w:bCs/>
        </w:rPr>
        <w:t xml:space="preserve"> </w:t>
      </w:r>
      <w:r>
        <w:rPr>
          <w:rFonts w:eastAsia="Times New Roman"/>
          <w:bCs/>
          <w:lang w:val="en-US"/>
        </w:rPr>
        <w:t>они</w:t>
      </w:r>
      <w:r>
        <w:rPr>
          <w:rFonts w:eastAsia="Times New Roman"/>
          <w:bCs/>
        </w:rPr>
        <w:t xml:space="preserve"> </w:t>
      </w:r>
      <w:r>
        <w:rPr>
          <w:rFonts w:eastAsia="Times New Roman"/>
          <w:bCs/>
          <w:lang w:val="en-US"/>
        </w:rPr>
        <w:t>своја</w:t>
      </w:r>
      <w:r>
        <w:rPr>
          <w:rFonts w:eastAsia="Times New Roman"/>
          <w:bCs/>
        </w:rPr>
        <w:t xml:space="preserve"> </w:t>
      </w:r>
      <w:r>
        <w:rPr>
          <w:rFonts w:eastAsia="Times New Roman"/>
          <w:bCs/>
          <w:lang w:val="en-US"/>
        </w:rPr>
        <w:t>права</w:t>
      </w:r>
      <w:r>
        <w:rPr>
          <w:rFonts w:eastAsia="Times New Roman"/>
          <w:bCs/>
        </w:rPr>
        <w:t xml:space="preserve"> </w:t>
      </w:r>
      <w:r>
        <w:rPr>
          <w:rFonts w:eastAsia="Times New Roman"/>
          <w:bCs/>
          <w:lang w:val="en-US"/>
        </w:rPr>
        <w:t>остварују</w:t>
      </w:r>
      <w:r>
        <w:rPr>
          <w:rFonts w:eastAsia="Times New Roman"/>
          <w:bCs/>
        </w:rPr>
        <w:t xml:space="preserve"> </w:t>
      </w:r>
      <w:r>
        <w:rPr>
          <w:rFonts w:eastAsia="Times New Roman"/>
          <w:bCs/>
          <w:lang w:val="en-US"/>
        </w:rPr>
        <w:t>по</w:t>
      </w:r>
      <w:r>
        <w:rPr>
          <w:rFonts w:eastAsia="Times New Roman"/>
          <w:bCs/>
        </w:rPr>
        <w:t xml:space="preserve"> </w:t>
      </w:r>
      <w:r>
        <w:rPr>
          <w:rFonts w:eastAsia="Times New Roman"/>
          <w:bCs/>
          <w:lang w:val="en-US"/>
        </w:rPr>
        <w:t>законима</w:t>
      </w:r>
      <w:r>
        <w:rPr>
          <w:rFonts w:eastAsia="Times New Roman"/>
          <w:bCs/>
        </w:rPr>
        <w:t xml:space="preserve"> </w:t>
      </w:r>
      <w:r>
        <w:rPr>
          <w:rFonts w:eastAsia="Times New Roman"/>
          <w:bCs/>
          <w:lang w:val="en-US"/>
        </w:rPr>
        <w:t>који</w:t>
      </w:r>
      <w:r>
        <w:rPr>
          <w:rFonts w:eastAsia="Times New Roman"/>
          <w:bCs/>
        </w:rPr>
        <w:t xml:space="preserve"> </w:t>
      </w:r>
      <w:r>
        <w:rPr>
          <w:rFonts w:eastAsia="Times New Roman"/>
          <w:bCs/>
          <w:lang w:val="en-US"/>
        </w:rPr>
        <w:t>нису</w:t>
      </w:r>
      <w:r>
        <w:rPr>
          <w:rFonts w:eastAsia="Times New Roman"/>
          <w:bCs/>
        </w:rPr>
        <w:t xml:space="preserve"> </w:t>
      </w:r>
      <w:r>
        <w:rPr>
          <w:rFonts w:eastAsia="Times New Roman"/>
          <w:bCs/>
          <w:lang w:val="en-US"/>
        </w:rPr>
        <w:t>у</w:t>
      </w:r>
      <w:r>
        <w:rPr>
          <w:rFonts w:eastAsia="Times New Roman"/>
          <w:bCs/>
        </w:rPr>
        <w:t xml:space="preserve"> </w:t>
      </w:r>
      <w:r>
        <w:rPr>
          <w:rFonts w:eastAsia="Times New Roman"/>
          <w:bCs/>
          <w:lang w:val="en-US"/>
        </w:rPr>
        <w:t>сфери</w:t>
      </w:r>
      <w:r>
        <w:rPr>
          <w:rFonts w:eastAsia="Times New Roman"/>
          <w:bCs/>
        </w:rPr>
        <w:t xml:space="preserve"> </w:t>
      </w:r>
      <w:r>
        <w:rPr>
          <w:rFonts w:eastAsia="Times New Roman"/>
          <w:bCs/>
          <w:lang w:val="en-US"/>
        </w:rPr>
        <w:t>социјалне</w:t>
      </w:r>
      <w:r>
        <w:rPr>
          <w:rFonts w:eastAsia="Times New Roman"/>
          <w:bCs/>
        </w:rPr>
        <w:t xml:space="preserve"> </w:t>
      </w:r>
      <w:r>
        <w:rPr>
          <w:rFonts w:eastAsia="Times New Roman"/>
          <w:bCs/>
          <w:lang w:val="en-US"/>
        </w:rPr>
        <w:t>заштите</w:t>
      </w:r>
      <w:r>
        <w:rPr>
          <w:rFonts w:eastAsia="Times New Roman"/>
          <w:b/>
          <w:bCs/>
        </w:rPr>
        <w:t xml:space="preserve">. </w:t>
      </w:r>
      <w:r>
        <w:rPr>
          <w:rFonts w:eastAsia="Times New Roman"/>
          <w:bCs/>
          <w:lang w:val="sr-Cyrl-RS"/>
        </w:rPr>
        <w:t xml:space="preserve">У Локалном акционом плану за унапређење положаја лица са инвалидитетом у граду Бања Луци за период 2014-2019, дефинисане су смјернице унапређења ових групација. </w:t>
      </w:r>
    </w:p>
    <w:p>
      <w:pPr>
        <w:widowControl w:val="0"/>
        <w:numPr>
          <w:ilvl w:val="0"/>
          <w:numId w:val="24"/>
        </w:numPr>
        <w:tabs>
          <w:tab w:val="left" w:pos="2250"/>
        </w:tabs>
        <w:overflowPunct w:val="0"/>
        <w:adjustRightInd w:val="0"/>
        <w:spacing w:before="120" w:after="120"/>
        <w:jc w:val="both"/>
        <w:rPr>
          <w:rFonts w:eastAsia="Times New Roman" w:cs="Arial"/>
          <w:bCs/>
          <w:iCs/>
          <w:color w:val="000000"/>
          <w:lang w:val="sr-Cyrl-RS"/>
        </w:rPr>
      </w:pPr>
      <w:r>
        <w:rPr>
          <w:rFonts w:eastAsia="Times New Roman" w:cs="Arial"/>
          <w:b/>
          <w:iCs/>
          <w:color w:val="000000"/>
          <w:lang w:val="sr-Cyrl-RS"/>
        </w:rPr>
        <w:t xml:space="preserve">Старија популација </w:t>
      </w:r>
      <w:r>
        <w:rPr>
          <w:rFonts w:eastAsia="Times New Roman" w:cs="Arial"/>
          <w:iCs/>
          <w:color w:val="000000"/>
          <w:lang w:val="sr-Cyrl-RS"/>
        </w:rPr>
        <w:t>- око</w:t>
      </w:r>
      <w:r>
        <w:rPr>
          <w:rFonts w:eastAsia="Times New Roman" w:cs="Arial"/>
          <w:bCs/>
          <w:iCs/>
          <w:color w:val="000000"/>
          <w:lang w:val="sr-Cyrl-RS"/>
        </w:rPr>
        <w:t xml:space="preserve"> 14% укупног становништва Бања Луке.</w:t>
      </w:r>
    </w:p>
    <w:p>
      <w:pPr>
        <w:pStyle w:val="46"/>
        <w:numPr>
          <w:ilvl w:val="0"/>
          <w:numId w:val="25"/>
        </w:numPr>
        <w:rPr>
          <w:rFonts w:asciiTheme="minorHAnsi" w:hAnsiTheme="minorHAnsi" w:cstheme="minorHAnsi"/>
          <w:b/>
          <w:i/>
          <w:lang w:val="sr-Cyrl-CS"/>
        </w:rPr>
      </w:pPr>
      <w:r>
        <w:rPr>
          <w:rFonts w:cs="Calibri"/>
          <w:b/>
          <w:lang w:val="sr-Cyrl-RS"/>
        </w:rPr>
        <w:t>М</w:t>
      </w:r>
      <w:r>
        <w:rPr>
          <w:rFonts w:cs="Calibri"/>
          <w:b/>
        </w:rPr>
        <w:t>лади</w:t>
      </w:r>
      <w:r>
        <w:rPr>
          <w:rFonts w:cs="Calibri"/>
          <w:b/>
          <w:lang w:val="sr-Cyrl-RS"/>
        </w:rPr>
        <w:t xml:space="preserve"> - </w:t>
      </w:r>
      <w:r>
        <w:rPr>
          <w:rFonts w:asciiTheme="minorHAnsi" w:hAnsiTheme="minorHAnsi" w:cstheme="minorHAnsi"/>
          <w:color w:val="000000"/>
        </w:rPr>
        <w:t>Закон</w:t>
      </w:r>
      <w:r>
        <w:rPr>
          <w:rFonts w:asciiTheme="minorHAnsi" w:hAnsiTheme="minorHAnsi" w:cstheme="minorHAnsi"/>
          <w:color w:val="000000"/>
          <w:lang w:val="sr-Cyrl-CS"/>
        </w:rPr>
        <w:t>ом</w:t>
      </w:r>
      <w:r>
        <w:rPr>
          <w:rFonts w:asciiTheme="minorHAnsi" w:hAnsiTheme="minorHAnsi" w:cstheme="minorHAnsi"/>
          <w:color w:val="000000"/>
        </w:rPr>
        <w:t xml:space="preserve"> о омладинском организовању (“Службени гласник Републике Српске”, бр. 98/04</w:t>
      </w:r>
      <w:r>
        <w:rPr>
          <w:rFonts w:asciiTheme="minorHAnsi" w:hAnsiTheme="minorHAnsi" w:cstheme="minorHAnsi"/>
          <w:color w:val="000000"/>
          <w:lang w:val="sr-Cyrl-CS"/>
        </w:rPr>
        <w:t xml:space="preserve">, </w:t>
      </w:r>
      <w:r>
        <w:rPr>
          <w:rFonts w:asciiTheme="minorHAnsi" w:hAnsiTheme="minorHAnsi" w:cstheme="minorHAnsi"/>
          <w:color w:val="000000"/>
        </w:rPr>
        <w:t>119/08</w:t>
      </w:r>
      <w:r>
        <w:rPr>
          <w:rFonts w:asciiTheme="minorHAnsi" w:hAnsiTheme="minorHAnsi" w:cstheme="minorHAnsi"/>
          <w:color w:val="000000"/>
          <w:lang w:val="sr-Cyrl-CS"/>
        </w:rPr>
        <w:t xml:space="preserve"> и 1/12</w:t>
      </w:r>
      <w:r>
        <w:rPr>
          <w:rFonts w:asciiTheme="minorHAnsi" w:hAnsiTheme="minorHAnsi" w:cstheme="minorHAnsi"/>
          <w:color w:val="000000"/>
        </w:rPr>
        <w:t>)</w:t>
      </w:r>
      <w:r>
        <w:rPr>
          <w:rFonts w:asciiTheme="minorHAnsi" w:hAnsiTheme="minorHAnsi" w:cstheme="minorHAnsi"/>
          <w:color w:val="000000"/>
          <w:lang w:val="sr-Cyrl-CS"/>
        </w:rPr>
        <w:t xml:space="preserve"> дефинисани су сљедећи појмови:</w:t>
      </w:r>
    </w:p>
    <w:p>
      <w:pPr>
        <w:ind w:firstLine="360"/>
        <w:jc w:val="both"/>
        <w:rPr>
          <w:rFonts w:asciiTheme="minorHAnsi" w:hAnsiTheme="minorHAnsi" w:cstheme="minorHAnsi"/>
          <w:lang w:val="sr-Cyrl-CS"/>
        </w:rPr>
      </w:pPr>
      <w:r>
        <w:rPr>
          <w:rFonts w:asciiTheme="minorHAnsi" w:hAnsiTheme="minorHAnsi" w:cstheme="minorHAnsi"/>
          <w:lang w:val="sr-Cyrl-CS"/>
        </w:rPr>
        <w:t>-</w:t>
      </w:r>
      <w:r>
        <w:rPr>
          <w:rFonts w:asciiTheme="minorHAnsi" w:hAnsiTheme="minorHAnsi" w:cstheme="minorHAnsi"/>
          <w:lang w:val="sr-Cyrl-CS"/>
        </w:rPr>
        <w:tab/>
      </w:r>
      <w:r>
        <w:rPr>
          <w:rFonts w:asciiTheme="minorHAnsi" w:hAnsiTheme="minorHAnsi" w:cstheme="minorHAnsi"/>
          <w:b/>
          <w:lang w:val="sr-Cyrl-CS"/>
        </w:rPr>
        <w:t>омладину и младе</w:t>
      </w:r>
      <w:r>
        <w:rPr>
          <w:rFonts w:asciiTheme="minorHAnsi" w:hAnsiTheme="minorHAnsi" w:cstheme="minorHAnsi"/>
          <w:lang w:val="sr-Cyrl-CS"/>
        </w:rPr>
        <w:t xml:space="preserve"> чине лица од 15 до навршених 30 година,</w:t>
      </w:r>
    </w:p>
    <w:p>
      <w:pPr>
        <w:ind w:left="720" w:hanging="360"/>
        <w:jc w:val="both"/>
        <w:rPr>
          <w:rFonts w:asciiTheme="minorHAnsi" w:hAnsiTheme="minorHAnsi" w:cstheme="minorHAnsi"/>
          <w:lang w:val="sr-Cyrl-CS"/>
        </w:rPr>
      </w:pPr>
      <w:r>
        <w:rPr>
          <w:rFonts w:asciiTheme="minorHAnsi" w:hAnsiTheme="minorHAnsi" w:cstheme="minorHAnsi"/>
          <w:lang w:val="sr-Cyrl-CS"/>
        </w:rPr>
        <w:t>-</w:t>
      </w:r>
      <w:r>
        <w:rPr>
          <w:rFonts w:asciiTheme="minorHAnsi" w:hAnsiTheme="minorHAnsi" w:cstheme="minorHAnsi"/>
          <w:lang w:val="sr-Cyrl-CS"/>
        </w:rPr>
        <w:tab/>
      </w:r>
      <w:r>
        <w:rPr>
          <w:rFonts w:asciiTheme="minorHAnsi" w:hAnsiTheme="minorHAnsi" w:cstheme="minorHAnsi"/>
          <w:b/>
          <w:lang w:val="sr-Cyrl-CS"/>
        </w:rPr>
        <w:t>омладинска политика</w:t>
      </w:r>
      <w:r>
        <w:rPr>
          <w:rFonts w:asciiTheme="minorHAnsi" w:hAnsiTheme="minorHAnsi" w:cstheme="minorHAnsi"/>
          <w:lang w:val="sr-Cyrl-CS"/>
        </w:rPr>
        <w:t xml:space="preserve"> представља документ који Република и јединице локалне самоуправе доносе у циљу побољшања положаја и рјешавања утврђених проблема младих у Републици Српској. То је документ са јасно дефинисаним програмским циљевима, механизмима и роковима за њихову реализацију</w:t>
      </w:r>
      <w:r>
        <w:rPr>
          <w:rFonts w:asciiTheme="minorHAnsi" w:hAnsiTheme="minorHAnsi" w:cstheme="minorHAnsi"/>
        </w:rPr>
        <w:t>,</w:t>
      </w:r>
      <w:r>
        <w:rPr>
          <w:rFonts w:asciiTheme="minorHAnsi" w:hAnsiTheme="minorHAnsi" w:cstheme="minorHAnsi"/>
          <w:lang w:val="sr-Cyrl-CS"/>
        </w:rPr>
        <w:t xml:space="preserve"> одговорним институцијама и организацијама</w:t>
      </w:r>
      <w:r>
        <w:rPr>
          <w:rFonts w:asciiTheme="minorHAnsi" w:hAnsiTheme="minorHAnsi" w:cstheme="minorHAnsi"/>
        </w:rPr>
        <w:t>,</w:t>
      </w:r>
      <w:r>
        <w:rPr>
          <w:rFonts w:asciiTheme="minorHAnsi" w:hAnsiTheme="minorHAnsi" w:cstheme="minorHAnsi"/>
          <w:lang w:val="sr-Cyrl-CS"/>
        </w:rPr>
        <w:t xml:space="preserve"> партнерима</w:t>
      </w:r>
      <w:r>
        <w:rPr>
          <w:rFonts w:asciiTheme="minorHAnsi" w:hAnsiTheme="minorHAnsi" w:cstheme="minorHAnsi"/>
        </w:rPr>
        <w:t>,</w:t>
      </w:r>
      <w:r>
        <w:rPr>
          <w:rFonts w:asciiTheme="minorHAnsi" w:hAnsiTheme="minorHAnsi" w:cstheme="minorHAnsi"/>
          <w:lang w:val="sr-Cyrl-CS"/>
        </w:rPr>
        <w:t xml:space="preserve"> те неопходним финансијским средствима и њиховим изворима</w:t>
      </w:r>
      <w:r>
        <w:rPr>
          <w:rFonts w:asciiTheme="minorHAnsi" w:hAnsiTheme="minorHAnsi" w:cstheme="minorHAnsi"/>
        </w:rPr>
        <w:t>,</w:t>
      </w:r>
      <w:r>
        <w:rPr>
          <w:rFonts w:asciiTheme="minorHAnsi" w:hAnsiTheme="minorHAnsi" w:cstheme="minorHAnsi"/>
          <w:lang w:val="sr-Cyrl-CS"/>
        </w:rPr>
        <w:t xml:space="preserve"> а у складу са јасно дефинисаним областима од интереса за младе,</w:t>
      </w:r>
    </w:p>
    <w:p>
      <w:pPr>
        <w:ind w:left="720" w:hanging="360"/>
        <w:jc w:val="both"/>
        <w:rPr>
          <w:rFonts w:asciiTheme="minorHAnsi" w:hAnsiTheme="minorHAnsi" w:cstheme="minorHAnsi"/>
          <w:lang w:val="sr-Cyrl-CS"/>
        </w:rPr>
      </w:pPr>
      <w:r>
        <w:rPr>
          <w:rFonts w:asciiTheme="minorHAnsi" w:hAnsiTheme="minorHAnsi" w:cstheme="minorHAnsi"/>
          <w:lang w:val="sr-Cyrl-CS"/>
        </w:rPr>
        <w:t>-</w:t>
      </w:r>
      <w:r>
        <w:rPr>
          <w:rFonts w:asciiTheme="minorHAnsi" w:hAnsiTheme="minorHAnsi" w:cstheme="minorHAnsi"/>
          <w:lang w:val="sr-Cyrl-CS"/>
        </w:rPr>
        <w:tab/>
      </w:r>
      <w:r>
        <w:rPr>
          <w:rFonts w:asciiTheme="minorHAnsi" w:hAnsiTheme="minorHAnsi" w:cstheme="minorHAnsi"/>
          <w:b/>
          <w:lang w:val="sr-Cyrl-CS"/>
        </w:rPr>
        <w:t>омладинске организације</w:t>
      </w:r>
      <w:r>
        <w:rPr>
          <w:rFonts w:asciiTheme="minorHAnsi" w:hAnsiTheme="minorHAnsi" w:cstheme="minorHAnsi"/>
          <w:lang w:val="sr-Cyrl-CS"/>
        </w:rPr>
        <w:t xml:space="preserve"> су различити облици удруживања младих које се оснивају на различитим принципима као што су територијални, струковни, интересни и слични принципи</w:t>
      </w:r>
      <w:r>
        <w:rPr>
          <w:rFonts w:asciiTheme="minorHAnsi" w:hAnsiTheme="minorHAnsi" w:cstheme="minorHAnsi"/>
        </w:rPr>
        <w:t>,</w:t>
      </w:r>
      <w:r>
        <w:rPr>
          <w:rFonts w:asciiTheme="minorHAnsi" w:hAnsiTheme="minorHAnsi" w:cstheme="minorHAnsi"/>
          <w:lang w:val="sr-Cyrl-CS"/>
        </w:rPr>
        <w:t xml:space="preserve"> а под тим појмом у смислу овог закона подразумијевају се и </w:t>
      </w:r>
      <w:r>
        <w:rPr>
          <w:rFonts w:asciiTheme="minorHAnsi" w:hAnsiTheme="minorHAnsi" w:cstheme="minorHAnsi"/>
          <w:b/>
          <w:lang w:val="sr-Cyrl-CS"/>
        </w:rPr>
        <w:t>организације за младе</w:t>
      </w:r>
      <w:r>
        <w:rPr>
          <w:rFonts w:asciiTheme="minorHAnsi" w:hAnsiTheme="minorHAnsi" w:cstheme="minorHAnsi"/>
          <w:lang w:val="sr-Cyrl-CS"/>
        </w:rPr>
        <w:t xml:space="preserve"> које су основане на основу Закона о удружењима и фондацијама</w:t>
      </w:r>
      <w:r>
        <w:rPr>
          <w:rFonts w:asciiTheme="minorHAnsi" w:hAnsiTheme="minorHAnsi" w:cstheme="minorHAnsi"/>
        </w:rPr>
        <w:t>,</w:t>
      </w:r>
      <w:r>
        <w:rPr>
          <w:rFonts w:asciiTheme="minorHAnsi" w:hAnsiTheme="minorHAnsi" w:cstheme="minorHAnsi"/>
          <w:lang w:val="sr-Cyrl-CS"/>
        </w:rPr>
        <w:t xml:space="preserve"> а чији су програми</w:t>
      </w:r>
      <w:r>
        <w:rPr>
          <w:rFonts w:asciiTheme="minorHAnsi" w:hAnsiTheme="minorHAnsi" w:cstheme="minorHAnsi"/>
        </w:rPr>
        <w:t>,</w:t>
      </w:r>
      <w:r>
        <w:rPr>
          <w:rFonts w:asciiTheme="minorHAnsi" w:hAnsiTheme="minorHAnsi" w:cstheme="minorHAnsi"/>
          <w:lang w:val="sr-Cyrl-CS"/>
        </w:rPr>
        <w:t xml:space="preserve"> пројекти и активности у значајној мјери усмјерени на младе или на питања од значаја за младе</w:t>
      </w:r>
      <w:r>
        <w:rPr>
          <w:rFonts w:asciiTheme="minorHAnsi" w:hAnsiTheme="minorHAnsi" w:cstheme="minorHAnsi"/>
        </w:rPr>
        <w:t>,</w:t>
      </w:r>
      <w:r>
        <w:rPr>
          <w:rFonts w:asciiTheme="minorHAnsi" w:hAnsiTheme="minorHAnsi" w:cstheme="minorHAnsi"/>
          <w:lang w:val="sr-Cyrl-CS"/>
        </w:rPr>
        <w:t xml:space="preserve"> осим у случају удруживања у омладинске савјете у које се могу удруживати искључиво омладинске организације,</w:t>
      </w:r>
    </w:p>
    <w:p>
      <w:pPr>
        <w:ind w:left="720" w:hanging="360"/>
        <w:jc w:val="both"/>
        <w:rPr>
          <w:rFonts w:asciiTheme="minorHAnsi" w:hAnsiTheme="minorHAnsi" w:cstheme="minorHAnsi"/>
          <w:lang w:val="sr-Cyrl-CS"/>
        </w:rPr>
      </w:pPr>
      <w:r>
        <w:rPr>
          <w:rFonts w:asciiTheme="minorHAnsi" w:hAnsiTheme="minorHAnsi" w:cstheme="minorHAnsi"/>
          <w:lang w:val="sr-Cyrl-CS"/>
        </w:rPr>
        <w:t>-</w:t>
      </w:r>
      <w:r>
        <w:rPr>
          <w:rFonts w:asciiTheme="minorHAnsi" w:hAnsiTheme="minorHAnsi" w:cstheme="minorHAnsi"/>
          <w:lang w:val="sr-Cyrl-CS"/>
        </w:rPr>
        <w:tab/>
      </w:r>
      <w:r>
        <w:rPr>
          <w:rFonts w:asciiTheme="minorHAnsi" w:hAnsiTheme="minorHAnsi" w:cstheme="minorHAnsi"/>
          <w:b/>
          <w:lang w:val="sr-Cyrl-CS"/>
        </w:rPr>
        <w:t>омладинске активности</w:t>
      </w:r>
      <w:r>
        <w:rPr>
          <w:rFonts w:asciiTheme="minorHAnsi" w:hAnsiTheme="minorHAnsi" w:cstheme="minorHAnsi"/>
          <w:lang w:val="sr-Cyrl-CS"/>
        </w:rPr>
        <w:t xml:space="preserve"> представљају различите активности у областима омладинског сектора које спроводе млади или субјекти омладинске политике и које су усмјерене ка унапређењу</w:t>
      </w:r>
      <w:r>
        <w:rPr>
          <w:rFonts w:asciiTheme="minorHAnsi" w:hAnsiTheme="minorHAnsi" w:cstheme="minorHAnsi"/>
        </w:rPr>
        <w:t xml:space="preserve"> </w:t>
      </w:r>
      <w:r>
        <w:rPr>
          <w:rFonts w:asciiTheme="minorHAnsi" w:hAnsiTheme="minorHAnsi" w:cstheme="minorHAnsi"/>
          <w:lang w:val="sr-Cyrl-CS"/>
        </w:rPr>
        <w:t>положаја младих и њиховом оснаживању за активно учешће у друштву на личну и друштвену добробит,</w:t>
      </w:r>
    </w:p>
    <w:p>
      <w:pPr>
        <w:ind w:left="720" w:hanging="360"/>
        <w:jc w:val="both"/>
        <w:rPr>
          <w:rFonts w:asciiTheme="minorHAnsi" w:hAnsiTheme="minorHAnsi" w:cstheme="minorHAnsi"/>
          <w:lang w:val="sr-Cyrl-CS"/>
        </w:rPr>
      </w:pPr>
      <w:r>
        <w:rPr>
          <w:rFonts w:asciiTheme="minorHAnsi" w:hAnsiTheme="minorHAnsi" w:cstheme="minorHAnsi"/>
          <w:lang w:val="sr-Cyrl-CS"/>
        </w:rPr>
        <w:t>-</w:t>
      </w:r>
      <w:r>
        <w:rPr>
          <w:rFonts w:asciiTheme="minorHAnsi" w:hAnsiTheme="minorHAnsi" w:cstheme="minorHAnsi"/>
          <w:lang w:val="sr-Cyrl-CS"/>
        </w:rPr>
        <w:tab/>
      </w:r>
      <w:r>
        <w:rPr>
          <w:rFonts w:asciiTheme="minorHAnsi" w:hAnsiTheme="minorHAnsi" w:cstheme="minorHAnsi"/>
          <w:b/>
          <w:lang w:val="sr-Cyrl-CS"/>
        </w:rPr>
        <w:t>омладински рад</w:t>
      </w:r>
      <w:r>
        <w:rPr>
          <w:rFonts w:asciiTheme="minorHAnsi" w:hAnsiTheme="minorHAnsi" w:cstheme="minorHAnsi"/>
          <w:lang w:val="sr-Cyrl-CS"/>
        </w:rPr>
        <w:t xml:space="preserve"> представља онај дио омладинских активности које се организују са младима и за младе</w:t>
      </w:r>
      <w:r>
        <w:rPr>
          <w:rFonts w:asciiTheme="minorHAnsi" w:hAnsiTheme="minorHAnsi" w:cstheme="minorHAnsi"/>
        </w:rPr>
        <w:t>,</w:t>
      </w:r>
      <w:r>
        <w:rPr>
          <w:rFonts w:asciiTheme="minorHAnsi" w:hAnsiTheme="minorHAnsi" w:cstheme="minorHAnsi"/>
          <w:lang w:val="sr-Cyrl-CS"/>
        </w:rPr>
        <w:t xml:space="preserve"> одвија се у оквиру слободног времена младих и предузима ради унапређења услова за лични и друштвени развој младих и опште друштвене користи у складу са њиховим потребама</w:t>
      </w:r>
      <w:r>
        <w:rPr>
          <w:rFonts w:asciiTheme="minorHAnsi" w:hAnsiTheme="minorHAnsi" w:cstheme="minorHAnsi"/>
        </w:rPr>
        <w:t>,</w:t>
      </w:r>
      <w:r>
        <w:rPr>
          <w:rFonts w:asciiTheme="minorHAnsi" w:hAnsiTheme="minorHAnsi" w:cstheme="minorHAnsi"/>
          <w:lang w:val="sr-Cyrl-CS"/>
        </w:rPr>
        <w:t xml:space="preserve"> могућностима</w:t>
      </w:r>
      <w:r>
        <w:rPr>
          <w:rFonts w:asciiTheme="minorHAnsi" w:hAnsiTheme="minorHAnsi" w:cstheme="minorHAnsi"/>
        </w:rPr>
        <w:t>,</w:t>
      </w:r>
      <w:r>
        <w:rPr>
          <w:rFonts w:asciiTheme="minorHAnsi" w:hAnsiTheme="minorHAnsi" w:cstheme="minorHAnsi"/>
          <w:lang w:val="sr-Cyrl-CS"/>
        </w:rPr>
        <w:t xml:space="preserve"> а уз њихово добровољно учешће. </w:t>
      </w:r>
    </w:p>
    <w:p>
      <w:pPr>
        <w:ind w:left="720" w:hanging="153"/>
        <w:jc w:val="both"/>
        <w:rPr>
          <w:rFonts w:asciiTheme="minorHAnsi" w:hAnsiTheme="minorHAnsi" w:cstheme="minorHAnsi"/>
          <w:b/>
          <w:lang w:val="sr-Cyrl-BA"/>
        </w:rPr>
      </w:pPr>
      <w:r>
        <w:rPr>
          <w:rFonts w:asciiTheme="minorHAnsi" w:hAnsiTheme="minorHAnsi" w:cstheme="minorHAnsi"/>
          <w:lang w:val="sr-Cyrl-CS"/>
        </w:rPr>
        <w:t xml:space="preserve">   </w:t>
      </w:r>
      <w:r>
        <w:rPr>
          <w:rFonts w:asciiTheme="minorHAnsi" w:hAnsiTheme="minorHAnsi" w:cstheme="minorHAnsi"/>
          <w:b/>
          <w:lang w:val="sr-Cyrl-CS"/>
        </w:rPr>
        <w:t xml:space="preserve">Правни основ </w:t>
      </w:r>
      <w:r>
        <w:rPr>
          <w:rFonts w:asciiTheme="minorHAnsi" w:hAnsiTheme="minorHAnsi" w:cstheme="minorHAnsi"/>
          <w:b/>
        </w:rPr>
        <w:t>и секторски документи</w:t>
      </w:r>
      <w:r>
        <w:rPr>
          <w:rFonts w:asciiTheme="minorHAnsi" w:hAnsiTheme="minorHAnsi" w:cstheme="minorHAnsi"/>
          <w:b/>
          <w:lang w:val="sr-Cyrl-BA"/>
        </w:rPr>
        <w:t xml:space="preserve"> којима се уређује положај младих људи у Граду Бања Лука:</w:t>
      </w:r>
    </w:p>
    <w:p>
      <w:pPr>
        <w:ind w:left="720" w:hanging="153"/>
        <w:jc w:val="both"/>
        <w:rPr>
          <w:rFonts w:asciiTheme="minorHAnsi" w:hAnsiTheme="minorHAnsi" w:cstheme="minorHAnsi"/>
          <w:lang w:val="sr-Cyrl-CS"/>
        </w:rPr>
      </w:pPr>
    </w:p>
    <w:p>
      <w:pPr>
        <w:numPr>
          <w:ilvl w:val="0"/>
          <w:numId w:val="26"/>
        </w:numPr>
        <w:jc w:val="both"/>
        <w:rPr>
          <w:rFonts w:asciiTheme="minorHAnsi" w:hAnsiTheme="minorHAnsi" w:cstheme="minorHAnsi"/>
          <w:color w:val="000000"/>
          <w:lang w:val="sr-Cyrl-CS"/>
        </w:rPr>
      </w:pPr>
      <w:r>
        <w:rPr>
          <w:rFonts w:asciiTheme="minorHAnsi" w:hAnsiTheme="minorHAnsi" w:cstheme="minorHAnsi"/>
          <w:lang w:val="sr-Cyrl-CS"/>
        </w:rPr>
        <w:t>Закон о омладинском организовању („Службени гласник Републике Српске“ бр. 98/04, 119/08 и 1/12)</w:t>
      </w:r>
    </w:p>
    <w:p>
      <w:pPr>
        <w:numPr>
          <w:ilvl w:val="0"/>
          <w:numId w:val="26"/>
        </w:numPr>
        <w:jc w:val="both"/>
        <w:rPr>
          <w:rFonts w:asciiTheme="minorHAnsi" w:hAnsiTheme="minorHAnsi" w:cstheme="minorHAnsi"/>
          <w:lang w:val="sr-Cyrl-CS"/>
        </w:rPr>
      </w:pPr>
      <w:r>
        <w:rPr>
          <w:rFonts w:asciiTheme="minorHAnsi" w:hAnsiTheme="minorHAnsi" w:cstheme="minorHAnsi"/>
          <w:lang w:val="sr-Cyrl-CS"/>
        </w:rPr>
        <w:t>Омладинска политика Града Бања Лука 2018-2022. година („Службени гласник Града Бања Лука“ број 4/18)</w:t>
      </w:r>
    </w:p>
    <w:p>
      <w:pPr>
        <w:numPr>
          <w:ilvl w:val="0"/>
          <w:numId w:val="26"/>
        </w:numPr>
        <w:jc w:val="both"/>
        <w:rPr>
          <w:rFonts w:asciiTheme="minorHAnsi" w:hAnsiTheme="minorHAnsi" w:cstheme="minorHAnsi"/>
          <w:lang w:val="sr-Cyrl-CS"/>
        </w:rPr>
      </w:pPr>
      <w:r>
        <w:rPr>
          <w:rFonts w:asciiTheme="minorHAnsi" w:hAnsiTheme="minorHAnsi" w:cstheme="minorHAnsi"/>
          <w:lang w:val="sr-Cyrl-CS"/>
        </w:rPr>
        <w:t>Правилник о упису у Омладински регистар Града Бања Лука („Службени гласник Града Бања Лука“ бр</w:t>
      </w:r>
      <w:r>
        <w:rPr>
          <w:rFonts w:asciiTheme="minorHAnsi" w:hAnsiTheme="minorHAnsi" w:cstheme="minorHAnsi"/>
        </w:rPr>
        <w:t>.</w:t>
      </w:r>
      <w:r>
        <w:rPr>
          <w:rFonts w:asciiTheme="minorHAnsi" w:hAnsiTheme="minorHAnsi" w:cstheme="minorHAnsi"/>
          <w:lang w:val="sr-Cyrl-CS"/>
        </w:rPr>
        <w:t xml:space="preserve"> 10/14</w:t>
      </w:r>
      <w:r>
        <w:rPr>
          <w:rFonts w:asciiTheme="minorHAnsi" w:hAnsiTheme="minorHAnsi" w:cstheme="minorHAnsi"/>
        </w:rPr>
        <w:t xml:space="preserve"> </w:t>
      </w:r>
      <w:r>
        <w:rPr>
          <w:rFonts w:asciiTheme="minorHAnsi" w:hAnsiTheme="minorHAnsi" w:cstheme="minorHAnsi"/>
          <w:lang w:val="sr-Cyrl-CS"/>
        </w:rPr>
        <w:t>и 6/17)</w:t>
      </w:r>
    </w:p>
    <w:p>
      <w:pPr>
        <w:numPr>
          <w:ilvl w:val="0"/>
          <w:numId w:val="26"/>
        </w:numPr>
        <w:jc w:val="both"/>
        <w:rPr>
          <w:rFonts w:asciiTheme="minorHAnsi" w:hAnsiTheme="minorHAnsi" w:cstheme="minorHAnsi"/>
          <w:lang w:val="sr-Cyrl-CS"/>
        </w:rPr>
      </w:pPr>
      <w:r>
        <w:rPr>
          <w:rFonts w:asciiTheme="minorHAnsi" w:hAnsiTheme="minorHAnsi" w:cstheme="minorHAnsi"/>
        </w:rPr>
        <w:t>Правилник о суфинансирању пројеката омладинских организација, организација за младе путем Јавног позива („Службени гласник Града Бања Лука“ број 10/17).</w:t>
      </w:r>
    </w:p>
    <w:p>
      <w:pPr>
        <w:numPr>
          <w:ilvl w:val="0"/>
          <w:numId w:val="26"/>
        </w:numPr>
        <w:jc w:val="both"/>
        <w:rPr>
          <w:rFonts w:asciiTheme="minorHAnsi" w:hAnsiTheme="minorHAnsi" w:cstheme="minorHAnsi"/>
          <w:lang w:val="sr-Cyrl-CS"/>
        </w:rPr>
      </w:pPr>
      <w:r>
        <w:rPr>
          <w:rFonts w:asciiTheme="minorHAnsi" w:hAnsiTheme="minorHAnsi" w:cstheme="minorHAnsi"/>
          <w:lang w:val="sr-Cyrl-CS" w:eastAsia="sr-Latn-CS"/>
        </w:rPr>
        <w:t>Правилник о додјели средстава за суфинансирање појединачних програмских активности омладинских организација</w:t>
      </w:r>
      <w:r>
        <w:rPr>
          <w:rFonts w:asciiTheme="minorHAnsi" w:hAnsiTheme="minorHAnsi" w:cstheme="minorHAnsi"/>
          <w:lang w:eastAsia="sr-Latn-CS"/>
        </w:rPr>
        <w:t>,</w:t>
      </w:r>
      <w:r>
        <w:rPr>
          <w:rFonts w:asciiTheme="minorHAnsi" w:hAnsiTheme="minorHAnsi" w:cstheme="minorHAnsi"/>
          <w:lang w:val="sr-Cyrl-CS" w:eastAsia="sr-Latn-CS"/>
        </w:rPr>
        <w:t xml:space="preserve"> организација за младе</w:t>
      </w:r>
      <w:r>
        <w:rPr>
          <w:rFonts w:asciiTheme="minorHAnsi" w:hAnsiTheme="minorHAnsi" w:cstheme="minorHAnsi"/>
          <w:lang w:eastAsia="sr-Latn-CS"/>
        </w:rPr>
        <w:t>,</w:t>
      </w:r>
      <w:r>
        <w:rPr>
          <w:rFonts w:asciiTheme="minorHAnsi" w:hAnsiTheme="minorHAnsi" w:cstheme="minorHAnsi"/>
          <w:lang w:val="sr-Cyrl-CS" w:eastAsia="sr-Latn-CS"/>
        </w:rPr>
        <w:t xml:space="preserve"> вриједносног разреда од 500,00 до 2.000,00 КМ („Службени гласник Града Бања Лука“ број 6/17)</w:t>
      </w:r>
    </w:p>
    <w:p>
      <w:pPr>
        <w:numPr>
          <w:ilvl w:val="0"/>
          <w:numId w:val="26"/>
        </w:numPr>
        <w:jc w:val="both"/>
        <w:rPr>
          <w:rFonts w:asciiTheme="minorHAnsi" w:hAnsiTheme="minorHAnsi" w:cstheme="minorHAnsi"/>
          <w:lang w:val="sr-Cyrl-CS"/>
        </w:rPr>
      </w:pPr>
      <w:r>
        <w:rPr>
          <w:rFonts w:asciiTheme="minorHAnsi" w:hAnsiTheme="minorHAnsi" w:cstheme="minorHAnsi"/>
          <w:lang w:val="sr-Cyrl-CS" w:eastAsia="sr-Latn-CS"/>
        </w:rPr>
        <w:t xml:space="preserve">Правилник о додјели </w:t>
      </w:r>
      <w:r>
        <w:rPr>
          <w:rFonts w:asciiTheme="minorHAnsi" w:hAnsiTheme="minorHAnsi" w:cstheme="minorHAnsi"/>
          <w:lang w:eastAsia="sr-Latn-CS"/>
        </w:rPr>
        <w:t>j</w:t>
      </w:r>
      <w:r>
        <w:rPr>
          <w:rFonts w:asciiTheme="minorHAnsi" w:hAnsiTheme="minorHAnsi" w:cstheme="minorHAnsi"/>
          <w:lang w:val="sr-Cyrl-CS" w:eastAsia="sr-Latn-CS"/>
        </w:rPr>
        <w:t>еднократних новчаних помоћи из буџета Града намјењених младима (од 15 до 30 година)</w:t>
      </w:r>
      <w:r>
        <w:rPr>
          <w:rFonts w:asciiTheme="minorHAnsi" w:hAnsiTheme="minorHAnsi" w:cstheme="minorHAnsi"/>
          <w:lang w:eastAsia="sr-Latn-CS"/>
        </w:rPr>
        <w:t>,</w:t>
      </w:r>
      <w:r>
        <w:rPr>
          <w:rFonts w:asciiTheme="minorHAnsi" w:hAnsiTheme="minorHAnsi" w:cstheme="minorHAnsi"/>
          <w:lang w:val="sr-Cyrl-CS" w:eastAsia="sr-Latn-CS"/>
        </w:rPr>
        <w:t xml:space="preserve"> члановима омладинских организација</w:t>
      </w:r>
      <w:r>
        <w:rPr>
          <w:rFonts w:asciiTheme="minorHAnsi" w:hAnsiTheme="minorHAnsi" w:cstheme="minorHAnsi"/>
          <w:lang w:eastAsia="sr-Latn-CS"/>
        </w:rPr>
        <w:t>,</w:t>
      </w:r>
      <w:r>
        <w:rPr>
          <w:rFonts w:asciiTheme="minorHAnsi" w:hAnsiTheme="minorHAnsi" w:cstheme="minorHAnsi"/>
          <w:lang w:val="sr-Cyrl-CS" w:eastAsia="sr-Latn-CS"/>
        </w:rPr>
        <w:t xml:space="preserve"> организација за младе („Службени гласник Града Бања Лука“ бр. 16/13, 4/15 и 6/17)</w:t>
      </w:r>
    </w:p>
    <w:p>
      <w:pPr>
        <w:ind w:left="567"/>
        <w:rPr>
          <w:rFonts w:asciiTheme="minorHAnsi" w:hAnsiTheme="minorHAnsi" w:cstheme="minorHAnsi"/>
          <w:lang w:val="sr-Cyrl-CS"/>
        </w:rPr>
      </w:pPr>
    </w:p>
    <w:p>
      <w:pPr>
        <w:ind w:left="720"/>
        <w:jc w:val="both"/>
        <w:rPr>
          <w:rFonts w:eastAsia="Times New Roman" w:asciiTheme="minorHAnsi" w:hAnsiTheme="minorHAnsi" w:cstheme="minorHAnsi"/>
          <w:lang w:val="sr-Cyrl-CS"/>
        </w:rPr>
      </w:pPr>
      <w:r>
        <w:rPr>
          <w:rFonts w:asciiTheme="minorHAnsi" w:hAnsiTheme="minorHAnsi" w:cstheme="minorHAnsi"/>
          <w:lang w:val="sr-Cyrl-CS"/>
        </w:rPr>
        <w:t>Област омладинског организовања је правно-формално уређена област</w:t>
      </w:r>
      <w:r>
        <w:rPr>
          <w:rFonts w:asciiTheme="minorHAnsi" w:hAnsiTheme="minorHAnsi" w:cstheme="minorHAnsi"/>
        </w:rPr>
        <w:t>,</w:t>
      </w:r>
      <w:r>
        <w:rPr>
          <w:rFonts w:asciiTheme="minorHAnsi" w:hAnsiTheme="minorHAnsi" w:cstheme="minorHAnsi"/>
          <w:lang w:val="sr-Cyrl-CS"/>
        </w:rPr>
        <w:t xml:space="preserve"> односно регулисан је начин додјеле средстава путем горе наведених правилника. </w:t>
      </w:r>
      <w:r>
        <w:rPr>
          <w:rFonts w:asciiTheme="minorHAnsi" w:hAnsiTheme="minorHAnsi" w:cstheme="minorHAnsi"/>
          <w:bCs/>
          <w:lang w:val="sr-Cyrl-CS"/>
        </w:rPr>
        <w:t xml:space="preserve">У </w:t>
      </w:r>
      <w:r>
        <w:rPr>
          <w:rFonts w:asciiTheme="minorHAnsi" w:hAnsiTheme="minorHAnsi" w:cstheme="minorHAnsi"/>
          <w:lang w:val="sr-Cyrl-CS"/>
        </w:rPr>
        <w:t xml:space="preserve">складу са </w:t>
      </w:r>
      <w:r>
        <w:rPr>
          <w:rFonts w:asciiTheme="minorHAnsi" w:hAnsiTheme="minorHAnsi" w:cstheme="minorHAnsi"/>
          <w:lang w:val="sr-Cyrl-CS" w:eastAsia="sr-Latn-CS"/>
        </w:rPr>
        <w:t>Правилником о упису у Омладински регистар Града Бања Лука („Службени гласник Града Бања Лука“ број 10/14),</w:t>
      </w:r>
      <w:r>
        <w:rPr>
          <w:rFonts w:asciiTheme="minorHAnsi" w:hAnsiTheme="minorHAnsi" w:cstheme="minorHAnsi"/>
          <w:lang w:eastAsia="sr-Latn-CS"/>
        </w:rPr>
        <w:t xml:space="preserve"> </w:t>
      </w:r>
      <w:r>
        <w:rPr>
          <w:rFonts w:asciiTheme="minorHAnsi" w:hAnsiTheme="minorHAnsi" w:cstheme="minorHAnsi"/>
          <w:lang w:val="ru-RU"/>
        </w:rPr>
        <w:t>у Омладински регистар Града Бања Лука</w:t>
      </w:r>
      <w:r>
        <w:rPr>
          <w:rFonts w:asciiTheme="minorHAnsi" w:hAnsiTheme="minorHAnsi" w:cstheme="minorHAnsi"/>
        </w:rPr>
        <w:t>,</w:t>
      </w:r>
      <w:r>
        <w:rPr>
          <w:rFonts w:asciiTheme="minorHAnsi" w:hAnsiTheme="minorHAnsi" w:cstheme="minorHAnsi"/>
          <w:lang w:val="ru-RU"/>
        </w:rPr>
        <w:t xml:space="preserve"> који води Одјељење </w:t>
      </w:r>
      <w:r>
        <w:rPr>
          <w:rFonts w:asciiTheme="minorHAnsi" w:hAnsiTheme="minorHAnsi" w:cstheme="minorHAnsi"/>
          <w:lang w:val="sr-Cyrl-CS" w:eastAsia="sr-Latn-CS"/>
        </w:rPr>
        <w:t>за образовање</w:t>
      </w:r>
      <w:r>
        <w:rPr>
          <w:rFonts w:asciiTheme="minorHAnsi" w:hAnsiTheme="minorHAnsi" w:cstheme="minorHAnsi"/>
          <w:lang w:eastAsia="sr-Latn-CS"/>
        </w:rPr>
        <w:t>,</w:t>
      </w:r>
      <w:r>
        <w:rPr>
          <w:rFonts w:asciiTheme="minorHAnsi" w:hAnsiTheme="minorHAnsi" w:cstheme="minorHAnsi"/>
          <w:lang w:val="sr-Cyrl-CS" w:eastAsia="sr-Latn-CS"/>
        </w:rPr>
        <w:t xml:space="preserve"> здравство</w:t>
      </w:r>
      <w:r>
        <w:rPr>
          <w:rFonts w:asciiTheme="minorHAnsi" w:hAnsiTheme="minorHAnsi" w:cstheme="minorHAnsi"/>
          <w:lang w:eastAsia="sr-Latn-CS"/>
        </w:rPr>
        <w:t>,</w:t>
      </w:r>
      <w:r>
        <w:rPr>
          <w:rFonts w:asciiTheme="minorHAnsi" w:hAnsiTheme="minorHAnsi" w:cstheme="minorHAnsi"/>
          <w:lang w:val="sr-Cyrl-CS" w:eastAsia="sr-Latn-CS"/>
        </w:rPr>
        <w:t xml:space="preserve"> омладину и спорт</w:t>
      </w:r>
      <w:r>
        <w:rPr>
          <w:rFonts w:asciiTheme="minorHAnsi" w:hAnsiTheme="minorHAnsi" w:cstheme="minorHAnsi"/>
          <w:lang w:val="ru-RU"/>
        </w:rPr>
        <w:t xml:space="preserve"> до јула мјесеца 2018. године</w:t>
      </w:r>
      <w:r>
        <w:rPr>
          <w:rFonts w:asciiTheme="minorHAnsi" w:hAnsiTheme="minorHAnsi" w:cstheme="minorHAnsi"/>
        </w:rPr>
        <w:t>,</w:t>
      </w:r>
      <w:r>
        <w:rPr>
          <w:rFonts w:asciiTheme="minorHAnsi" w:hAnsiTheme="minorHAnsi" w:cstheme="minorHAnsi"/>
          <w:lang w:val="ru-RU"/>
        </w:rPr>
        <w:t xml:space="preserve"> уписано је </w:t>
      </w:r>
      <w:r>
        <w:rPr>
          <w:rFonts w:asciiTheme="minorHAnsi" w:hAnsiTheme="minorHAnsi" w:cstheme="minorHAnsi"/>
          <w:b/>
          <w:lang w:val="ru-RU"/>
        </w:rPr>
        <w:t>31</w:t>
      </w:r>
      <w:r>
        <w:rPr>
          <w:rFonts w:asciiTheme="minorHAnsi" w:hAnsiTheme="minorHAnsi" w:cstheme="minorHAnsi"/>
          <w:lang w:val="ru-RU"/>
        </w:rPr>
        <w:t xml:space="preserve"> организација и то 1 савјет на нивоу јединице локалне самоуправе, 21 омладинска организација и 9 организација за младе.</w:t>
      </w:r>
    </w:p>
    <w:p>
      <w:pPr>
        <w:ind w:left="720"/>
        <w:jc w:val="both"/>
        <w:rPr>
          <w:szCs w:val="24"/>
          <w:lang w:val="sr-Cyrl-RS"/>
        </w:rPr>
      </w:pPr>
      <w:r>
        <w:rPr>
          <w:rFonts w:cs="Calibri"/>
          <w:lang w:val="sr-Cyrl-RS"/>
        </w:rPr>
        <w:t>Од посебног значаја за реализацију Омладинске политике града Бања Лука је постојање и рад  „Дома омладине“.</w:t>
      </w:r>
      <w:r>
        <w:rPr>
          <w:szCs w:val="24"/>
          <w:lang w:val="sr-Cyrl-CS"/>
        </w:rPr>
        <w:t xml:space="preserve"> </w:t>
      </w:r>
      <w:r>
        <w:rPr>
          <w:b/>
          <w:szCs w:val="24"/>
        </w:rPr>
        <w:t>„Дом омладине“</w:t>
      </w:r>
      <w:r>
        <w:rPr>
          <w:szCs w:val="24"/>
          <w:lang w:val="sr-Cyrl-CS"/>
        </w:rPr>
        <w:t xml:space="preserve"> </w:t>
      </w:r>
      <w:r>
        <w:rPr>
          <w:szCs w:val="24"/>
          <w:lang w:val="sr-Cyrl-RS"/>
        </w:rPr>
        <w:t>представља мултифункционални простор у центру Града, смјештен у Дому солидарности, површине око 1.000 м2. Простор обухвата неправилне каскадне холове, затворене учионичке просторије и велику салу амфитеатра са 145 сједећих мјеста коју прати бекстејџ или просторија која се прилагођава разним намјенама. Због разноврсности догађаја и активности овај простор током године посјети преко сто хиљада грађана који имају прилику да у просјеку сваке седмице присуствују неком од јавних догађаја који се овдје одржава. Посебно се истиче рад више позоришних група које својим радом и наступима привлаче интересовање великог броја грађана. Поред омладинских организација које овдје проводе своје планске активности, у Дому омладине дио својих активности проводе и поједине институције, јавне установе, невладине организације, удружења грађана, па чак и појединци, који својом креативношћу и ентузијазмом унапређују укупну понуду.</w:t>
      </w:r>
      <w:r>
        <w:t xml:space="preserve"> </w:t>
      </w:r>
      <w:r>
        <w:rPr>
          <w:szCs w:val="24"/>
          <w:lang w:val="sr-Cyrl-RS"/>
        </w:rPr>
        <w:t>Кроз овакав репертоар догађаја, али и редовне активности омладинских организација, проводе се бројне активности из документа Омладинске политике Града Бања Лука као што су: информисање младих, социјална политика младих, запошљавање младих, формални и неформално образовање,мобилност и др.</w:t>
      </w:r>
    </w:p>
    <w:p>
      <w:pPr>
        <w:widowControl w:val="0"/>
        <w:numPr>
          <w:ilvl w:val="0"/>
          <w:numId w:val="24"/>
        </w:numPr>
        <w:tabs>
          <w:tab w:val="left" w:pos="2250"/>
        </w:tabs>
        <w:overflowPunct w:val="0"/>
        <w:adjustRightInd w:val="0"/>
        <w:spacing w:before="120" w:after="120"/>
        <w:jc w:val="both"/>
        <w:rPr>
          <w:rFonts w:eastAsia="Times New Roman" w:cs="Arial"/>
          <w:lang w:val="sr-Cyrl-RS"/>
        </w:rPr>
      </w:pPr>
      <w:r>
        <w:rPr>
          <w:rFonts w:eastAsia="Times New Roman" w:cs="Arial"/>
          <w:b/>
          <w:lang w:val="sr-Cyrl-RS"/>
        </w:rPr>
        <w:t xml:space="preserve">Жене - </w:t>
      </w:r>
      <w:r>
        <w:rPr>
          <w:rFonts w:eastAsia="Times New Roman" w:cs="Arial"/>
          <w:lang w:val="sr-Cyrl-RS"/>
        </w:rPr>
        <w:t>Жене предстваљају рањиву групу, нарочито сиромашне, припаднице старије популације, труднице и мајке мале дјеце, самохране мајке, жене у руралном подручју. Посебно рањива група су жене са инвалидитетом. Град у оквиру важећих прописа у социјалној заштити пружа подршку, између осталог, и овој рањивој групи. Град је много учинио да од 2007. године профункционише Сигурна кућа као посебна мјера подршке за жене и дјецу који су преживјели насиље у породици, те је у партнерству са  Фондациом „Удружене жене“ утицао да се системски уреди ова област доношењем одговарајућих прописа.</w:t>
      </w:r>
      <w:r>
        <w:t xml:space="preserve"> </w:t>
      </w:r>
      <w:r>
        <w:rPr>
          <w:lang w:val="sr-Cyrl-CS"/>
        </w:rPr>
        <w:t xml:space="preserve">Према </w:t>
      </w:r>
      <w:r>
        <w:rPr>
          <w:rFonts w:eastAsia="Times New Roman" w:cs="Arial"/>
          <w:lang w:val="sr-Cyrl-RS"/>
        </w:rPr>
        <w:t>евиденцији надлежног Одјељења, удружења грађана која окупљају жене или су им жене циљна група су: Хуманитарно удружење жена „Дуга“ Бањалука, Удружење креативаца „Драганин врт“, Удружење жена „Верићанке“, Удружење грађана „Центар за маме“, Фондација „Удружене жене“, Удружење „Жене то могу“, Савез жена обољелих од рака дојке „Искра“, Удружење „Права жене“.</w:t>
      </w:r>
    </w:p>
    <w:p>
      <w:pPr>
        <w:widowControl w:val="0"/>
        <w:numPr>
          <w:ilvl w:val="0"/>
          <w:numId w:val="24"/>
        </w:numPr>
        <w:tabs>
          <w:tab w:val="left" w:pos="2250"/>
        </w:tabs>
        <w:overflowPunct w:val="0"/>
        <w:adjustRightInd w:val="0"/>
        <w:spacing w:before="120" w:after="120"/>
        <w:jc w:val="both"/>
        <w:rPr>
          <w:rFonts w:eastAsia="Times New Roman" w:cs="Arial"/>
          <w:lang w:val="sr-Cyrl-RS"/>
        </w:rPr>
      </w:pPr>
      <w:r>
        <w:rPr>
          <w:rFonts w:eastAsia="Times New Roman" w:cs="Arial"/>
          <w:b/>
          <w:lang w:val="sr-Cyrl-RS"/>
        </w:rPr>
        <w:t xml:space="preserve">Роми. </w:t>
      </w:r>
      <w:r>
        <w:rPr>
          <w:rFonts w:eastAsia="Times New Roman" w:cs="Arial"/>
          <w:lang w:val="sr-Latn-BA"/>
        </w:rPr>
        <w:t xml:space="preserve">Удружење Рома Града Бања Лука „Весели бријег“ је основано 2004. године. У почетном периоду је реализовано више значајнијих пројеката, радионица са дјецом и готово сви становници </w:t>
      </w:r>
      <w:r>
        <w:rPr>
          <w:rFonts w:eastAsia="Times New Roman" w:cs="Arial"/>
          <w:lang w:val="sr-Cyrl-CS"/>
        </w:rPr>
        <w:t xml:space="preserve">насеља </w:t>
      </w:r>
      <w:r>
        <w:rPr>
          <w:rFonts w:eastAsia="Times New Roman" w:cs="Arial"/>
          <w:lang w:val="sr-Latn-BA"/>
        </w:rPr>
        <w:t>Весел</w:t>
      </w:r>
      <w:r>
        <w:rPr>
          <w:rFonts w:eastAsia="Times New Roman" w:cs="Arial"/>
          <w:lang w:val="sr-Cyrl-CS"/>
        </w:rPr>
        <w:t>и</w:t>
      </w:r>
      <w:r>
        <w:rPr>
          <w:rFonts w:eastAsia="Times New Roman" w:cs="Arial"/>
          <w:lang w:val="sr-Latn-BA"/>
        </w:rPr>
        <w:t xml:space="preserve"> бријег су пријавили пребивалиште, а дјеца су редовно упис</w:t>
      </w:r>
      <w:r>
        <w:rPr>
          <w:rFonts w:eastAsia="Times New Roman" w:cs="Arial"/>
          <w:lang w:val="sr-Cyrl-CS"/>
        </w:rPr>
        <w:t>ана</w:t>
      </w:r>
      <w:r>
        <w:rPr>
          <w:rFonts w:eastAsia="Times New Roman" w:cs="Arial"/>
          <w:lang w:val="sr-Latn-BA"/>
        </w:rPr>
        <w:t xml:space="preserve"> у матичне књиге рођених. По званичним подацима Републичког завода за статистику и Попису становништва Републике Српске за 2013. годину у Бања Луци живи 126 Рома.</w:t>
      </w:r>
      <w:r>
        <w:rPr>
          <w:rFonts w:eastAsia="Times New Roman" w:cs="Arial"/>
          <w:lang w:val="sr-Cyrl-RS"/>
        </w:rPr>
        <w:t xml:space="preserve"> </w:t>
      </w:r>
      <w:r>
        <w:rPr>
          <w:rFonts w:eastAsia="Times New Roman" w:cs="Arial"/>
          <w:lang w:val="sr-Latn-BA"/>
        </w:rPr>
        <w:t>Удружење Рома града Бања Лука „Весели бријег“ користи велики објекат који је власништво Града у Улици Новака Пивашевића број 16. Објекат је отворен 2006. године за потребе Друштвеног дома за Удружења Рома. Град је за школску 2016/17. годину за 22 ученика- основца додјелио уџбенике, торбе и школски прибор. Поред  помоћи за основце додјељена је и новчана помоћ за трошкове школовања, у појединачном износу од 500,00 КМ  за 6 ученика који похађају средњу школу и 2 студента</w:t>
      </w:r>
      <w:r>
        <w:rPr>
          <w:rFonts w:eastAsia="Times New Roman" w:cs="Arial"/>
          <w:lang w:val="sr-Cyrl-RS"/>
        </w:rPr>
        <w:t xml:space="preserve">. </w:t>
      </w:r>
      <w:r>
        <w:rPr>
          <w:rFonts w:eastAsia="Times New Roman" w:cs="Arial"/>
          <w:lang w:val="sr-Latn-BA"/>
        </w:rPr>
        <w:t>Град је за образовање ромске популације дозначио средстава у износу од 7.074,00 КМ.</w:t>
      </w:r>
    </w:p>
    <w:p>
      <w:pPr>
        <w:widowControl w:val="0"/>
        <w:numPr>
          <w:ilvl w:val="0"/>
          <w:numId w:val="24"/>
        </w:numPr>
        <w:tabs>
          <w:tab w:val="left" w:pos="2250"/>
        </w:tabs>
        <w:overflowPunct w:val="0"/>
        <w:adjustRightInd w:val="0"/>
        <w:spacing w:before="120" w:after="120"/>
        <w:jc w:val="both"/>
        <w:rPr>
          <w:rFonts w:eastAsia="Times New Roman" w:cs="Arial"/>
          <w:color w:val="000000"/>
        </w:rPr>
      </w:pPr>
      <w:r>
        <w:rPr>
          <w:rFonts w:eastAsia="Times New Roman" w:cs="Arial"/>
          <w:b/>
          <w:color w:val="000000"/>
          <w:lang w:val="sr-Cyrl-RS"/>
        </w:rPr>
        <w:t>Млади у сукобу са законом (малољетни преступници)</w:t>
      </w:r>
      <w:r>
        <w:rPr>
          <w:rFonts w:eastAsia="Times New Roman" w:cs="Arial"/>
          <w:color w:val="000000"/>
          <w:lang w:val="sr-Cyrl-RS"/>
        </w:rPr>
        <w:t xml:space="preserve"> - приоритети од значаја за превенцију малољетничог преступништва и примјену алтернативних мера дефинисани су Акционим планом за период 2015-2017.</w:t>
      </w:r>
      <w:r>
        <w:rPr>
          <w:rStyle w:val="31"/>
          <w:rFonts w:eastAsia="Times New Roman" w:cs="Arial"/>
          <w:color w:val="000000"/>
          <w:lang w:val="sr-Cyrl-RS"/>
        </w:rPr>
        <w:footnoteReference w:id="62"/>
      </w:r>
      <w:r>
        <w:t xml:space="preserve"> </w:t>
      </w:r>
      <w:r>
        <w:rPr>
          <w:rFonts w:eastAsia="Times New Roman" w:cs="Arial"/>
          <w:color w:val="000000"/>
          <w:lang w:val="sr-Cyrl-RS"/>
        </w:rPr>
        <w:t>Скупштина Града донијела је нови Акциони план за заштиту права дјеце у контакту са законом у граду Бањој Луци за период 2018-2019. Године који представља наставак Акционог плана за период 2015-2017 године.</w:t>
      </w:r>
    </w:p>
    <w:tbl>
      <w:tblPr>
        <w:tblStyle w:val="36"/>
        <w:tblW w:w="9469"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46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c>
          <w:tcPr>
            <w:tcW w:w="9469" w:type="dxa"/>
            <w:shd w:val="clear" w:color="auto" w:fill="C5E0B3" w:themeFill="accent6" w:themeFillTint="66"/>
          </w:tcPr>
          <w:p>
            <w:pPr>
              <w:pStyle w:val="54"/>
              <w:jc w:val="both"/>
              <w:rPr>
                <w:rFonts w:cstheme="minorHAnsi"/>
                <w:i/>
                <w:lang w:val="sr-Latn-RS"/>
              </w:rPr>
            </w:pPr>
          </w:p>
          <w:p>
            <w:pPr>
              <w:pStyle w:val="54"/>
              <w:jc w:val="both"/>
              <w:rPr>
                <w:rFonts w:cstheme="minorHAnsi"/>
                <w:i/>
                <w:lang w:val="sr-Cyrl-CS"/>
              </w:rPr>
            </w:pPr>
            <w:r>
              <w:rPr>
                <w:rFonts w:cstheme="minorHAnsi"/>
                <w:i/>
                <w:lang w:val="sr-Latn-RS"/>
              </w:rPr>
              <w:t xml:space="preserve">Највећи број организација </w:t>
            </w:r>
            <w:r>
              <w:rPr>
                <w:rFonts w:cstheme="minorHAnsi"/>
                <w:i/>
                <w:lang w:val="sr-Cyrl-RS"/>
              </w:rPr>
              <w:t xml:space="preserve">цивилног друштва </w:t>
            </w:r>
            <w:r>
              <w:rPr>
                <w:rFonts w:cstheme="minorHAnsi"/>
                <w:i/>
                <w:lang w:val="sr-Latn-RS"/>
              </w:rPr>
              <w:t>које су активне д</w:t>
            </w:r>
            <w:r>
              <w:rPr>
                <w:rFonts w:cstheme="minorHAnsi"/>
                <w:i/>
                <w:lang w:val="sr-Cyrl-RS"/>
              </w:rPr>
              <w:t>ј</w:t>
            </w:r>
            <w:r>
              <w:rPr>
                <w:rFonts w:cstheme="minorHAnsi"/>
                <w:i/>
                <w:lang w:val="sr-Latn-RS"/>
              </w:rPr>
              <w:t>елуј</w:t>
            </w:r>
            <w:r>
              <w:rPr>
                <w:rFonts w:cstheme="minorHAnsi"/>
                <w:i/>
                <w:lang w:val="sr-Cyrl-RS"/>
              </w:rPr>
              <w:t>е</w:t>
            </w:r>
            <w:r>
              <w:rPr>
                <w:rFonts w:cstheme="minorHAnsi"/>
                <w:i/>
                <w:lang w:val="sr-Latn-RS"/>
              </w:rPr>
              <w:t xml:space="preserve"> у области пружања услуга социјално угроженим и рањивим групама.</w:t>
            </w:r>
          </w:p>
          <w:p>
            <w:pPr>
              <w:pStyle w:val="54"/>
              <w:jc w:val="both"/>
              <w:rPr>
                <w:rFonts w:eastAsia="Times New Roman"/>
                <w:bCs/>
                <w:i/>
                <w:kern w:val="32"/>
                <w:lang w:val="sr-Latn-RS"/>
              </w:rPr>
            </w:pPr>
            <w:r>
              <w:rPr>
                <w:rFonts w:cstheme="minorHAnsi"/>
                <w:i/>
                <w:lang w:val="sr-Latn-RS"/>
              </w:rPr>
              <w:t>Организације које пружају социјалне услуге често су искључиво усм</w:t>
            </w:r>
            <w:r>
              <w:rPr>
                <w:rFonts w:cstheme="minorHAnsi"/>
                <w:i/>
                <w:lang w:val="sr-Cyrl-RS"/>
              </w:rPr>
              <w:t>ј</w:t>
            </w:r>
            <w:r>
              <w:rPr>
                <w:rFonts w:cstheme="minorHAnsi"/>
                <w:i/>
                <w:lang w:val="sr-Latn-RS"/>
              </w:rPr>
              <w:t>ерене на услуге и немају довољно људск</w:t>
            </w:r>
            <w:r>
              <w:rPr>
                <w:rFonts w:cstheme="minorHAnsi"/>
                <w:i/>
                <w:lang w:val="sr-Cyrl-RS"/>
              </w:rPr>
              <w:t>их ресурса</w:t>
            </w:r>
            <w:r>
              <w:rPr>
                <w:rFonts w:cstheme="minorHAnsi"/>
                <w:i/>
                <w:lang w:val="sr-Latn-RS"/>
              </w:rPr>
              <w:t xml:space="preserve">, а често и знања да раде у правцу подизања капацитета својих организација и улагање у организациони раст и развој организације. </w:t>
            </w:r>
            <w:r>
              <w:rPr>
                <w:rFonts w:cstheme="minorHAnsi"/>
                <w:i/>
                <w:lang w:val="sr-Cyrl-CS"/>
              </w:rPr>
              <w:t>Неопходно је јачати партнерство између Града и ових организација како би се уочене потешкоће превазишле.</w:t>
            </w:r>
            <w:r>
              <w:rPr>
                <w:rFonts w:cstheme="minorHAnsi"/>
                <w:i/>
                <w:lang w:val="sr-Cyrl-RS"/>
              </w:rPr>
              <w:t xml:space="preserve"> Потребно је да Град размотри додатне могућности за пружање подршке и веће укључивање рањивих група у процес доношења одлука.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 w:hRule="atLeast"/>
        </w:trPr>
        <w:tc>
          <w:tcPr>
            <w:tcW w:w="9469" w:type="dxa"/>
            <w:shd w:val="clear" w:color="auto" w:fill="C5E0B3" w:themeFill="accent6" w:themeFillTint="66"/>
          </w:tcPr>
          <w:p>
            <w:pPr>
              <w:jc w:val="both"/>
              <w:rPr>
                <w:rFonts w:eastAsia="Times New Roman"/>
                <w:bCs/>
                <w:i/>
                <w:kern w:val="32"/>
              </w:rPr>
            </w:pPr>
          </w:p>
        </w:tc>
      </w:tr>
    </w:tbl>
    <w:p>
      <w:pPr>
        <w:keepNext/>
        <w:keepLines/>
        <w:spacing w:before="200"/>
        <w:ind w:left="426"/>
        <w:jc w:val="both"/>
        <w:outlineLvl w:val="3"/>
        <w:rPr>
          <w:rFonts w:ascii="Calibri Light" w:hAnsi="Calibri Light" w:eastAsia="Times New Roman"/>
          <w:b/>
          <w:bCs/>
          <w:iCs/>
          <w:lang w:val="sr-Cyrl-CS"/>
        </w:rPr>
      </w:pPr>
      <w:bookmarkStart w:id="58" w:name="_Toc508060567"/>
      <w:bookmarkStart w:id="59" w:name="_Toc497473048"/>
      <w:bookmarkStart w:id="60" w:name="_Toc526761906"/>
    </w:p>
    <w:p>
      <w:pPr>
        <w:keepNext/>
        <w:keepLines/>
        <w:spacing w:before="200"/>
        <w:ind w:left="426"/>
        <w:jc w:val="both"/>
        <w:outlineLvl w:val="3"/>
        <w:rPr>
          <w:rFonts w:eastAsia="Times New Roman" w:asciiTheme="minorHAnsi" w:hAnsiTheme="minorHAnsi" w:cstheme="minorHAnsi"/>
          <w:b/>
          <w:bCs/>
          <w:iCs/>
        </w:rPr>
      </w:pPr>
      <w:r>
        <w:rPr>
          <w:rFonts w:eastAsia="Times New Roman" w:asciiTheme="minorHAnsi" w:hAnsiTheme="minorHAnsi" w:cstheme="minorHAnsi"/>
          <w:b/>
          <w:bCs/>
          <w:iCs/>
        </w:rPr>
        <w:t>IV.1.5.8. Цивилно друштво</w:t>
      </w:r>
      <w:bookmarkEnd w:id="58"/>
      <w:bookmarkEnd w:id="59"/>
      <w:bookmarkEnd w:id="60"/>
    </w:p>
    <w:p>
      <w:pPr>
        <w:spacing w:before="100" w:beforeAutospacing="1" w:after="100" w:afterAutospacing="1"/>
        <w:jc w:val="both"/>
        <w:rPr>
          <w:rFonts w:cs="Calibri"/>
          <w:lang w:val="sr-Latn-RS" w:eastAsia="sr-Latn-CS"/>
        </w:rPr>
      </w:pPr>
      <w:r>
        <w:rPr>
          <w:rFonts w:cs="Calibri"/>
          <w:lang w:val="sr-Latn-RS" w:eastAsia="sr-Latn-CS"/>
        </w:rPr>
        <w:t xml:space="preserve">Удружења грађана </w:t>
      </w:r>
      <w:r>
        <w:rPr>
          <w:rFonts w:cs="Calibri"/>
          <w:lang w:val="sr-Cyrl-CS" w:eastAsia="sr-Latn-CS"/>
        </w:rPr>
        <w:t>као добровољне, непрофитне, нестраначке и најчешће хуманитарне организације приликом регистровања наводе широк спектар дјелатности, а током рада теже да своје активности, у највећем дијелу, реализују конкретно у једној области по којој настоје бити препознатљиви и дати допринос развоју „цивилног друштва“. Удружења грађана имају улогу у изражавању, за грађане значајних интереса и ставова, како у локалној заједници тако и друштву у цјелини и могу да допринесу подизању свијести грађана о важности њиховог учешћа у друштвеним догађањима и унапређењу сарадње са јавним институцијама. Такође, удружења грађана и друге организације цивилног друштва које реализују одређене развојне пројекте и баве се пружањем услуга, својим активностима доприносе задовољавању различитих потреба грађана и остваривању одређених промјена у локалној заједници и шире.</w:t>
      </w:r>
    </w:p>
    <w:p>
      <w:pPr>
        <w:spacing w:before="100" w:beforeAutospacing="1" w:after="100" w:afterAutospacing="1"/>
        <w:jc w:val="both"/>
        <w:rPr>
          <w:rFonts w:cs="Calibri"/>
          <w:lang w:val="sr-Cyrl-CS" w:eastAsia="sr-Latn-CS"/>
        </w:rPr>
      </w:pPr>
      <w:r>
        <w:rPr>
          <w:rFonts w:cs="Calibri"/>
          <w:lang w:val="sr-Latn-RS" w:eastAsia="sr-Latn-CS"/>
        </w:rPr>
        <w:t>На подручју града Бање Луке цивилн</w:t>
      </w:r>
      <w:r>
        <w:rPr>
          <w:rFonts w:cs="Calibri"/>
          <w:lang w:val="sr-Cyrl-CS" w:eastAsia="sr-Latn-CS"/>
        </w:rPr>
        <w:t xml:space="preserve">и сектор </w:t>
      </w:r>
      <w:r>
        <w:rPr>
          <w:rFonts w:cs="Calibri"/>
          <w:lang w:val="sr-Latn-RS" w:eastAsia="sr-Latn-CS"/>
        </w:rPr>
        <w:t xml:space="preserve"> је остварио значајан ниво развоја у оквиру којег </w:t>
      </w:r>
      <w:r>
        <w:rPr>
          <w:rFonts w:cs="Calibri"/>
          <w:lang w:val="sr-Cyrl-CS" w:eastAsia="sr-Latn-CS"/>
        </w:rPr>
        <w:t xml:space="preserve">се издвојио дио </w:t>
      </w:r>
      <w:r>
        <w:rPr>
          <w:rFonts w:cs="Calibri"/>
          <w:lang w:val="sr-Latn-RS" w:eastAsia="sr-Latn-CS"/>
        </w:rPr>
        <w:t xml:space="preserve">удружења која су својим радом и активностима значајно утицала на задовољавање потреба и квалитет живота грађана, те се могу посматрати као партнери Града и градских јавних установа у сервисирању потреба грађана на локалном нивоу. </w:t>
      </w:r>
    </w:p>
    <w:p>
      <w:pPr>
        <w:spacing w:before="100" w:beforeAutospacing="1" w:after="100" w:afterAutospacing="1"/>
        <w:jc w:val="both"/>
        <w:rPr>
          <w:rFonts w:cs="Calibri"/>
          <w:lang w:val="sr-Cyrl-CS" w:eastAsia="sr-Latn-CS"/>
        </w:rPr>
      </w:pPr>
      <w:r>
        <w:rPr>
          <w:rFonts w:cs="Calibri"/>
          <w:lang w:val="sr-Cyrl-CS" w:eastAsia="sr-Latn-CS"/>
        </w:rPr>
        <w:t xml:space="preserve">До децембра 2017. године, Градска управа је званично евидентирала око 440 удружења грађана, а запажено је да се њихов број константно повећава. На основу континуиране сарадње са удружењима, може се процијенити да нису сва удружења једнако активна,  с обзиром да </w:t>
      </w:r>
      <w:r>
        <w:rPr>
          <w:rFonts w:cs="Calibri"/>
          <w:lang w:val="sr-Latn-RS" w:eastAsia="sr-Latn-CS"/>
        </w:rPr>
        <w:t>је један број удружења стагнирао у погледу реализације програмских активности</w:t>
      </w:r>
      <w:r>
        <w:rPr>
          <w:rFonts w:cs="Calibri"/>
          <w:lang w:val="sr-Cyrl-CS" w:eastAsia="sr-Latn-CS"/>
        </w:rPr>
        <w:t xml:space="preserve">, или у </w:t>
      </w:r>
      <w:r>
        <w:rPr>
          <w:rFonts w:cs="Calibri"/>
          <w:lang w:val="sr-Latn-RS" w:eastAsia="sr-Latn-CS"/>
        </w:rPr>
        <w:t xml:space="preserve">претходном периоду </w:t>
      </w:r>
      <w:r>
        <w:rPr>
          <w:rFonts w:cs="Calibri"/>
          <w:lang w:val="sr-Cyrl-CS" w:eastAsia="sr-Latn-CS"/>
        </w:rPr>
        <w:t xml:space="preserve">нису </w:t>
      </w:r>
      <w:r>
        <w:rPr>
          <w:rFonts w:cs="Calibri"/>
          <w:lang w:val="sr-Latn-RS" w:eastAsia="sr-Latn-CS"/>
        </w:rPr>
        <w:t>остваривали сарадњу са Градом</w:t>
      </w:r>
      <w:r>
        <w:rPr>
          <w:rFonts w:cs="Calibri"/>
          <w:lang w:val="sr-Cyrl-CS" w:eastAsia="sr-Latn-CS"/>
        </w:rPr>
        <w:t xml:space="preserve">, а постоје и они који су формално-правно још увијек регистровани али су прекинули своје активности. </w:t>
      </w:r>
    </w:p>
    <w:p>
      <w:pPr>
        <w:spacing w:before="100" w:beforeAutospacing="1" w:after="100" w:afterAutospacing="1"/>
        <w:jc w:val="both"/>
        <w:rPr>
          <w:rFonts w:cs="Calibri"/>
          <w:lang w:val="sr-Cyrl-CS" w:eastAsia="sr-Latn-CS"/>
        </w:rPr>
      </w:pPr>
      <w:r>
        <w:rPr>
          <w:rFonts w:cs="Calibri"/>
          <w:lang w:val="sr-Cyrl-CS" w:eastAsia="sr-Latn-CS"/>
        </w:rPr>
        <w:t>С друге стране, у</w:t>
      </w:r>
      <w:r>
        <w:rPr>
          <w:rFonts w:cs="Calibri"/>
          <w:lang w:val="sr-Latn-RS" w:eastAsia="sr-Latn-CS"/>
        </w:rPr>
        <w:t xml:space="preserve">очено је да постоје </w:t>
      </w:r>
      <w:r>
        <w:rPr>
          <w:rFonts w:cs="Calibri"/>
          <w:lang w:val="sr-Cyrl-CS" w:eastAsia="sr-Latn-CS"/>
        </w:rPr>
        <w:t>удружења</w:t>
      </w:r>
      <w:r>
        <w:rPr>
          <w:rFonts w:cs="Calibri"/>
          <w:lang w:val="sr-Latn-RS" w:eastAsia="sr-Latn-CS"/>
        </w:rPr>
        <w:t xml:space="preserve"> кој</w:t>
      </w:r>
      <w:r>
        <w:rPr>
          <w:rFonts w:cs="Calibri"/>
          <w:lang w:val="sr-Cyrl-CS" w:eastAsia="sr-Latn-CS"/>
        </w:rPr>
        <w:t>а</w:t>
      </w:r>
      <w:r>
        <w:rPr>
          <w:rFonts w:cs="Calibri"/>
          <w:lang w:val="sr-Latn-RS" w:eastAsia="sr-Latn-CS"/>
        </w:rPr>
        <w:t xml:space="preserve"> својим активностима и имплементацијом пројеката значајно доприносе рјешавању проблема и задовољавању потреба крајњих корисника, односно локалног становништва, било да пројекте и друге активности реализују у партнерству са Градом или другим партнером из јавног сектора</w:t>
      </w:r>
      <w:r>
        <w:rPr>
          <w:rFonts w:cs="Calibri"/>
          <w:lang w:val="sr-Cyrl-CS" w:eastAsia="sr-Latn-CS"/>
        </w:rPr>
        <w:t xml:space="preserve">. </w:t>
      </w:r>
      <w:r>
        <w:rPr>
          <w:rFonts w:cs="Calibri"/>
          <w:lang w:val="sr-Latn-RS" w:eastAsia="sr-Latn-CS"/>
        </w:rPr>
        <w:t xml:space="preserve">Неке од организација које су сродне по својим циљевима, као </w:t>
      </w:r>
      <w:r>
        <w:rPr>
          <w:rFonts w:cs="Calibri"/>
          <w:lang w:val="sr-Cyrl-CS" w:eastAsia="sr-Latn-CS"/>
        </w:rPr>
        <w:t xml:space="preserve">нпр. </w:t>
      </w:r>
      <w:r>
        <w:rPr>
          <w:rFonts w:cs="Calibri"/>
          <w:lang w:val="sr-Latn-RS" w:eastAsia="sr-Latn-CS"/>
        </w:rPr>
        <w:t> организације инвалидних лица, су умреж</w:t>
      </w:r>
      <w:r>
        <w:rPr>
          <w:rFonts w:cs="Calibri"/>
          <w:lang w:val="sr-Cyrl-RS" w:eastAsia="sr-Latn-CS"/>
        </w:rPr>
        <w:t>е</w:t>
      </w:r>
      <w:r>
        <w:rPr>
          <w:rFonts w:cs="Calibri"/>
          <w:lang w:val="sr-Latn-RS" w:eastAsia="sr-Latn-CS"/>
        </w:rPr>
        <w:t xml:space="preserve">не и често наступају заједно у </w:t>
      </w:r>
      <w:r>
        <w:rPr>
          <w:rFonts w:cs="Calibri"/>
          <w:lang w:val="sr-Cyrl-CS" w:eastAsia="sr-Latn-CS"/>
        </w:rPr>
        <w:t>реализацији пројеката и активности</w:t>
      </w:r>
      <w:r>
        <w:rPr>
          <w:rFonts w:cs="Calibri"/>
          <w:lang w:val="sr-Latn-RS" w:eastAsia="sr-Latn-CS"/>
        </w:rPr>
        <w:t>, те на тај начин постижу знатно боље ефекте дјеловања и већи степен задовољства корисника њихових услуга.</w:t>
      </w:r>
    </w:p>
    <w:p>
      <w:pPr>
        <w:spacing w:before="100" w:beforeAutospacing="1" w:after="100" w:afterAutospacing="1"/>
        <w:jc w:val="both"/>
        <w:rPr>
          <w:rFonts w:eastAsia="Times New Roman" w:cs="Calibri"/>
          <w:lang w:val="sr-Cyrl-CS" w:eastAsia="sr-Latn-CS"/>
        </w:rPr>
      </w:pPr>
      <w:r>
        <w:rPr>
          <w:rFonts w:cs="Calibri"/>
          <w:lang w:val="sr-Cyrl-CS" w:eastAsia="sr-Latn-CS"/>
        </w:rPr>
        <w:t xml:space="preserve">Од укупног броја удружења статус удружења од интереса за Град утврђен је Одлуком Скупштине Града Бања Лука („Службени гласник Града Бања Лука 8/17)  за </w:t>
      </w:r>
      <w:r>
        <w:rPr>
          <w:rFonts w:cs="Calibri"/>
          <w:lang w:val="sr-Latn-RS" w:eastAsia="sr-Latn-CS"/>
        </w:rPr>
        <w:t>34 удружења грађана</w:t>
      </w:r>
      <w:r>
        <w:rPr>
          <w:rFonts w:cs="Calibri"/>
          <w:lang w:val="sr-Cyrl-CS" w:eastAsia="sr-Latn-CS"/>
        </w:rPr>
        <w:t xml:space="preserve"> из области: с</w:t>
      </w:r>
      <w:r>
        <w:rPr>
          <w:rFonts w:eastAsia="Times New Roman" w:cs="Calibri"/>
          <w:lang w:val="sr-Latn-RS" w:eastAsia="sr-Latn-CS"/>
        </w:rPr>
        <w:t>оцијална заштита – помоћ сиромашним и социјално угроженим, помоћ инвалидима, дјеци и старим особама</w:t>
      </w:r>
      <w:r>
        <w:rPr>
          <w:rFonts w:eastAsia="Times New Roman" w:cs="Calibri"/>
          <w:lang w:val="sr-Cyrl-CS" w:eastAsia="sr-Latn-CS"/>
        </w:rPr>
        <w:t>, з</w:t>
      </w:r>
      <w:r>
        <w:rPr>
          <w:rFonts w:eastAsia="Times New Roman" w:cs="Calibri"/>
          <w:lang w:val="sr-Latn-RS" w:eastAsia="sr-Latn-CS"/>
        </w:rPr>
        <w:t>дравств</w:t>
      </w:r>
      <w:r>
        <w:rPr>
          <w:rFonts w:eastAsia="Times New Roman" w:cs="Calibri"/>
          <w:lang w:val="sr-Cyrl-CS" w:eastAsia="sr-Latn-CS"/>
        </w:rPr>
        <w:t>а, н</w:t>
      </w:r>
      <w:r>
        <w:rPr>
          <w:rFonts w:eastAsia="Times New Roman" w:cs="Calibri"/>
          <w:lang w:val="sr-Latn-RS" w:eastAsia="sr-Latn-CS"/>
        </w:rPr>
        <w:t>ауке и образовањ</w:t>
      </w:r>
      <w:r>
        <w:rPr>
          <w:rFonts w:eastAsia="Times New Roman" w:cs="Calibri"/>
          <w:lang w:val="sr-Cyrl-CS" w:eastAsia="sr-Latn-CS"/>
        </w:rPr>
        <w:t>а, к</w:t>
      </w:r>
      <w:r>
        <w:rPr>
          <w:rFonts w:eastAsia="Times New Roman" w:cs="Calibri"/>
          <w:lang w:val="sr-Latn-RS" w:eastAsia="sr-Latn-CS"/>
        </w:rPr>
        <w:t>ултур</w:t>
      </w:r>
      <w:r>
        <w:rPr>
          <w:rFonts w:eastAsia="Times New Roman" w:cs="Calibri"/>
          <w:lang w:val="sr-Cyrl-CS" w:eastAsia="sr-Latn-CS"/>
        </w:rPr>
        <w:t>е, б</w:t>
      </w:r>
      <w:r>
        <w:rPr>
          <w:rFonts w:eastAsia="Times New Roman" w:cs="Calibri"/>
          <w:lang w:val="sr-Latn-RS" w:eastAsia="sr-Latn-CS"/>
        </w:rPr>
        <w:t>орачко-инвалидск</w:t>
      </w:r>
      <w:r>
        <w:rPr>
          <w:rFonts w:eastAsia="Times New Roman" w:cs="Calibri"/>
          <w:lang w:val="sr-Cyrl-CS" w:eastAsia="sr-Latn-CS"/>
        </w:rPr>
        <w:t>е</w:t>
      </w:r>
      <w:r>
        <w:rPr>
          <w:rFonts w:eastAsia="Times New Roman" w:cs="Calibri"/>
          <w:lang w:val="sr-Latn-RS" w:eastAsia="sr-Latn-CS"/>
        </w:rPr>
        <w:t xml:space="preserve"> заштит</w:t>
      </w:r>
      <w:r>
        <w:rPr>
          <w:rFonts w:eastAsia="Times New Roman" w:cs="Calibri"/>
          <w:lang w:val="sr-Cyrl-CS" w:eastAsia="sr-Latn-CS"/>
        </w:rPr>
        <w:t xml:space="preserve">е, </w:t>
      </w:r>
      <w:r>
        <w:rPr>
          <w:rFonts w:eastAsia="Times New Roman" w:cs="Calibri"/>
          <w:lang w:val="sr-Latn-RS" w:eastAsia="sr-Latn-CS"/>
        </w:rPr>
        <w:t>права мањина</w:t>
      </w:r>
      <w:r>
        <w:rPr>
          <w:rFonts w:eastAsia="Times New Roman" w:cs="Calibri"/>
          <w:lang w:val="sr-Cyrl-CS" w:eastAsia="sr-Latn-CS"/>
        </w:rPr>
        <w:t xml:space="preserve">. </w:t>
      </w:r>
    </w:p>
    <w:p>
      <w:pPr>
        <w:spacing w:before="100" w:beforeAutospacing="1" w:after="100" w:afterAutospacing="1"/>
        <w:jc w:val="both"/>
        <w:rPr>
          <w:rFonts w:eastAsia="Times New Roman" w:cs="Calibri"/>
          <w:lang w:val="sr-Cyrl-CS" w:eastAsia="sr-Latn-CS"/>
        </w:rPr>
      </w:pPr>
      <w:r>
        <w:rPr>
          <w:rFonts w:cs="Calibri"/>
          <w:lang w:val="sr-Cyrl-CS" w:eastAsia="sr-Latn-CS"/>
        </w:rPr>
        <w:t>На основу континуиране сарадње са удружењима грађана п</w:t>
      </w:r>
      <w:r>
        <w:rPr>
          <w:rFonts w:cs="Calibri"/>
          <w:lang w:val="sr-Latn-RS" w:eastAsia="sr-Latn-CS"/>
        </w:rPr>
        <w:t>оказало се да су најактивније организације које реализују пројекте из сљедећих области:</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Пружање различитих услуга социјално угроженим и рањивим групама;</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 xml:space="preserve">Социјално укључивање кроз дневне центре за различите групе корисника; </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Сузбијање и превенција болести зависности;</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Заштита од породичног насиља;</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 xml:space="preserve">Едукација дјеце и омладине; </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Заштита људских права</w:t>
      </w:r>
      <w:r>
        <w:rPr>
          <w:rFonts w:eastAsia="Times New Roman" w:cs="Calibri"/>
          <w:lang w:val="sr-Cyrl-CS" w:eastAsia="sr-Latn-CS"/>
        </w:rPr>
        <w:t xml:space="preserve">, </w:t>
      </w:r>
      <w:r>
        <w:rPr>
          <w:rFonts w:eastAsia="Times New Roman" w:cs="Calibri"/>
          <w:lang w:val="sr-Latn-RS" w:eastAsia="sr-Latn-CS"/>
        </w:rPr>
        <w:t> с акцентом на заштиту дјечијих права</w:t>
      </w:r>
      <w:r>
        <w:rPr>
          <w:rFonts w:eastAsia="Times New Roman" w:cs="Calibri"/>
          <w:lang w:val="sr-Cyrl-CS" w:eastAsia="sr-Latn-CS"/>
        </w:rPr>
        <w:t>;</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Cyrl-CS" w:eastAsia="sr-Latn-CS"/>
        </w:rPr>
        <w:t xml:space="preserve">Превенција болести и промоција здравља; </w:t>
      </w:r>
    </w:p>
    <w:p>
      <w:pPr>
        <w:numPr>
          <w:ilvl w:val="0"/>
          <w:numId w:val="27"/>
        </w:numPr>
        <w:spacing w:before="100" w:beforeAutospacing="1" w:after="100" w:afterAutospacing="1"/>
        <w:jc w:val="both"/>
        <w:rPr>
          <w:rFonts w:eastAsia="Times New Roman" w:cs="Calibri"/>
          <w:lang w:val="sr-Latn-RS" w:eastAsia="sr-Latn-CS"/>
        </w:rPr>
      </w:pPr>
      <w:r>
        <w:rPr>
          <w:rFonts w:eastAsia="Times New Roman" w:cs="Calibri"/>
          <w:lang w:val="sr-Cyrl-CS" w:eastAsia="sr-Latn-CS"/>
        </w:rPr>
        <w:t xml:space="preserve">Активности и догађаји с циљем афирмације културе. </w:t>
      </w:r>
    </w:p>
    <w:p>
      <w:pPr>
        <w:spacing w:before="100" w:beforeAutospacing="1" w:after="100" w:afterAutospacing="1"/>
        <w:jc w:val="both"/>
        <w:rPr>
          <w:rFonts w:eastAsia="Times New Roman" w:cs="Calibri"/>
          <w:lang w:val="sr-Cyrl-BA" w:eastAsia="sr-Latn-CS"/>
        </w:rPr>
      </w:pPr>
      <w:r>
        <w:rPr>
          <w:rFonts w:eastAsia="Times New Roman" w:cs="Calibri"/>
          <w:lang w:val="sr-Cyrl-BA" w:eastAsia="sr-Latn-CS"/>
        </w:rPr>
        <w:t>Пројекти и активности удружења грађана у зависности од програмских циљева и дјелатности у основи се (су)финансирају из средстава која су у буџету планирана на различитим ставкама буџета у оквиру потрошачких јединица, као што су: Одјељење за културу, туризам и социјалну политику, Одјељење за образовање, здравство, омладину и спорт и Одјељење за борачко-инвалидску заштиту</w:t>
      </w:r>
      <w:r>
        <w:rPr>
          <w:rFonts w:eastAsia="Times New Roman" w:cs="Calibri"/>
          <w:lang w:val="sr-Latn-RS" w:eastAsia="sr-Latn-CS"/>
        </w:rPr>
        <w:t xml:space="preserve"> </w:t>
      </w:r>
      <w:r>
        <w:rPr>
          <w:rFonts w:eastAsia="Times New Roman" w:cs="Calibri"/>
          <w:lang w:val="sr-Cyrl-RS" w:eastAsia="sr-Latn-CS"/>
        </w:rPr>
        <w:t>и др</w:t>
      </w:r>
      <w:r>
        <w:rPr>
          <w:rFonts w:eastAsia="Times New Roman" w:cs="Calibri"/>
          <w:lang w:val="sr-Cyrl-BA" w:eastAsia="sr-Latn-CS"/>
        </w:rPr>
        <w:t>. За период 2012-2016., издвајања за удружења из различитих области, осим борачко-инвалидске заштите, су била у оквиру Одјељења за друштвене дјелатности и дата су у наредној табели:</w:t>
      </w:r>
    </w:p>
    <w:p>
      <w:pPr>
        <w:spacing w:before="100" w:beforeAutospacing="1" w:after="100" w:afterAutospacing="1"/>
        <w:jc w:val="both"/>
        <w:rPr>
          <w:rFonts w:eastAsia="Times New Roman" w:cs="Calibri"/>
          <w:b/>
          <w:lang w:val="sr-Cyrl-RS" w:eastAsia="sr-Latn-CS"/>
        </w:rPr>
      </w:pPr>
      <w:r>
        <w:rPr>
          <w:rFonts w:eastAsia="Times New Roman" w:cs="Calibri"/>
          <w:b/>
          <w:lang w:val="sr-Cyrl-BA" w:eastAsia="sr-Latn-CS"/>
        </w:rPr>
        <w:t xml:space="preserve">Табела: </w:t>
      </w:r>
      <w:r>
        <w:rPr>
          <w:rFonts w:eastAsia="Times New Roman" w:cs="Calibri"/>
          <w:b/>
          <w:lang w:val="sr-Cyrl-RS" w:eastAsia="sr-Latn-CS"/>
        </w:rPr>
        <w:t>Издвајања из буџета Града за цивилни сектор</w:t>
      </w:r>
    </w:p>
    <w:tbl>
      <w:tblPr>
        <w:tblStyle w:val="36"/>
        <w:tblW w:w="9356" w:type="dxa"/>
        <w:jc w:val="center"/>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88"/>
        <w:gridCol w:w="2131"/>
        <w:gridCol w:w="3685"/>
        <w:gridCol w:w="255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77" w:hRule="atLeast"/>
          <w:jc w:val="center"/>
        </w:trPr>
        <w:tc>
          <w:tcPr>
            <w:tcW w:w="988" w:type="dxa"/>
            <w:vMerge w:val="restart"/>
            <w:tcBorders>
              <w:top w:val="single" w:color="FFFFFF" w:sz="4" w:space="0"/>
              <w:left w:val="single" w:color="FFFFFF" w:sz="4" w:space="0"/>
              <w:right w:val="nil"/>
            </w:tcBorders>
            <w:shd w:val="clear" w:color="auto" w:fill="385623" w:themeFill="accent6" w:themeFillShade="80"/>
          </w:tcPr>
          <w:p>
            <w:pPr>
              <w:jc w:val="center"/>
              <w:rPr>
                <w:b/>
                <w:bCs/>
                <w:color w:val="FFFFFF"/>
                <w:sz w:val="20"/>
                <w:szCs w:val="20"/>
                <w:lang w:val="sr-Cyrl-RS"/>
              </w:rPr>
            </w:pPr>
            <w:r>
              <w:rPr>
                <w:b/>
                <w:bCs/>
                <w:color w:val="FFFFFF"/>
                <w:sz w:val="20"/>
                <w:szCs w:val="20"/>
                <w:lang w:val="sr-Cyrl-RS"/>
              </w:rPr>
              <w:t>Период</w:t>
            </w:r>
          </w:p>
          <w:p>
            <w:pPr>
              <w:jc w:val="center"/>
              <w:rPr>
                <w:b/>
                <w:bCs/>
                <w:color w:val="FFFFFF"/>
                <w:sz w:val="20"/>
                <w:szCs w:val="20"/>
                <w:lang w:val="sr-Cyrl-RS"/>
              </w:rPr>
            </w:pPr>
          </w:p>
        </w:tc>
        <w:tc>
          <w:tcPr>
            <w:tcW w:w="2131" w:type="dxa"/>
            <w:vMerge w:val="restart"/>
            <w:tcBorders>
              <w:top w:val="single" w:color="FFFFFF" w:sz="4" w:space="0"/>
              <w:left w:val="nil"/>
              <w:right w:val="nil"/>
            </w:tcBorders>
            <w:shd w:val="clear" w:color="auto" w:fill="385623" w:themeFill="accent6" w:themeFillShade="80"/>
          </w:tcPr>
          <w:p>
            <w:pPr>
              <w:jc w:val="center"/>
              <w:rPr>
                <w:b/>
                <w:bCs/>
                <w:color w:val="FFFFFF"/>
                <w:sz w:val="20"/>
                <w:szCs w:val="20"/>
                <w:lang w:val="sr-Cyrl-RS"/>
              </w:rPr>
            </w:pPr>
            <w:r>
              <w:rPr>
                <w:b/>
                <w:bCs/>
                <w:color w:val="FFFFFF"/>
                <w:sz w:val="20"/>
                <w:szCs w:val="20"/>
                <w:lang w:val="sr-Cyrl-RS"/>
              </w:rPr>
              <w:t>Буџет Града</w:t>
            </w:r>
          </w:p>
        </w:tc>
        <w:tc>
          <w:tcPr>
            <w:tcW w:w="3685" w:type="dxa"/>
            <w:tcBorders>
              <w:top w:val="single" w:color="FFFFFF" w:sz="4" w:space="0"/>
              <w:left w:val="nil"/>
              <w:right w:val="single" w:color="auto" w:sz="4" w:space="0"/>
            </w:tcBorders>
            <w:shd w:val="clear" w:color="auto" w:fill="385623" w:themeFill="accent6" w:themeFillShade="80"/>
          </w:tcPr>
          <w:p>
            <w:pPr>
              <w:jc w:val="center"/>
              <w:rPr>
                <w:b/>
                <w:bCs/>
                <w:color w:val="FFFFFF"/>
                <w:sz w:val="20"/>
                <w:szCs w:val="20"/>
                <w:lang w:val="sr-Cyrl-CS"/>
              </w:rPr>
            </w:pPr>
            <w:r>
              <w:rPr>
                <w:b/>
                <w:bCs/>
                <w:color w:val="FFFFFF"/>
                <w:sz w:val="20"/>
                <w:szCs w:val="20"/>
                <w:lang w:val="sr-Cyrl-CS"/>
              </w:rPr>
              <w:t xml:space="preserve">Средства за активности, пројекте и услуге удружења грађана  </w:t>
            </w:r>
          </w:p>
          <w:p>
            <w:pPr>
              <w:jc w:val="center"/>
              <w:rPr>
                <w:b/>
                <w:bCs/>
                <w:color w:val="FFFFFF"/>
                <w:sz w:val="20"/>
                <w:szCs w:val="20"/>
                <w:lang w:val="sr-Cyrl-CS"/>
              </w:rPr>
            </w:pPr>
            <w:r>
              <w:rPr>
                <w:b/>
                <w:bCs/>
                <w:color w:val="FFFFFF"/>
                <w:sz w:val="20"/>
                <w:szCs w:val="20"/>
                <w:lang w:val="sr-Cyrl-CS"/>
              </w:rPr>
              <w:t>(из средстава  Одјењења за друштвене дјелатности до 2016.)</w:t>
            </w:r>
          </w:p>
        </w:tc>
        <w:tc>
          <w:tcPr>
            <w:tcW w:w="2552" w:type="dxa"/>
            <w:tcBorders>
              <w:top w:val="single" w:color="FFFFFF" w:sz="4" w:space="0"/>
              <w:left w:val="nil"/>
              <w:right w:val="single" w:color="auto" w:sz="4" w:space="0"/>
            </w:tcBorders>
            <w:shd w:val="clear" w:color="auto" w:fill="385623" w:themeFill="accent6" w:themeFillShade="80"/>
          </w:tcPr>
          <w:p>
            <w:pPr>
              <w:jc w:val="center"/>
              <w:rPr>
                <w:b/>
                <w:bCs/>
                <w:color w:val="FFFFFF"/>
                <w:sz w:val="20"/>
                <w:szCs w:val="20"/>
                <w:lang w:val="sr-Cyrl-CS"/>
              </w:rPr>
            </w:pPr>
            <w:r>
              <w:rPr>
                <w:b/>
                <w:bCs/>
                <w:color w:val="FFFFFF"/>
                <w:sz w:val="20"/>
                <w:szCs w:val="20"/>
                <w:lang w:val="sr-Cyrl-CS"/>
              </w:rPr>
              <w:t xml:space="preserve">% </w:t>
            </w:r>
          </w:p>
          <w:p>
            <w:pPr>
              <w:jc w:val="center"/>
              <w:rPr>
                <w:b/>
                <w:bCs/>
                <w:color w:val="FFFFFF"/>
                <w:sz w:val="20"/>
                <w:szCs w:val="20"/>
                <w:lang w:val="sr-Cyrl-CS"/>
              </w:rPr>
            </w:pPr>
            <w:r>
              <w:rPr>
                <w:b/>
                <w:bCs/>
                <w:color w:val="FFFFFF"/>
                <w:sz w:val="20"/>
                <w:szCs w:val="20"/>
                <w:lang w:val="sr-Cyrl-CS"/>
              </w:rPr>
              <w:t xml:space="preserve">у односу на </w:t>
            </w:r>
          </w:p>
          <w:p>
            <w:pPr>
              <w:jc w:val="center"/>
              <w:rPr>
                <w:b/>
                <w:bCs/>
                <w:color w:val="FFFFFF"/>
                <w:sz w:val="20"/>
                <w:szCs w:val="20"/>
                <w:lang w:val="sr-Latn-CS"/>
              </w:rPr>
            </w:pPr>
            <w:r>
              <w:rPr>
                <w:b/>
                <w:bCs/>
                <w:color w:val="FFFFFF"/>
                <w:sz w:val="20"/>
                <w:szCs w:val="20"/>
                <w:lang w:val="sr-Cyrl-CS"/>
              </w:rPr>
              <w:t>буџет Града</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70" w:hRule="atLeast"/>
          <w:jc w:val="center"/>
        </w:trPr>
        <w:tc>
          <w:tcPr>
            <w:tcW w:w="988" w:type="dxa"/>
            <w:vMerge w:val="continue"/>
            <w:tcBorders>
              <w:left w:val="single" w:color="FFFFFF" w:sz="4" w:space="0"/>
            </w:tcBorders>
            <w:shd w:val="clear" w:color="auto" w:fill="5B9BD5"/>
          </w:tcPr>
          <w:p>
            <w:pPr>
              <w:jc w:val="both"/>
              <w:rPr>
                <w:b/>
                <w:bCs/>
                <w:color w:val="FFFFFF"/>
                <w:sz w:val="20"/>
                <w:szCs w:val="20"/>
              </w:rPr>
            </w:pPr>
          </w:p>
        </w:tc>
        <w:tc>
          <w:tcPr>
            <w:tcW w:w="2131" w:type="dxa"/>
            <w:vMerge w:val="continue"/>
            <w:shd w:val="clear" w:color="auto" w:fill="BDD6EE"/>
          </w:tcPr>
          <w:p>
            <w:pPr>
              <w:jc w:val="both"/>
              <w:rPr>
                <w:sz w:val="20"/>
                <w:szCs w:val="20"/>
              </w:rPr>
            </w:pPr>
          </w:p>
        </w:tc>
        <w:tc>
          <w:tcPr>
            <w:tcW w:w="6237" w:type="dxa"/>
            <w:gridSpan w:val="2"/>
            <w:shd w:val="clear" w:color="auto" w:fill="A8D08D" w:themeFill="accent6" w:themeFillTint="99"/>
          </w:tcPr>
          <w:p>
            <w:pPr>
              <w:jc w:val="center"/>
              <w:rPr>
                <w:sz w:val="20"/>
                <w:szCs w:val="20"/>
                <w:lang w:val="sr-Cyrl-RS"/>
              </w:rPr>
            </w:pPr>
            <w:r>
              <w:rPr>
                <w:b/>
                <w:sz w:val="20"/>
                <w:szCs w:val="20"/>
                <w:lang w:val="sr-Cyrl-RS"/>
              </w:rPr>
              <w:t>Додјељена средства</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9" w:hRule="atLeast"/>
          <w:jc w:val="center"/>
        </w:trPr>
        <w:tc>
          <w:tcPr>
            <w:tcW w:w="988" w:type="dxa"/>
            <w:tcBorders>
              <w:lef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2012</w:t>
            </w:r>
          </w:p>
        </w:tc>
        <w:tc>
          <w:tcPr>
            <w:tcW w:w="2131" w:type="dxa"/>
            <w:shd w:val="clear" w:color="auto" w:fill="E2EFD9" w:themeFill="accent6" w:themeFillTint="33"/>
          </w:tcPr>
          <w:p>
            <w:pPr>
              <w:jc w:val="center"/>
              <w:rPr>
                <w:sz w:val="20"/>
                <w:szCs w:val="20"/>
                <w:lang w:val="sr-Cyrl-CS"/>
              </w:rPr>
            </w:pPr>
            <w:r>
              <w:rPr>
                <w:sz w:val="20"/>
                <w:szCs w:val="20"/>
              </w:rPr>
              <w:t>177.476.000,00</w:t>
            </w:r>
          </w:p>
        </w:tc>
        <w:tc>
          <w:tcPr>
            <w:tcW w:w="3685" w:type="dxa"/>
            <w:shd w:val="clear" w:color="auto" w:fill="E2EFD9" w:themeFill="accent6" w:themeFillTint="33"/>
          </w:tcPr>
          <w:p>
            <w:pPr>
              <w:jc w:val="center"/>
              <w:rPr>
                <w:sz w:val="20"/>
                <w:szCs w:val="20"/>
                <w:lang w:val="sr-Cyrl-CS"/>
              </w:rPr>
            </w:pPr>
            <w:r>
              <w:rPr>
                <w:sz w:val="20"/>
                <w:szCs w:val="20"/>
                <w:lang w:val="sr-Cyrl-CS"/>
              </w:rPr>
              <w:t>1.621.493.36</w:t>
            </w:r>
          </w:p>
        </w:tc>
        <w:tc>
          <w:tcPr>
            <w:tcW w:w="2552" w:type="dxa"/>
            <w:shd w:val="clear" w:color="auto" w:fill="E2EFD9" w:themeFill="accent6" w:themeFillTint="33"/>
          </w:tcPr>
          <w:p>
            <w:pPr>
              <w:jc w:val="center"/>
              <w:rPr>
                <w:i/>
                <w:sz w:val="20"/>
                <w:szCs w:val="20"/>
                <w:lang w:val="sr-Cyrl-RS"/>
              </w:rPr>
            </w:pPr>
            <w:r>
              <w:rPr>
                <w:sz w:val="20"/>
                <w:szCs w:val="20"/>
                <w:lang w:val="sr-Cyrl-RS"/>
              </w:rPr>
              <w:t>0,9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jc w:val="center"/>
        </w:trPr>
        <w:tc>
          <w:tcPr>
            <w:tcW w:w="988" w:type="dxa"/>
            <w:tcBorders>
              <w:lef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2013</w:t>
            </w:r>
          </w:p>
        </w:tc>
        <w:tc>
          <w:tcPr>
            <w:tcW w:w="2131" w:type="dxa"/>
            <w:shd w:val="clear" w:color="auto" w:fill="C5E0B3" w:themeFill="accent6" w:themeFillTint="66"/>
          </w:tcPr>
          <w:p>
            <w:pPr>
              <w:jc w:val="center"/>
              <w:rPr>
                <w:sz w:val="20"/>
                <w:szCs w:val="20"/>
              </w:rPr>
            </w:pPr>
            <w:r>
              <w:rPr>
                <w:sz w:val="20"/>
                <w:szCs w:val="20"/>
              </w:rPr>
              <w:t>180.932.000,00</w:t>
            </w:r>
          </w:p>
        </w:tc>
        <w:tc>
          <w:tcPr>
            <w:tcW w:w="3685" w:type="dxa"/>
            <w:shd w:val="clear" w:color="auto" w:fill="C5E0B3" w:themeFill="accent6" w:themeFillTint="66"/>
          </w:tcPr>
          <w:p>
            <w:pPr>
              <w:jc w:val="center"/>
              <w:rPr>
                <w:sz w:val="20"/>
                <w:szCs w:val="20"/>
                <w:lang w:val="sr-Cyrl-CS"/>
              </w:rPr>
            </w:pPr>
            <w:r>
              <w:rPr>
                <w:sz w:val="20"/>
                <w:szCs w:val="20"/>
                <w:lang w:val="sr-Cyrl-CS"/>
              </w:rPr>
              <w:t>1.506.222,00</w:t>
            </w:r>
          </w:p>
        </w:tc>
        <w:tc>
          <w:tcPr>
            <w:tcW w:w="2552" w:type="dxa"/>
            <w:shd w:val="clear" w:color="auto" w:fill="C5E0B3" w:themeFill="accent6" w:themeFillTint="66"/>
          </w:tcPr>
          <w:p>
            <w:pPr>
              <w:jc w:val="center"/>
              <w:rPr>
                <w:sz w:val="20"/>
                <w:szCs w:val="20"/>
                <w:lang w:val="sr-Cyrl-RS"/>
              </w:rPr>
            </w:pPr>
            <w:r>
              <w:rPr>
                <w:sz w:val="20"/>
                <w:szCs w:val="20"/>
                <w:lang w:val="sr-Cyrl-RS"/>
              </w:rPr>
              <w:t>0,8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jc w:val="center"/>
        </w:trPr>
        <w:tc>
          <w:tcPr>
            <w:tcW w:w="988" w:type="dxa"/>
            <w:tcBorders>
              <w:lef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2014</w:t>
            </w:r>
          </w:p>
        </w:tc>
        <w:tc>
          <w:tcPr>
            <w:tcW w:w="2131" w:type="dxa"/>
            <w:shd w:val="clear" w:color="auto" w:fill="E2EFD9" w:themeFill="accent6" w:themeFillTint="33"/>
          </w:tcPr>
          <w:p>
            <w:pPr>
              <w:jc w:val="center"/>
              <w:rPr>
                <w:sz w:val="20"/>
                <w:szCs w:val="20"/>
              </w:rPr>
            </w:pPr>
            <w:r>
              <w:rPr>
                <w:sz w:val="20"/>
                <w:szCs w:val="20"/>
              </w:rPr>
              <w:t>121.669.200,00</w:t>
            </w:r>
          </w:p>
        </w:tc>
        <w:tc>
          <w:tcPr>
            <w:tcW w:w="3685" w:type="dxa"/>
            <w:shd w:val="clear" w:color="auto" w:fill="E2EFD9" w:themeFill="accent6" w:themeFillTint="33"/>
          </w:tcPr>
          <w:p>
            <w:pPr>
              <w:jc w:val="center"/>
              <w:rPr>
                <w:sz w:val="20"/>
                <w:szCs w:val="20"/>
                <w:lang w:val="sr-Cyrl-CS"/>
              </w:rPr>
            </w:pPr>
            <w:r>
              <w:rPr>
                <w:sz w:val="20"/>
                <w:szCs w:val="20"/>
                <w:lang w:val="sr-Cyrl-CS"/>
              </w:rPr>
              <w:t>1.493.840,00</w:t>
            </w:r>
          </w:p>
        </w:tc>
        <w:tc>
          <w:tcPr>
            <w:tcW w:w="2552" w:type="dxa"/>
            <w:shd w:val="clear" w:color="auto" w:fill="E2EFD9" w:themeFill="accent6" w:themeFillTint="33"/>
          </w:tcPr>
          <w:p>
            <w:pPr>
              <w:jc w:val="center"/>
              <w:rPr>
                <w:sz w:val="20"/>
                <w:szCs w:val="20"/>
                <w:lang w:val="sr-Cyrl-CS"/>
              </w:rPr>
            </w:pPr>
            <w:r>
              <w:rPr>
                <w:sz w:val="20"/>
                <w:szCs w:val="20"/>
                <w:lang w:val="sr-Cyrl-CS"/>
              </w:rPr>
              <w:t>1,2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jc w:val="center"/>
        </w:trPr>
        <w:tc>
          <w:tcPr>
            <w:tcW w:w="988" w:type="dxa"/>
            <w:tcBorders>
              <w:left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2015</w:t>
            </w:r>
          </w:p>
        </w:tc>
        <w:tc>
          <w:tcPr>
            <w:tcW w:w="2131" w:type="dxa"/>
            <w:shd w:val="clear" w:color="auto" w:fill="C5E0B3" w:themeFill="accent6" w:themeFillTint="66"/>
          </w:tcPr>
          <w:p>
            <w:pPr>
              <w:jc w:val="center"/>
              <w:rPr>
                <w:sz w:val="20"/>
                <w:szCs w:val="20"/>
              </w:rPr>
            </w:pPr>
            <w:r>
              <w:rPr>
                <w:sz w:val="20"/>
                <w:szCs w:val="20"/>
              </w:rPr>
              <w:t>118.049.000,00</w:t>
            </w:r>
          </w:p>
        </w:tc>
        <w:tc>
          <w:tcPr>
            <w:tcW w:w="3685" w:type="dxa"/>
            <w:shd w:val="clear" w:color="auto" w:fill="C5E0B3" w:themeFill="accent6" w:themeFillTint="66"/>
          </w:tcPr>
          <w:p>
            <w:pPr>
              <w:jc w:val="center"/>
              <w:rPr>
                <w:sz w:val="20"/>
                <w:szCs w:val="20"/>
                <w:lang w:val="sr-Cyrl-CS"/>
              </w:rPr>
            </w:pPr>
            <w:r>
              <w:rPr>
                <w:sz w:val="20"/>
                <w:szCs w:val="20"/>
                <w:lang w:val="sr-Cyrl-CS"/>
              </w:rPr>
              <w:t>1.070.000,00</w:t>
            </w:r>
          </w:p>
        </w:tc>
        <w:tc>
          <w:tcPr>
            <w:tcW w:w="2552" w:type="dxa"/>
            <w:shd w:val="clear" w:color="auto" w:fill="C5E0B3" w:themeFill="accent6" w:themeFillTint="66"/>
          </w:tcPr>
          <w:p>
            <w:pPr>
              <w:jc w:val="center"/>
              <w:rPr>
                <w:sz w:val="20"/>
                <w:szCs w:val="20"/>
                <w:lang w:val="sr-Cyrl-CS"/>
              </w:rPr>
            </w:pPr>
            <w:r>
              <w:rPr>
                <w:sz w:val="20"/>
                <w:szCs w:val="20"/>
                <w:lang w:val="sr-Cyrl-CS"/>
              </w:rPr>
              <w:t>0,9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jc w:val="center"/>
        </w:trPr>
        <w:tc>
          <w:tcPr>
            <w:tcW w:w="988" w:type="dxa"/>
            <w:tcBorders>
              <w:left w:val="single" w:color="FFFFFF" w:sz="4" w:space="0"/>
              <w:bottom w:val="single" w:color="FFFFFF" w:sz="4" w:space="0"/>
            </w:tcBorders>
            <w:shd w:val="clear" w:color="auto" w:fill="A8D08D" w:themeFill="accent6" w:themeFillTint="99"/>
          </w:tcPr>
          <w:p>
            <w:pPr>
              <w:jc w:val="center"/>
              <w:rPr>
                <w:b/>
                <w:bCs/>
                <w:sz w:val="20"/>
                <w:szCs w:val="20"/>
                <w:lang w:val="sr-Cyrl-RS"/>
              </w:rPr>
            </w:pPr>
            <w:r>
              <w:rPr>
                <w:b/>
                <w:bCs/>
                <w:sz w:val="20"/>
                <w:szCs w:val="20"/>
                <w:lang w:val="sr-Cyrl-RS"/>
              </w:rPr>
              <w:t>2016</w:t>
            </w:r>
          </w:p>
        </w:tc>
        <w:tc>
          <w:tcPr>
            <w:tcW w:w="2131" w:type="dxa"/>
            <w:shd w:val="clear" w:color="auto" w:fill="E2EFD9" w:themeFill="accent6" w:themeFillTint="33"/>
          </w:tcPr>
          <w:p>
            <w:pPr>
              <w:jc w:val="center"/>
              <w:rPr>
                <w:sz w:val="20"/>
                <w:szCs w:val="20"/>
              </w:rPr>
            </w:pPr>
            <w:r>
              <w:rPr>
                <w:sz w:val="20"/>
                <w:szCs w:val="20"/>
              </w:rPr>
              <w:t>128.270.000,00</w:t>
            </w:r>
          </w:p>
        </w:tc>
        <w:tc>
          <w:tcPr>
            <w:tcW w:w="3685" w:type="dxa"/>
            <w:shd w:val="clear" w:color="auto" w:fill="E2EFD9" w:themeFill="accent6" w:themeFillTint="33"/>
          </w:tcPr>
          <w:p>
            <w:pPr>
              <w:jc w:val="center"/>
              <w:rPr>
                <w:sz w:val="20"/>
                <w:szCs w:val="20"/>
              </w:rPr>
            </w:pPr>
            <w:r>
              <w:rPr>
                <w:sz w:val="20"/>
                <w:szCs w:val="20"/>
                <w:lang w:val="sr-Cyrl-CS"/>
              </w:rPr>
              <w:t>1.122.000,00</w:t>
            </w:r>
          </w:p>
        </w:tc>
        <w:tc>
          <w:tcPr>
            <w:tcW w:w="2552" w:type="dxa"/>
            <w:shd w:val="clear" w:color="auto" w:fill="E2EFD9" w:themeFill="accent6" w:themeFillTint="33"/>
          </w:tcPr>
          <w:p>
            <w:pPr>
              <w:jc w:val="center"/>
              <w:rPr>
                <w:sz w:val="20"/>
                <w:szCs w:val="20"/>
                <w:lang w:val="sr-Cyrl-CS"/>
              </w:rPr>
            </w:pPr>
            <w:r>
              <w:rPr>
                <w:sz w:val="20"/>
                <w:szCs w:val="20"/>
                <w:lang w:val="sr-Cyrl-CS"/>
              </w:rPr>
              <w:t>0,8</w:t>
            </w:r>
          </w:p>
        </w:tc>
      </w:tr>
    </w:tbl>
    <w:p>
      <w:pPr>
        <w:pStyle w:val="13"/>
        <w:spacing w:before="120" w:after="120"/>
        <w:jc w:val="both"/>
        <w:rPr>
          <w:i/>
          <w:sz w:val="18"/>
          <w:szCs w:val="22"/>
          <w:lang w:val="sr-Cyrl-CS"/>
        </w:rPr>
      </w:pPr>
      <w:r>
        <w:rPr>
          <w:i/>
          <w:sz w:val="18"/>
          <w:szCs w:val="22"/>
          <w:lang w:val="sr-Cyrl-CS"/>
        </w:rPr>
        <w:t xml:space="preserve">Извор: Одлука о буџету Града Бања Луке </w:t>
      </w:r>
    </w:p>
    <w:p>
      <w:pPr>
        <w:pStyle w:val="13"/>
        <w:spacing w:before="120" w:after="120"/>
        <w:jc w:val="both"/>
        <w:rPr>
          <w:sz w:val="22"/>
          <w:szCs w:val="22"/>
          <w:lang w:val="sr-Cyrl-CS"/>
        </w:rPr>
      </w:pPr>
      <w:r>
        <w:rPr>
          <w:sz w:val="22"/>
          <w:szCs w:val="22"/>
          <w:lang w:val="sr-Cyrl-CS"/>
        </w:rPr>
        <w:t xml:space="preserve">Наведена средства у табели, односе се на средства издвојена за активности, пројекте и услуге удружења из области социјалне заштите (укључујући и услуге јавне кухиње), затим активности и пројекте удружења из области здравства, образовања, удружења припадника националних мањина, удружења из области културе, пројекте удружења грађана.  </w:t>
      </w:r>
    </w:p>
    <w:p>
      <w:pPr>
        <w:spacing w:before="100" w:beforeAutospacing="1" w:after="100" w:afterAutospacing="1"/>
        <w:jc w:val="both"/>
        <w:rPr>
          <w:rFonts w:eastAsia="Times New Roman" w:cs="Calibri"/>
          <w:lang w:val="sr-Cyrl-BA" w:eastAsia="sr-Latn-CS"/>
        </w:rPr>
      </w:pPr>
      <w:r>
        <w:rPr>
          <w:rFonts w:eastAsia="Times New Roman" w:cs="Calibri"/>
          <w:lang w:val="sr-Cyrl-BA" w:eastAsia="sr-Latn-CS"/>
        </w:rPr>
        <w:t>Средства која се планирају у буџету Града као грантови за удружења грађана у оквиру Одјељења за културу, туризам и социјалну политику нису намијењена само за програме и пројекте удружења, него се из грантова финансирају и одређене услуге које представљају законску обавезу финансирања од стране јединице локалне самоуправе, као што су нпр. услуге јавне кухиње које врше хуманитарне организације, услуга смјештаја жртава породичног насиља која се реализује у партнерству са цивилним сектором, али и други програми који су законом одређени јединици локалне самоуправе као нпр: финансирање програма удружења националних мањина, културно-умјетнички аматеризам, културне манифестације од интереса за Град. Средства планирана за пројекте и активности удружења у оквиру овог Одјељења распоређују се у складу са планским документима која се усвајају на годишњем нивоу од стране Скупштине града и Градоначелника, те додјељују у складу са донесеним правилницима, с тим да је опредјељење Одјељења да се средства која се планирају за пројекте, финансирају путем јавних позива у складу са приоритетним областима у складу са развојним циљевима, а према ЛОД методологији за додјелу средстава ОЦД –а која се примјењује од 2012. године.</w:t>
      </w:r>
    </w:p>
    <w:p>
      <w:pPr>
        <w:jc w:val="both"/>
        <w:rPr>
          <w:lang w:val="sr-Cyrl-CS"/>
        </w:rPr>
      </w:pPr>
      <w:r>
        <w:rPr>
          <w:lang w:val="sr-Cyrl-CS"/>
        </w:rPr>
        <w:t xml:space="preserve">Поред финансијске подршке у реализацији активности и пројеката, Град додјелом на кориштење градских пословних простора удружењима грађана и другим организацијама,  пружа и овај додатни вид подршке обезбјеђујући удружењима пословне просторе за рад који су се у претходном периоду додјељивали без накнаде уз обавезу плаћања ПДВ-а, а од 2017. године се додјељују у закуп под посебним условима. Ријеч је о око 80 удружења грађана која користе пословне просторе Града под условима који нису комерцијални, с тим да поред удружења пословне просторе Града, под истим условима, користе и спортске, омладинске и организације за младе. </w:t>
      </w:r>
    </w:p>
    <w:p>
      <w:pPr>
        <w:jc w:val="both"/>
        <w:rPr>
          <w:lang w:val="sr-Cyrl-CS"/>
        </w:rPr>
      </w:pPr>
    </w:p>
    <w:p>
      <w:pPr>
        <w:jc w:val="both"/>
        <w:rPr>
          <w:lang w:val="sr-Cyrl-RS"/>
        </w:rPr>
      </w:pPr>
      <w:r>
        <w:rPr>
          <w:lang w:val="sr-Cyrl-RS"/>
        </w:rPr>
        <w:t>На одржаним фокус групама у априлу 2018. године, у оквиру процеса партиципативног стратешког планирања, представници организација цивилног друштва препознали су предности и недостатке у раду цивилног сектора и сарадњи са Градском управом. Детаљније информације о идентификованим предностима и недостацима могу се видјети у цјеловитој верзији Ситуационе анализе.</w:t>
      </w:r>
    </w:p>
    <w:p>
      <w:pPr>
        <w:jc w:val="both"/>
        <w:rPr>
          <w:lang w:val="sr-Cyrl-CS"/>
        </w:rPr>
      </w:pPr>
    </w:p>
    <w:tbl>
      <w:tblPr>
        <w:tblStyle w:val="36"/>
        <w:tblW w:w="9360"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3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360" w:type="dxa"/>
            <w:shd w:val="clear" w:color="auto" w:fill="C5E0B3" w:themeFill="accent6" w:themeFillTint="66"/>
          </w:tcPr>
          <w:p>
            <w:pPr>
              <w:jc w:val="both"/>
              <w:rPr>
                <w:rFonts w:cstheme="minorHAnsi"/>
                <w:i/>
                <w:lang w:val="sr-Cyrl-CS"/>
              </w:rPr>
            </w:pPr>
            <w:r>
              <w:rPr>
                <w:rFonts w:cs="Calibri"/>
                <w:i/>
                <w:lang w:val="sr-Cyrl-CS"/>
              </w:rPr>
              <w:t>Евидентно је да у граду Бањалуци постоји велики број удружења из различитих области, па чак и оних који су активни (процјена је најмање 100), тако да су подаци о програмским циљевима</w:t>
            </w:r>
            <w:r>
              <w:rPr>
                <w:rFonts w:cs="Calibri"/>
                <w:i/>
                <w:lang w:val="sr-Latn-CS"/>
              </w:rPr>
              <w:t xml:space="preserve">, </w:t>
            </w:r>
            <w:r>
              <w:rPr>
                <w:rFonts w:cs="Calibri"/>
                <w:i/>
                <w:lang w:val="sr-Cyrl-CS"/>
              </w:rPr>
              <w:t>корисницима, изворима финансирања, члановима, па чак и за она која се издвајају као активна, преобимни.</w:t>
            </w:r>
            <w:r>
              <w:rPr>
                <w:rFonts w:cs="Calibri"/>
                <w:i/>
                <w:color w:val="7030A0"/>
                <w:lang w:val="sr-Cyrl-CS"/>
              </w:rPr>
              <w:t xml:space="preserve"> </w:t>
            </w:r>
            <w:r>
              <w:rPr>
                <w:rFonts w:cstheme="minorHAnsi"/>
                <w:i/>
                <w:lang w:val="sr-Latn-RS"/>
              </w:rPr>
              <w:t xml:space="preserve">У </w:t>
            </w:r>
            <w:r>
              <w:rPr>
                <w:rFonts w:cstheme="minorHAnsi"/>
                <w:i/>
                <w:lang w:val="sr-Cyrl-CS"/>
              </w:rPr>
              <w:t>Г</w:t>
            </w:r>
            <w:r>
              <w:rPr>
                <w:rFonts w:cstheme="minorHAnsi"/>
                <w:i/>
                <w:lang w:val="sr-Latn-RS"/>
              </w:rPr>
              <w:t>радској управи надлежности у сарадњи са НВО сектором</w:t>
            </w:r>
            <w:r>
              <w:rPr>
                <w:rFonts w:cstheme="minorHAnsi"/>
                <w:i/>
                <w:lang w:val="sr-Cyrl-CS"/>
              </w:rPr>
              <w:t xml:space="preserve"> има неколико организационих јединица</w:t>
            </w:r>
            <w:r>
              <w:rPr>
                <w:rFonts w:cstheme="minorHAnsi"/>
                <w:i/>
                <w:lang w:val="sr-Latn-RS"/>
              </w:rPr>
              <w:t xml:space="preserve">. Постоји више </w:t>
            </w:r>
            <w:r>
              <w:rPr>
                <w:rFonts w:cstheme="minorHAnsi"/>
                <w:i/>
                <w:lang w:val="sr-Cyrl-CS"/>
              </w:rPr>
              <w:t>стручних сарадника</w:t>
            </w:r>
            <w:r>
              <w:rPr>
                <w:rFonts w:cstheme="minorHAnsi"/>
                <w:i/>
                <w:lang w:val="sr-Latn-RS"/>
              </w:rPr>
              <w:t xml:space="preserve"> кој</w:t>
            </w:r>
            <w:r>
              <w:rPr>
                <w:rFonts w:cstheme="minorHAnsi"/>
                <w:i/>
                <w:lang w:val="sr-Cyrl-CS"/>
              </w:rPr>
              <w:t>и</w:t>
            </w:r>
            <w:r>
              <w:rPr>
                <w:rFonts w:cstheme="minorHAnsi"/>
                <w:i/>
                <w:lang w:val="sr-Latn-RS"/>
              </w:rPr>
              <w:t xml:space="preserve"> у свом реферату имају надлежност за рад са удружењем у зависности од циљне групе удружења, што доводи до проблема недостатка јасног сагледавања прав</w:t>
            </w:r>
            <w:r>
              <w:rPr>
                <w:rFonts w:cstheme="minorHAnsi"/>
                <w:i/>
                <w:lang w:val="sr-Cyrl-CS"/>
              </w:rPr>
              <w:t>а</w:t>
            </w:r>
            <w:r>
              <w:rPr>
                <w:rFonts w:cstheme="minorHAnsi"/>
                <w:i/>
                <w:lang w:val="sr-Latn-RS"/>
              </w:rPr>
              <w:t>ца развоја цјелокупног цивилног сектора.</w:t>
            </w:r>
          </w:p>
          <w:p>
            <w:pPr>
              <w:jc w:val="both"/>
              <w:rPr>
                <w:rFonts w:cstheme="minorHAnsi"/>
                <w:i/>
                <w:lang w:val="sr-Cyrl-CS"/>
              </w:rPr>
            </w:pPr>
          </w:p>
          <w:p>
            <w:pPr>
              <w:pStyle w:val="54"/>
              <w:jc w:val="both"/>
              <w:rPr>
                <w:rFonts w:cstheme="minorHAnsi"/>
                <w:i/>
                <w:lang w:val="sr-Latn-RS"/>
              </w:rPr>
            </w:pPr>
            <w:r>
              <w:rPr>
                <w:rFonts w:cstheme="minorHAnsi"/>
                <w:i/>
                <w:lang w:val="sr-Latn-RS"/>
              </w:rPr>
              <w:t>Град на сваке две године објављује позив за организације од посебног значаја и значаја за Град Бања Луку, према транспарентим критеријумима, који се објављују на интернет страници града. Иако се број организација повећава, новчана средства из буџета не прате то повећање, па долази до расипања новца на већи број организација, што доводи до ситуације да се системска и значајнија питања не р</w:t>
            </w:r>
            <w:r>
              <w:rPr>
                <w:rFonts w:cstheme="minorHAnsi"/>
                <w:i/>
                <w:lang w:val="sr-Cyrl-CS"/>
              </w:rPr>
              <w:t>ј</w:t>
            </w:r>
            <w:r>
              <w:rPr>
                <w:rFonts w:cstheme="minorHAnsi"/>
                <w:i/>
                <w:lang w:val="sr-Latn-RS"/>
              </w:rPr>
              <w:t>ешавају, већ организације усп</w:t>
            </w:r>
            <w:r>
              <w:rPr>
                <w:rFonts w:cstheme="minorHAnsi"/>
                <w:i/>
                <w:lang w:val="sr-Cyrl-CS"/>
              </w:rPr>
              <w:t>иј</w:t>
            </w:r>
            <w:r>
              <w:rPr>
                <w:rFonts w:cstheme="minorHAnsi"/>
                <w:i/>
                <w:lang w:val="sr-Latn-RS"/>
              </w:rPr>
              <w:t>евају само да задовоље основне потребе својих корисника.</w:t>
            </w:r>
          </w:p>
          <w:p>
            <w:pPr>
              <w:pStyle w:val="54"/>
              <w:jc w:val="both"/>
              <w:rPr>
                <w:rFonts w:cstheme="minorHAnsi"/>
                <w:i/>
                <w:lang w:val="sr-Latn-RS"/>
              </w:rPr>
            </w:pPr>
          </w:p>
          <w:p>
            <w:pPr>
              <w:pStyle w:val="54"/>
              <w:jc w:val="both"/>
              <w:rPr>
                <w:rFonts w:cs="Calibri"/>
                <w:i/>
                <w:color w:val="7030A0"/>
                <w:lang w:val="sr-Cyrl-RS"/>
              </w:rPr>
            </w:pPr>
            <w:r>
              <w:rPr>
                <w:i/>
                <w:lang w:val="sr-Latn-RS"/>
              </w:rPr>
              <w:t xml:space="preserve">НВО сектор има потешкоћа приликом конкурисања на ЕУ пројекте, јер </w:t>
            </w:r>
            <w:r>
              <w:rPr>
                <w:i/>
                <w:lang w:val="sr-Cyrl-RS"/>
              </w:rPr>
              <w:t xml:space="preserve">не поседује довољна средства за суфинансирање, па је стога веома значајно да се у градском буџету издвоје одређена средства за суфинансирање таквих пројеката.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rPr>
          <w:trHeight w:val="65" w:hRule="atLeast"/>
          <w:jc w:val="center"/>
        </w:trPr>
        <w:tc>
          <w:tcPr>
            <w:tcW w:w="9360" w:type="dxa"/>
            <w:shd w:val="clear" w:color="auto" w:fill="C5E0B3" w:themeFill="accent6" w:themeFillTint="66"/>
          </w:tcPr>
          <w:p>
            <w:pPr>
              <w:jc w:val="both"/>
              <w:rPr>
                <w:rFonts w:eastAsia="Times New Roman"/>
                <w:bCs/>
                <w:i/>
                <w:kern w:val="32"/>
              </w:rPr>
            </w:pPr>
          </w:p>
        </w:tc>
      </w:tr>
    </w:tbl>
    <w:p>
      <w:pPr>
        <w:ind w:left="426"/>
        <w:jc w:val="both"/>
        <w:rPr>
          <w:lang w:val="sr-Latn-CS"/>
        </w:rPr>
      </w:pPr>
    </w:p>
    <w:p>
      <w:pPr>
        <w:spacing w:after="160" w:line="259" w:lineRule="auto"/>
        <w:rPr>
          <w:lang w:val="sr-Latn-CS"/>
        </w:rPr>
      </w:pPr>
      <w:r>
        <w:rPr>
          <w:lang w:val="sr-Latn-CS"/>
        </w:rPr>
        <w:br w:type="page"/>
      </w:r>
    </w:p>
    <w:p>
      <w:pPr>
        <w:pStyle w:val="4"/>
        <w:rPr>
          <w:lang w:val="sr-Latn-CS"/>
        </w:rPr>
      </w:pPr>
      <w:bookmarkStart w:id="61" w:name="_Toc526761907"/>
      <w:bookmarkStart w:id="62" w:name="_Toc500506474"/>
      <w:r>
        <w:rPr>
          <w:lang w:val="hr-HR"/>
        </w:rPr>
        <w:t>IV</w:t>
      </w:r>
      <w:r>
        <w:rPr>
          <w:lang w:val="sr-Latn-CS"/>
        </w:rPr>
        <w:t>.1.6. Стање</w:t>
      </w:r>
      <w:r>
        <w:rPr>
          <w:lang w:val="sr-Cyrl-RS"/>
        </w:rPr>
        <w:t xml:space="preserve"> </w:t>
      </w:r>
      <w:r>
        <w:rPr>
          <w:lang w:val="sr-Latn-CS"/>
        </w:rPr>
        <w:t>јавне</w:t>
      </w:r>
      <w:r>
        <w:rPr>
          <w:lang w:val="sr-Cyrl-RS"/>
        </w:rPr>
        <w:t xml:space="preserve"> </w:t>
      </w:r>
      <w:r>
        <w:rPr>
          <w:lang w:val="sr-Latn-CS"/>
        </w:rPr>
        <w:t>инфраструктуре</w:t>
      </w:r>
      <w:r>
        <w:rPr>
          <w:lang w:val="sr-Cyrl-RS"/>
        </w:rPr>
        <w:t xml:space="preserve"> </w:t>
      </w:r>
      <w:r>
        <w:rPr>
          <w:lang w:val="sr-Latn-CS"/>
        </w:rPr>
        <w:t>и</w:t>
      </w:r>
      <w:r>
        <w:rPr>
          <w:lang w:val="sr-Cyrl-RS"/>
        </w:rPr>
        <w:t xml:space="preserve"> </w:t>
      </w:r>
      <w:r>
        <w:rPr>
          <w:lang w:val="sr-Latn-CS"/>
        </w:rPr>
        <w:t>јавних</w:t>
      </w:r>
      <w:r>
        <w:rPr>
          <w:lang w:val="sr-Cyrl-RS"/>
        </w:rPr>
        <w:t xml:space="preserve"> </w:t>
      </w:r>
      <w:r>
        <w:rPr>
          <w:lang w:val="sr-Latn-CS"/>
        </w:rPr>
        <w:t>услуга</w:t>
      </w:r>
      <w:bookmarkEnd w:id="61"/>
      <w:bookmarkEnd w:id="62"/>
    </w:p>
    <w:p>
      <w:pPr>
        <w:keepNext/>
        <w:keepLines/>
        <w:spacing w:before="200"/>
        <w:ind w:left="426"/>
        <w:outlineLvl w:val="3"/>
        <w:rPr>
          <w:rFonts w:eastAsia="Times New Roman" w:asciiTheme="minorHAnsi" w:hAnsiTheme="minorHAnsi" w:cstheme="minorHAnsi"/>
          <w:b/>
          <w:bCs/>
          <w:i/>
          <w:iCs/>
        </w:rPr>
      </w:pPr>
      <w:bookmarkStart w:id="63" w:name="_Toc526761908"/>
      <w:bookmarkStart w:id="64" w:name="_Toc500506475"/>
      <w:r>
        <w:rPr>
          <w:rFonts w:eastAsia="Times New Roman" w:asciiTheme="minorHAnsi" w:hAnsiTheme="minorHAnsi" w:cstheme="minorHAnsi"/>
          <w:b/>
          <w:bCs/>
          <w:i/>
          <w:iCs/>
          <w:lang w:val="hr-HR"/>
        </w:rPr>
        <w:t>IV.1.6.1. Саобраћајн</w:t>
      </w:r>
      <w:r>
        <w:rPr>
          <w:rFonts w:eastAsia="Times New Roman" w:asciiTheme="minorHAnsi" w:hAnsiTheme="minorHAnsi" w:cstheme="minorHAnsi"/>
          <w:b/>
          <w:bCs/>
          <w:i/>
          <w:iCs/>
        </w:rPr>
        <w:t>а</w:t>
      </w:r>
      <w:r>
        <w:rPr>
          <w:rFonts w:eastAsia="Times New Roman" w:asciiTheme="minorHAnsi" w:hAnsiTheme="minorHAnsi" w:cstheme="minorHAnsi"/>
          <w:b/>
          <w:bCs/>
          <w:i/>
          <w:iCs/>
          <w:lang w:val="hr-HR"/>
        </w:rPr>
        <w:t xml:space="preserve"> инфраструктур</w:t>
      </w:r>
      <w:r>
        <w:rPr>
          <w:rFonts w:eastAsia="Times New Roman" w:asciiTheme="minorHAnsi" w:hAnsiTheme="minorHAnsi" w:cstheme="minorHAnsi"/>
          <w:b/>
          <w:bCs/>
          <w:i/>
          <w:iCs/>
        </w:rPr>
        <w:t>а</w:t>
      </w:r>
      <w:bookmarkEnd w:id="63"/>
      <w:bookmarkEnd w:id="64"/>
    </w:p>
    <w:p>
      <w:pPr>
        <w:spacing w:before="120" w:after="120"/>
        <w:jc w:val="both"/>
        <w:rPr>
          <w:rFonts w:eastAsia="Times New Roman" w:asciiTheme="minorHAnsi" w:hAnsiTheme="minorHAnsi"/>
          <w:bCs/>
          <w:kern w:val="32"/>
          <w:lang w:val="sr-Cyrl-CS"/>
        </w:rPr>
      </w:pPr>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rPr>
        <w:t>Простор града Бања Луке има добру саобраћајну мрежу, као и добру повезаност са</w:t>
      </w:r>
      <w:r>
        <w:rPr>
          <w:rFonts w:eastAsia="Times New Roman" w:asciiTheme="minorHAnsi" w:hAnsiTheme="minorHAnsi"/>
          <w:bCs/>
          <w:kern w:val="32"/>
          <w:lang w:val="sr-Cyrl-RS"/>
        </w:rPr>
        <w:t xml:space="preserve"> </w:t>
      </w:r>
      <w:r>
        <w:rPr>
          <w:rFonts w:eastAsia="Times New Roman" w:asciiTheme="minorHAnsi" w:hAnsiTheme="minorHAnsi"/>
          <w:bCs/>
          <w:kern w:val="32"/>
        </w:rPr>
        <w:t>осталим подручјима. Ово се првенствено односи на друмски саобраћај. Изграђене</w:t>
      </w:r>
      <w:r>
        <w:rPr>
          <w:rFonts w:eastAsia="Times New Roman" w:asciiTheme="minorHAnsi" w:hAnsiTheme="minorHAnsi"/>
          <w:bCs/>
          <w:kern w:val="32"/>
          <w:lang w:val="sr-Cyrl-RS"/>
        </w:rPr>
        <w:t xml:space="preserve"> </w:t>
      </w:r>
      <w:r>
        <w:rPr>
          <w:rFonts w:eastAsia="Times New Roman" w:asciiTheme="minorHAnsi" w:hAnsiTheme="minorHAnsi"/>
          <w:bCs/>
          <w:kern w:val="32"/>
        </w:rPr>
        <w:t>саобраћајнице примарног значаја имају правац пружања сјевер-југ, што је првенствено</w:t>
      </w:r>
      <w:r>
        <w:rPr>
          <w:rFonts w:eastAsia="Times New Roman" w:asciiTheme="minorHAnsi" w:hAnsiTheme="minorHAnsi"/>
          <w:bCs/>
          <w:kern w:val="32"/>
          <w:lang w:val="sr-Cyrl-RS"/>
        </w:rPr>
        <w:t xml:space="preserve"> </w:t>
      </w:r>
      <w:r>
        <w:rPr>
          <w:rFonts w:eastAsia="Times New Roman" w:asciiTheme="minorHAnsi" w:hAnsiTheme="minorHAnsi"/>
          <w:bCs/>
          <w:kern w:val="32"/>
        </w:rPr>
        <w:t>условљено топографским карактеристикама. Предметни простор пресијеца</w:t>
      </w:r>
      <w:r>
        <w:rPr>
          <w:rFonts w:eastAsia="Times New Roman" w:asciiTheme="minorHAnsi" w:hAnsiTheme="minorHAnsi"/>
          <w:bCs/>
          <w:kern w:val="32"/>
          <w:lang w:val="sr-Cyrl-RS"/>
        </w:rPr>
        <w:t xml:space="preserve"> </w:t>
      </w:r>
      <w:r>
        <w:rPr>
          <w:rFonts w:eastAsia="Times New Roman" w:asciiTheme="minorHAnsi" w:hAnsiTheme="minorHAnsi"/>
          <w:bCs/>
          <w:kern w:val="32"/>
        </w:rPr>
        <w:t>међународни путни правац Е661 (магистрални пут М1-16, Градишка – Бањалука – Црна</w:t>
      </w:r>
      <w:r>
        <w:rPr>
          <w:rFonts w:eastAsia="Times New Roman" w:asciiTheme="minorHAnsi" w:hAnsiTheme="minorHAnsi"/>
          <w:bCs/>
          <w:kern w:val="32"/>
          <w:lang w:val="sr-Cyrl-RS"/>
        </w:rPr>
        <w:t xml:space="preserve"> </w:t>
      </w:r>
      <w:r>
        <w:rPr>
          <w:rFonts w:eastAsia="Times New Roman" w:asciiTheme="minorHAnsi" w:hAnsiTheme="minorHAnsi"/>
          <w:bCs/>
          <w:kern w:val="32"/>
        </w:rPr>
        <w:t>Ријека).</w:t>
      </w:r>
      <w:r>
        <w:rPr>
          <w:rFonts w:eastAsia="Times New Roman" w:asciiTheme="minorHAnsi" w:hAnsiTheme="minorHAnsi"/>
          <w:bCs/>
          <w:kern w:val="32"/>
          <w:lang w:val="sr-Cyrl-RS"/>
        </w:rPr>
        <w:t xml:space="preserve"> </w:t>
      </w:r>
      <w:r>
        <w:rPr>
          <w:rFonts w:eastAsia="Times New Roman" w:asciiTheme="minorHAnsi" w:hAnsiTheme="minorHAnsi"/>
          <w:bCs/>
          <w:kern w:val="32"/>
        </w:rPr>
        <w:t>Правац исток</w:t>
      </w:r>
      <w:r>
        <w:rPr>
          <w:rFonts w:eastAsia="Times New Roman" w:asciiTheme="minorHAnsi" w:hAnsiTheme="minorHAnsi"/>
          <w:bCs/>
          <w:kern w:val="32"/>
          <w:lang w:val="hr-HR"/>
        </w:rPr>
        <w:t>-</w:t>
      </w:r>
      <w:r>
        <w:rPr>
          <w:rFonts w:eastAsia="Times New Roman" w:asciiTheme="minorHAnsi" w:hAnsiTheme="minorHAnsi"/>
          <w:bCs/>
          <w:kern w:val="32"/>
        </w:rPr>
        <w:t>запад је омогућен преко магистралног пута М-4 (Приједор – Бањалука – Челинац).</w:t>
      </w:r>
      <w:r>
        <w:rPr>
          <w:rFonts w:eastAsia="Times New Roman" w:asciiTheme="minorHAnsi" w:hAnsiTheme="minorHAnsi"/>
          <w:bCs/>
          <w:kern w:val="32"/>
          <w:lang w:val="sr-Cyrl-RS"/>
        </w:rPr>
        <w:t xml:space="preserve"> </w:t>
      </w:r>
    </w:p>
    <w:tbl>
      <w:tblPr>
        <w:tblStyle w:val="37"/>
        <w:tblW w:w="9666"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60"/>
        <w:gridCol w:w="5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6" w:hRule="atLeast"/>
        </w:trPr>
        <w:tc>
          <w:tcPr>
            <w:tcW w:w="4560" w:type="dxa"/>
          </w:tcPr>
          <w:p>
            <w:pPr>
              <w:spacing w:before="120" w:after="120"/>
              <w:jc w:val="both"/>
              <w:rPr>
                <w:sz w:val="20"/>
                <w:szCs w:val="20"/>
                <w:lang w:val="sr-Cyrl-RS" w:eastAsia="hr-HR"/>
              </w:rPr>
            </w:pPr>
            <w:r>
              <w:rPr>
                <w:rFonts w:eastAsia="Times New Roman" w:asciiTheme="minorHAnsi" w:hAnsiTheme="minorHAnsi"/>
                <w:bCs/>
                <w:kern w:val="32"/>
                <w:lang w:val="sr-Cyrl-CS"/>
              </w:rPr>
              <w:t xml:space="preserve"> </w:t>
            </w:r>
            <w:r>
              <w:rPr>
                <w:rFonts w:eastAsia="Times New Roman" w:asciiTheme="minorHAnsi" w:hAnsiTheme="minorHAnsi"/>
                <w:bCs/>
                <w:kern w:val="32"/>
              </w:rPr>
              <w:t>На подручју Бања Луке има укупно 1.897</w:t>
            </w:r>
            <w:r>
              <w:rPr>
                <w:rFonts w:eastAsia="Times New Roman" w:asciiTheme="minorHAnsi" w:hAnsiTheme="minorHAnsi"/>
                <w:bCs/>
                <w:kern w:val="32"/>
                <w:lang w:val="sr-Cyrl-RS"/>
              </w:rPr>
              <w:t xml:space="preserve"> км</w:t>
            </w:r>
            <w:r>
              <w:rPr>
                <w:rFonts w:eastAsia="Times New Roman" w:asciiTheme="minorHAnsi" w:hAnsiTheme="minorHAnsi"/>
                <w:bCs/>
                <w:kern w:val="32"/>
              </w:rPr>
              <w:t xml:space="preserve"> </w:t>
            </w:r>
            <w:r>
              <w:rPr>
                <w:rFonts w:eastAsia="Times New Roman" w:asciiTheme="minorHAnsi" w:hAnsiTheme="minorHAnsi"/>
                <w:bCs/>
                <w:kern w:val="32"/>
                <w:lang w:val="sr-Cyrl-CS"/>
              </w:rPr>
              <w:t xml:space="preserve"> </w:t>
            </w:r>
            <w:r>
              <w:rPr>
                <w:rFonts w:eastAsia="Times New Roman" w:asciiTheme="minorHAnsi" w:hAnsiTheme="minorHAnsi"/>
                <w:bCs/>
                <w:kern w:val="32"/>
              </w:rPr>
              <w:t>локалних категорисаних путева</w:t>
            </w:r>
            <w:r>
              <w:rPr>
                <w:rFonts w:eastAsia="Times New Roman" w:asciiTheme="minorHAnsi" w:hAnsiTheme="minorHAnsi"/>
                <w:bCs/>
                <w:kern w:val="32"/>
                <w:lang w:val="hr-HR"/>
              </w:rPr>
              <w:t xml:space="preserve">, </w:t>
            </w:r>
            <w:r>
              <w:rPr>
                <w:rFonts w:eastAsia="Times New Roman" w:asciiTheme="minorHAnsi" w:hAnsiTheme="minorHAnsi"/>
                <w:bCs/>
                <w:kern w:val="32"/>
              </w:rPr>
              <w:t>од чега је асфалтирано 906,2</w:t>
            </w:r>
            <w:r>
              <w:rPr>
                <w:rFonts w:eastAsia="Times New Roman" w:asciiTheme="minorHAnsi" w:hAnsiTheme="minorHAnsi"/>
                <w:bCs/>
                <w:kern w:val="32"/>
                <w:lang w:val="sr-Cyrl-RS"/>
              </w:rPr>
              <w:t xml:space="preserve"> км</w:t>
            </w:r>
            <w:r>
              <w:rPr>
                <w:rFonts w:eastAsia="Times New Roman" w:asciiTheme="minorHAnsi" w:hAnsiTheme="minorHAnsi"/>
                <w:bCs/>
                <w:kern w:val="32"/>
              </w:rPr>
              <w:t>, а макадамских</w:t>
            </w:r>
            <w:r>
              <w:rPr>
                <w:rFonts w:eastAsia="Times New Roman" w:asciiTheme="minorHAnsi" w:hAnsiTheme="minorHAnsi"/>
                <w:bCs/>
                <w:kern w:val="32"/>
                <w:lang w:val="sr-Cyrl-RS"/>
              </w:rPr>
              <w:t xml:space="preserve"> </w:t>
            </w:r>
            <w:r>
              <w:rPr>
                <w:rFonts w:eastAsia="Times New Roman" w:asciiTheme="minorHAnsi" w:hAnsiTheme="minorHAnsi"/>
                <w:bCs/>
                <w:kern w:val="32"/>
              </w:rPr>
              <w:t>путева је</w:t>
            </w:r>
            <w:r>
              <w:rPr>
                <w:rFonts w:eastAsia="Times New Roman" w:asciiTheme="minorHAnsi" w:hAnsiTheme="minorHAnsi"/>
                <w:bCs/>
                <w:kern w:val="32"/>
                <w:lang w:val="sr-Cyrl-RS"/>
              </w:rPr>
              <w:t xml:space="preserve"> </w:t>
            </w:r>
            <w:r>
              <w:rPr>
                <w:rFonts w:eastAsia="Times New Roman" w:asciiTheme="minorHAnsi" w:hAnsiTheme="minorHAnsi"/>
                <w:bCs/>
                <w:kern w:val="32"/>
              </w:rPr>
              <w:t>990,8</w:t>
            </w:r>
            <w:r>
              <w:rPr>
                <w:rFonts w:eastAsia="Times New Roman" w:asciiTheme="minorHAnsi" w:hAnsiTheme="minorHAnsi"/>
                <w:bCs/>
                <w:kern w:val="32"/>
                <w:lang w:val="sr-Cyrl-RS"/>
              </w:rPr>
              <w:t xml:space="preserve"> км</w:t>
            </w:r>
            <w:r>
              <w:rPr>
                <w:rFonts w:eastAsia="Times New Roman" w:asciiTheme="minorHAnsi" w:hAnsiTheme="minorHAnsi"/>
                <w:bCs/>
                <w:kern w:val="32"/>
                <w:lang w:val="bs-Latn-BA"/>
              </w:rPr>
              <w:t>.</w:t>
            </w:r>
            <w:r>
              <w:rPr>
                <w:rFonts w:eastAsia="Times New Roman" w:asciiTheme="minorHAnsi" w:hAnsiTheme="minorHAnsi"/>
                <w:bCs/>
                <w:kern w:val="32"/>
              </w:rPr>
              <w:t xml:space="preserve"> Стање путева оцијењено је као добро.</w:t>
            </w:r>
            <w:r>
              <w:rPr>
                <w:rFonts w:eastAsia="Times New Roman" w:asciiTheme="minorHAnsi" w:hAnsiTheme="minorHAnsi"/>
                <w:bCs/>
                <w:kern w:val="32"/>
                <w:lang w:val="sr-Cyrl-RS"/>
              </w:rPr>
              <w:t xml:space="preserve"> Графикон приказује б</w:t>
            </w:r>
            <w:r>
              <w:rPr>
                <w:rFonts w:eastAsia="Times New Roman" w:asciiTheme="minorHAnsi" w:hAnsiTheme="minorHAnsi"/>
                <w:bCs/>
                <w:kern w:val="32"/>
              </w:rPr>
              <w:t>рој километара асфалтираних цеста на подручју града на годишњем нивоу у посљедњих 5 година</w:t>
            </w:r>
            <w:r>
              <w:rPr>
                <w:rFonts w:eastAsia="Times New Roman" w:asciiTheme="minorHAnsi" w:hAnsiTheme="minorHAnsi"/>
                <w:bCs/>
                <w:kern w:val="32"/>
                <w:lang w:val="sr-Cyrl-RS"/>
              </w:rPr>
              <w:t>.</w:t>
            </w:r>
          </w:p>
        </w:tc>
        <w:tc>
          <w:tcPr>
            <w:tcW w:w="5106" w:type="dxa"/>
            <w:vMerge w:val="restart"/>
          </w:tcPr>
          <w:p>
            <w:pPr>
              <w:spacing w:before="120" w:after="120"/>
              <w:jc w:val="both"/>
              <w:rPr>
                <w:rFonts w:eastAsia="Times New Roman" w:asciiTheme="minorHAnsi" w:hAnsiTheme="minorHAnsi"/>
                <w:bCs/>
                <w:i/>
                <w:kern w:val="32"/>
                <w:sz w:val="18"/>
                <w:szCs w:val="18"/>
              </w:rPr>
            </w:pPr>
            <w:r>
              <w:rPr>
                <w:sz w:val="20"/>
                <w:szCs w:val="20"/>
                <w:lang w:val="sr-Latn-CS" w:eastAsia="sr-Latn-CS"/>
              </w:rPr>
              <w:drawing>
                <wp:inline distT="0" distB="0" distL="0" distR="0">
                  <wp:extent cx="3104515" cy="1924050"/>
                  <wp:effectExtent l="0" t="0" r="635"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6" w:hRule="atLeast"/>
        </w:trPr>
        <w:tc>
          <w:tcPr>
            <w:tcW w:w="4560" w:type="dxa"/>
          </w:tcPr>
          <w:p>
            <w:pPr>
              <w:spacing w:before="120" w:after="120"/>
              <w:jc w:val="right"/>
              <w:rPr>
                <w:sz w:val="20"/>
                <w:szCs w:val="20"/>
                <w:lang w:val="hr-HR" w:eastAsia="hr-HR"/>
              </w:rPr>
            </w:pPr>
            <w:r>
              <w:rPr>
                <w:rFonts w:eastAsia="Times New Roman" w:asciiTheme="minorHAnsi" w:hAnsiTheme="minorHAnsi"/>
                <w:bCs/>
                <w:i/>
                <w:kern w:val="32"/>
                <w:sz w:val="18"/>
                <w:szCs w:val="18"/>
              </w:rPr>
              <w:t>Извор података: Одјељење за саобраћај и путеве Града Бања Лука, новембар 2017.г</w:t>
            </w:r>
          </w:p>
        </w:tc>
        <w:tc>
          <w:tcPr>
            <w:tcW w:w="5106" w:type="dxa"/>
            <w:vMerge w:val="continue"/>
          </w:tcPr>
          <w:p>
            <w:pPr>
              <w:spacing w:before="120" w:after="120"/>
              <w:jc w:val="both"/>
              <w:rPr>
                <w:rFonts w:eastAsia="Times New Roman" w:asciiTheme="minorHAnsi" w:hAnsiTheme="minorHAnsi"/>
                <w:bCs/>
                <w:i/>
                <w:kern w:val="32"/>
                <w:sz w:val="18"/>
                <w:szCs w:val="18"/>
              </w:rPr>
            </w:pPr>
          </w:p>
        </w:tc>
      </w:tr>
    </w:tbl>
    <w:p>
      <w:pPr>
        <w:spacing w:before="120" w:after="120"/>
        <w:jc w:val="both"/>
        <w:rPr>
          <w:rFonts w:eastAsia="Times New Roman" w:asciiTheme="minorHAnsi" w:hAnsiTheme="minorHAnsi"/>
          <w:bCs/>
          <w:kern w:val="32"/>
        </w:rPr>
      </w:pPr>
      <w:r>
        <w:rPr>
          <w:rFonts w:eastAsia="Times New Roman" w:asciiTheme="minorHAnsi" w:hAnsiTheme="minorHAnsi"/>
          <w:bCs/>
          <w:kern w:val="32"/>
        </w:rPr>
        <w:t>Двије мјесне заједнице нису повезане асфалтном цестом са урбаним центром Града: МЗ Стратинска и МЗ Шимићи.</w:t>
      </w:r>
    </w:p>
    <w:tbl>
      <w:tblPr>
        <w:tblStyle w:val="37"/>
        <w:tblW w:w="9554"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77"/>
        <w:gridCol w:w="2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00" w:hRule="atLeast"/>
        </w:trPr>
        <w:tc>
          <w:tcPr>
            <w:tcW w:w="6577" w:type="dxa"/>
          </w:tcPr>
          <w:p>
            <w:pPr>
              <w:spacing w:after="120"/>
              <w:jc w:val="center"/>
              <w:rPr>
                <w:rFonts w:eastAsia="Times New Roman" w:asciiTheme="minorHAnsi" w:hAnsiTheme="minorHAnsi"/>
                <w:bCs/>
                <w:kern w:val="32"/>
              </w:rPr>
            </w:pPr>
            <w:r>
              <w:rPr>
                <w:sz w:val="20"/>
                <w:szCs w:val="20"/>
                <w:lang w:val="sr-Latn-CS" w:eastAsia="sr-Latn-CS"/>
              </w:rPr>
              <w:drawing>
                <wp:inline distT="0" distB="0" distL="0" distR="0">
                  <wp:extent cx="3857625" cy="2409825"/>
                  <wp:effectExtent l="0" t="0" r="9525" b="952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120"/>
              <w:jc w:val="center"/>
            </w:pPr>
            <w:r>
              <w:rPr>
                <w:rFonts w:eastAsia="Times New Roman" w:asciiTheme="minorHAnsi" w:hAnsiTheme="minorHAnsi"/>
                <w:bCs/>
                <w:i/>
                <w:kern w:val="32"/>
                <w:sz w:val="18"/>
                <w:szCs w:val="18"/>
              </w:rPr>
              <w:t>Извор података: Одјељење за саобраћај и путеве Града Бања Лука, новембар 2017.г</w:t>
            </w:r>
          </w:p>
        </w:tc>
        <w:tc>
          <w:tcPr>
            <w:tcW w:w="2977" w:type="dxa"/>
          </w:tcPr>
          <w:p>
            <w:pPr>
              <w:spacing w:after="120"/>
              <w:ind w:left="-26"/>
              <w:jc w:val="both"/>
              <w:rPr>
                <w:rFonts w:eastAsia="Times New Roman" w:asciiTheme="minorHAnsi" w:hAnsiTheme="minorHAnsi"/>
                <w:bCs/>
                <w:kern w:val="32"/>
                <w:lang w:val="sr-Cyrl-CS"/>
              </w:rPr>
            </w:pPr>
            <w:r>
              <w:rPr>
                <w:rFonts w:eastAsia="Times New Roman" w:asciiTheme="minorHAnsi" w:hAnsiTheme="minorHAnsi"/>
                <w:bCs/>
                <w:kern w:val="32"/>
              </w:rPr>
              <w:t xml:space="preserve">На графикону </w:t>
            </w:r>
            <w:r>
              <w:rPr>
                <w:rFonts w:eastAsia="Times New Roman" w:asciiTheme="minorHAnsi" w:hAnsiTheme="minorHAnsi"/>
                <w:bCs/>
                <w:kern w:val="32"/>
                <w:lang w:val="sr-Cyrl-RS"/>
              </w:rPr>
              <w:t>су</w:t>
            </w:r>
            <w:r>
              <w:rPr>
                <w:rFonts w:eastAsia="Times New Roman" w:asciiTheme="minorHAnsi" w:hAnsiTheme="minorHAnsi"/>
                <w:bCs/>
                <w:kern w:val="32"/>
              </w:rPr>
              <w:t xml:space="preserve"> приказана  улагања из Градског буџета у саобраћајну инфраструктуру у посљедњих 5 година. </w:t>
            </w:r>
          </w:p>
          <w:p>
            <w:pPr>
              <w:spacing w:after="120"/>
              <w:ind w:left="-26"/>
              <w:jc w:val="both"/>
              <w:rPr>
                <w:rFonts w:eastAsia="Times New Roman" w:asciiTheme="minorHAnsi" w:hAnsiTheme="minorHAnsi"/>
                <w:bCs/>
                <w:kern w:val="32"/>
              </w:rPr>
            </w:pPr>
            <w:r>
              <w:rPr>
                <w:rFonts w:eastAsia="Times New Roman" w:asciiTheme="minorHAnsi" w:hAnsiTheme="minorHAnsi"/>
                <w:bCs/>
                <w:kern w:val="32"/>
              </w:rPr>
              <w:t>Град планира и у наредном периоду улагати у изградњу и модернизацију градске уличне мреже ради смањења застоја и већег протока возила у граду, те ради веће сигурности у саобраћају.</w:t>
            </w:r>
          </w:p>
        </w:tc>
      </w:tr>
    </w:tbl>
    <w:p>
      <w:pPr>
        <w:spacing w:before="120" w:after="120"/>
        <w:jc w:val="both"/>
        <w:rPr>
          <w:rFonts w:eastAsia="Times New Roman" w:asciiTheme="minorHAnsi" w:hAnsiTheme="minorHAnsi"/>
          <w:bCs/>
          <w:kern w:val="32"/>
        </w:rPr>
      </w:pPr>
      <w:r>
        <w:rPr>
          <w:rFonts w:eastAsia="Times New Roman" w:asciiTheme="minorHAnsi" w:hAnsiTheme="minorHAnsi"/>
          <w:bCs/>
          <w:kern w:val="32"/>
        </w:rPr>
        <w:t>Улагање Града Бања</w:t>
      </w:r>
      <w:r>
        <w:rPr>
          <w:rFonts w:eastAsia="Times New Roman" w:asciiTheme="minorHAnsi" w:hAnsiTheme="minorHAnsi"/>
          <w:bCs/>
          <w:kern w:val="32"/>
          <w:lang w:val="sr-Cyrl-RS"/>
        </w:rPr>
        <w:t xml:space="preserve"> Л</w:t>
      </w:r>
      <w:r>
        <w:rPr>
          <w:rFonts w:eastAsia="Times New Roman" w:asciiTheme="minorHAnsi" w:hAnsiTheme="minorHAnsi"/>
          <w:bCs/>
          <w:kern w:val="32"/>
        </w:rPr>
        <w:t>ука у саобраћајну инфраструктуру дефинисано је на годишњем нивоу Програмом уређења грађевинског земљишта и Прогамом заједничке комуналне потрошње,  који с</w:t>
      </w:r>
      <w:r>
        <w:rPr>
          <w:rFonts w:eastAsia="Times New Roman" w:asciiTheme="minorHAnsi" w:hAnsiTheme="minorHAnsi"/>
          <w:bCs/>
          <w:kern w:val="32"/>
          <w:lang w:val="sr-Cyrl-CS"/>
        </w:rPr>
        <w:t xml:space="preserve">е </w:t>
      </w:r>
      <w:r>
        <w:rPr>
          <w:rFonts w:eastAsia="Times New Roman" w:asciiTheme="minorHAnsi" w:hAnsiTheme="minorHAnsi"/>
          <w:bCs/>
          <w:kern w:val="32"/>
        </w:rPr>
        <w:t>усв</w:t>
      </w:r>
      <w:r>
        <w:rPr>
          <w:rFonts w:eastAsia="Times New Roman" w:asciiTheme="minorHAnsi" w:hAnsiTheme="minorHAnsi"/>
          <w:bCs/>
          <w:kern w:val="32"/>
          <w:lang w:val="sr-Cyrl-CS"/>
        </w:rPr>
        <w:t xml:space="preserve">ајају </w:t>
      </w:r>
      <w:r>
        <w:rPr>
          <w:rFonts w:eastAsia="Times New Roman" w:asciiTheme="minorHAnsi" w:hAnsiTheme="minorHAnsi"/>
          <w:bCs/>
          <w:kern w:val="32"/>
        </w:rPr>
        <w:t>од стране Скупштине Града</w:t>
      </w:r>
      <w:r>
        <w:rPr>
          <w:rFonts w:eastAsia="Times New Roman" w:asciiTheme="minorHAnsi" w:hAnsiTheme="minorHAnsi"/>
          <w:bCs/>
          <w:kern w:val="32"/>
          <w:lang w:val="sr-Cyrl-CS"/>
        </w:rPr>
        <w:t>.</w:t>
      </w:r>
      <w:r>
        <w:rPr>
          <w:rFonts w:eastAsia="Times New Roman" w:asciiTheme="minorHAnsi" w:hAnsiTheme="minorHAnsi"/>
          <w:bCs/>
          <w:kern w:val="32"/>
        </w:rPr>
        <w:t xml:space="preserve"> </w:t>
      </w:r>
    </w:p>
    <w:p>
      <w:pPr>
        <w:spacing w:before="120" w:after="120"/>
        <w:jc w:val="both"/>
        <w:rPr>
          <w:rFonts w:eastAsia="Times New Roman" w:asciiTheme="minorHAnsi" w:hAnsiTheme="minorHAnsi"/>
          <w:bCs/>
          <w:kern w:val="32"/>
        </w:rPr>
      </w:pPr>
    </w:p>
    <w:p>
      <w:pPr>
        <w:spacing w:before="120" w:after="120"/>
        <w:jc w:val="both"/>
        <w:rPr>
          <w:rFonts w:asciiTheme="minorHAnsi" w:hAnsiTheme="minorHAnsi"/>
          <w:bCs/>
          <w:kern w:val="32"/>
        </w:rPr>
      </w:pPr>
      <w:r>
        <w:rPr>
          <w:rFonts w:eastAsia="Times New Roman" w:asciiTheme="minorHAnsi" w:hAnsiTheme="minorHAnsi"/>
          <w:bCs/>
          <w:kern w:val="32"/>
        </w:rPr>
        <w:t xml:space="preserve">У 2018. </w:t>
      </w:r>
      <w:r>
        <w:rPr>
          <w:rFonts w:eastAsia="Times New Roman" w:asciiTheme="minorHAnsi" w:hAnsiTheme="minorHAnsi"/>
          <w:bCs/>
          <w:kern w:val="32"/>
          <w:lang w:val="sr-Cyrl-CS"/>
        </w:rPr>
        <w:t>г</w:t>
      </w:r>
      <w:r>
        <w:rPr>
          <w:rFonts w:eastAsia="Times New Roman" w:asciiTheme="minorHAnsi" w:hAnsiTheme="minorHAnsi"/>
          <w:bCs/>
          <w:kern w:val="32"/>
        </w:rPr>
        <w:t>одини</w:t>
      </w:r>
      <w:r>
        <w:rPr>
          <w:rFonts w:eastAsia="Times New Roman" w:asciiTheme="minorHAnsi" w:hAnsiTheme="minorHAnsi"/>
          <w:bCs/>
          <w:kern w:val="32"/>
          <w:lang w:val="sr-Cyrl-CS"/>
        </w:rPr>
        <w:t>,</w:t>
      </w:r>
      <w:r>
        <w:rPr>
          <w:rFonts w:eastAsia="Times New Roman" w:asciiTheme="minorHAnsi" w:hAnsiTheme="minorHAnsi"/>
          <w:bCs/>
          <w:kern w:val="32"/>
        </w:rPr>
        <w:t xml:space="preserve"> поред текућег одржавања, модернизације, реконстукције и инвестиционог одржавања саобраћајница</w:t>
      </w:r>
      <w:r>
        <w:rPr>
          <w:rFonts w:eastAsia="Times New Roman" w:asciiTheme="minorHAnsi" w:hAnsiTheme="minorHAnsi"/>
          <w:bCs/>
          <w:kern w:val="32"/>
          <w:lang w:val="sr-Cyrl-CS"/>
        </w:rPr>
        <w:t xml:space="preserve">, </w:t>
      </w:r>
      <w:r>
        <w:rPr>
          <w:rFonts w:eastAsia="Times New Roman" w:asciiTheme="minorHAnsi" w:hAnsiTheme="minorHAnsi"/>
          <w:bCs/>
          <w:kern w:val="32"/>
        </w:rPr>
        <w:t>које су утврђене као приоритети, предвиђен је и већи број пројеката који ће бити имплементирани у складу са расположивим средствима у буџету</w:t>
      </w:r>
      <w:r>
        <w:rPr>
          <w:rFonts w:eastAsia="Times New Roman" w:asciiTheme="minorHAnsi" w:hAnsiTheme="minorHAnsi"/>
          <w:bCs/>
          <w:kern w:val="32"/>
          <w:lang w:val="sr-Cyrl-CS"/>
        </w:rPr>
        <w:t xml:space="preserve"> и очекиваним екстерним изворима финансирања</w:t>
      </w:r>
      <w:r>
        <w:rPr>
          <w:rFonts w:eastAsia="Times New Roman" w:asciiTheme="minorHAnsi" w:hAnsiTheme="minorHAnsi"/>
          <w:bCs/>
          <w:kern w:val="32"/>
        </w:rPr>
        <w:t>:</w:t>
      </w:r>
      <w:r>
        <w:rPr>
          <w:rFonts w:eastAsia="Times New Roman" w:asciiTheme="minorHAnsi" w:hAnsiTheme="minorHAnsi"/>
          <w:bCs/>
          <w:kern w:val="32"/>
          <w:lang w:val="sr-Cyrl-RS"/>
        </w:rPr>
        <w:t xml:space="preserve"> и</w:t>
      </w:r>
      <w:r>
        <w:rPr>
          <w:rFonts w:asciiTheme="minorHAnsi" w:hAnsiTheme="minorHAnsi"/>
          <w:bCs/>
          <w:kern w:val="32"/>
        </w:rPr>
        <w:t>зградња Зеленог моста,</w:t>
      </w:r>
      <w:r>
        <w:rPr>
          <w:rFonts w:asciiTheme="minorHAnsi" w:hAnsiTheme="minorHAnsi"/>
          <w:bCs/>
          <w:kern w:val="32"/>
          <w:lang w:val="sr-Cyrl-RS"/>
        </w:rPr>
        <w:t xml:space="preserve"> з</w:t>
      </w:r>
      <w:r>
        <w:rPr>
          <w:rFonts w:asciiTheme="minorHAnsi" w:hAnsiTheme="minorHAnsi"/>
          <w:bCs/>
          <w:kern w:val="32"/>
        </w:rPr>
        <w:t>авршетак започете изградње прве фазе дијела Источног транзита, чиме ће се након више деценија повезати насеља Обилићево и Старчевица,</w:t>
      </w:r>
      <w:r>
        <w:rPr>
          <w:rFonts w:asciiTheme="minorHAnsi" w:hAnsiTheme="minorHAnsi"/>
          <w:bCs/>
          <w:kern w:val="32"/>
          <w:lang w:val="sr-Cyrl-RS"/>
        </w:rPr>
        <w:t xml:space="preserve"> и</w:t>
      </w:r>
      <w:r>
        <w:rPr>
          <w:rFonts w:asciiTheme="minorHAnsi" w:hAnsiTheme="minorHAnsi"/>
          <w:bCs/>
          <w:kern w:val="32"/>
        </w:rPr>
        <w:t xml:space="preserve">зградњa Источног транзита од Улице Б. Поткоњака и Крфске до Улице Гаврила Принципа (веза са </w:t>
      </w:r>
      <w:r>
        <w:rPr>
          <w:rFonts w:asciiTheme="minorHAnsi" w:hAnsiTheme="minorHAnsi"/>
          <w:bCs/>
          <w:kern w:val="32"/>
          <w:lang w:val="sr-Cyrl-CS"/>
        </w:rPr>
        <w:t>З</w:t>
      </w:r>
      <w:r>
        <w:rPr>
          <w:rFonts w:asciiTheme="minorHAnsi" w:hAnsiTheme="minorHAnsi"/>
          <w:bCs/>
          <w:kern w:val="32"/>
        </w:rPr>
        <w:t>ападним транзитом преко Зеленог моста)</w:t>
      </w:r>
      <w:r>
        <w:rPr>
          <w:rFonts w:asciiTheme="minorHAnsi" w:hAnsiTheme="minorHAnsi"/>
          <w:bCs/>
          <w:kern w:val="32"/>
          <w:lang w:val="sr-Cyrl-RS"/>
        </w:rPr>
        <w:t xml:space="preserve"> и р</w:t>
      </w:r>
      <w:r>
        <w:rPr>
          <w:rFonts w:asciiTheme="minorHAnsi" w:hAnsiTheme="minorHAnsi"/>
          <w:bCs/>
          <w:kern w:val="32"/>
        </w:rPr>
        <w:t>еконструкцијa већег броја постојећих крстастих у кружне раскрснице.</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Град Бањалука ће у наредном временском периоду дати приоритет и рјешавању проблема саобраћаја у приградским дијеловима града, гдје се број становника у послијератном периоду значајно повећао. Примар</w:t>
      </w:r>
      <w:r>
        <w:rPr>
          <w:rFonts w:eastAsia="Times New Roman" w:asciiTheme="minorHAnsi" w:hAnsiTheme="minorHAnsi"/>
          <w:bCs/>
          <w:kern w:val="32"/>
          <w:lang w:val="sr-Cyrl-RS"/>
        </w:rPr>
        <w:t>ни</w:t>
      </w:r>
      <w:r>
        <w:rPr>
          <w:rFonts w:eastAsia="Times New Roman" w:asciiTheme="minorHAnsi" w:hAnsiTheme="minorHAnsi"/>
          <w:bCs/>
          <w:kern w:val="32"/>
        </w:rPr>
        <w:t xml:space="preserve"> задатак ће бити да се ријеши саобраћајна и пратећа инфраструктура главних</w:t>
      </w:r>
      <w:r>
        <w:rPr>
          <w:rFonts w:eastAsia="Times New Roman" w:asciiTheme="minorHAnsi" w:hAnsiTheme="minorHAnsi"/>
          <w:bCs/>
          <w:kern w:val="32"/>
          <w:lang w:val="sr-Cyrl-RS"/>
        </w:rPr>
        <w:t>,</w:t>
      </w:r>
      <w:r>
        <w:rPr>
          <w:rFonts w:eastAsia="Times New Roman" w:asciiTheme="minorHAnsi" w:hAnsiTheme="minorHAnsi"/>
          <w:bCs/>
          <w:kern w:val="32"/>
        </w:rPr>
        <w:t xml:space="preserve"> односно</w:t>
      </w:r>
      <w:r>
        <w:rPr>
          <w:rFonts w:eastAsia="Times New Roman" w:asciiTheme="minorHAnsi" w:hAnsiTheme="minorHAnsi"/>
          <w:bCs/>
          <w:kern w:val="32"/>
          <w:lang w:val="sr-Cyrl-RS"/>
        </w:rPr>
        <w:t>,</w:t>
      </w:r>
      <w:r>
        <w:rPr>
          <w:rFonts w:eastAsia="Times New Roman" w:asciiTheme="minorHAnsi" w:hAnsiTheme="minorHAnsi"/>
          <w:bCs/>
          <w:kern w:val="32"/>
        </w:rPr>
        <w:t xml:space="preserve"> сабирних улица у насељима, те на тај начин омогућити изградња и секундарне мреже. Ријеч је о следећим насељима и улицама чија изградња ће се вршити фазно, а у свему према расположивим средствима у буџету</w:t>
      </w:r>
      <w:r>
        <w:rPr>
          <w:rFonts w:eastAsia="Times New Roman" w:asciiTheme="minorHAnsi" w:hAnsiTheme="minorHAnsi"/>
          <w:bCs/>
          <w:kern w:val="32"/>
          <w:lang w:val="sr-Cyrl-CS"/>
        </w:rPr>
        <w:t xml:space="preserve"> и</w:t>
      </w:r>
      <w:r>
        <w:t xml:space="preserve"> </w:t>
      </w:r>
      <w:r>
        <w:rPr>
          <w:lang w:val="sr-Cyrl-CS"/>
        </w:rPr>
        <w:t xml:space="preserve">евентуалним </w:t>
      </w:r>
      <w:r>
        <w:rPr>
          <w:rFonts w:eastAsia="Times New Roman" w:asciiTheme="minorHAnsi" w:hAnsiTheme="minorHAnsi"/>
          <w:bCs/>
          <w:kern w:val="32"/>
          <w:lang w:val="sr-Cyrl-CS"/>
        </w:rPr>
        <w:t>екстерним изворима финансирања</w:t>
      </w:r>
      <w:r>
        <w:rPr>
          <w:rFonts w:eastAsia="Times New Roman" w:asciiTheme="minorHAnsi" w:hAnsiTheme="minorHAnsi"/>
          <w:bCs/>
          <w:kern w:val="32"/>
        </w:rPr>
        <w:t>: пут за Мотике, пут за Шарговац, пут за Пријечане, пут за Чесму, пут за Куљане.</w:t>
      </w:r>
    </w:p>
    <w:p>
      <w:pPr>
        <w:spacing w:before="120" w:after="120"/>
        <w:jc w:val="both"/>
        <w:rPr>
          <w:lang w:val="sr-Cyrl-RS"/>
        </w:rPr>
      </w:pPr>
      <w:r>
        <w:rPr>
          <w:rFonts w:eastAsia="Times New Roman" w:asciiTheme="minorHAnsi" w:hAnsiTheme="minorHAnsi"/>
          <w:bCs/>
          <w:kern w:val="32"/>
          <w:lang w:val="sr-Cyrl-CS"/>
        </w:rPr>
        <w:t>У области развоја саобраћаја, в</w:t>
      </w:r>
      <w:r>
        <w:rPr>
          <w:rFonts w:eastAsia="Times New Roman" w:asciiTheme="minorHAnsi" w:hAnsiTheme="minorHAnsi"/>
          <w:bCs/>
          <w:kern w:val="32"/>
        </w:rPr>
        <w:t>изија града је</w:t>
      </w:r>
      <w:r>
        <w:rPr>
          <w:rFonts w:eastAsia="Times New Roman" w:asciiTheme="minorHAnsi" w:hAnsiTheme="minorHAnsi"/>
          <w:bCs/>
          <w:kern w:val="32"/>
          <w:lang w:val="sr-Cyrl-CS"/>
        </w:rPr>
        <w:t xml:space="preserve"> </w:t>
      </w:r>
      <w:r>
        <w:rPr>
          <w:rFonts w:eastAsia="Times New Roman" w:asciiTheme="minorHAnsi" w:hAnsiTheme="minorHAnsi"/>
          <w:bCs/>
          <w:kern w:val="32"/>
        </w:rPr>
        <w:t>да бициклистички саобраћај постане један од основних видова превоза у циљу задовољавања мобилности и једна од полазних тачака одрживог развоја града</w:t>
      </w:r>
      <w:r>
        <w:rPr>
          <w:rFonts w:eastAsia="Times New Roman" w:asciiTheme="minorHAnsi" w:hAnsiTheme="minorHAnsi"/>
          <w:bCs/>
          <w:kern w:val="32"/>
          <w:lang w:val="sr-Cyrl-RS"/>
        </w:rPr>
        <w:t>.</w:t>
      </w:r>
      <w:r>
        <w:rPr>
          <w:rFonts w:eastAsia="Times New Roman" w:asciiTheme="minorHAnsi" w:hAnsiTheme="minorHAnsi"/>
          <w:bCs/>
          <w:kern w:val="32"/>
        </w:rPr>
        <w:t xml:space="preserve"> Бициклистички саобраћај мора да буде саставни дио политике развоја саобраћајне мреже и саобраћаја града. Као подршка овом виду превоза мора да буду и политика урбаног развоја, социо-економска, порезна, земљишна и друге политике</w:t>
      </w:r>
      <w:r>
        <w:rPr>
          <w:rFonts w:eastAsia="Times New Roman" w:asciiTheme="minorHAnsi" w:hAnsiTheme="minorHAnsi"/>
          <w:bCs/>
          <w:kern w:val="32"/>
          <w:lang w:val="sr-Cyrl-RS"/>
        </w:rPr>
        <w:t>,</w:t>
      </w:r>
      <w:r>
        <w:rPr>
          <w:rFonts w:eastAsia="Times New Roman" w:asciiTheme="minorHAnsi" w:hAnsiTheme="minorHAnsi"/>
          <w:bCs/>
          <w:kern w:val="32"/>
        </w:rPr>
        <w:t xml:space="preserve"> с обзиром да све ове политике имају међусобну интеракцију. </w:t>
      </w:r>
    </w:p>
    <w:p>
      <w:pPr>
        <w:spacing w:before="120" w:after="120"/>
        <w:jc w:val="both"/>
        <w:rPr>
          <w:lang w:val="sr-Latn-RS"/>
        </w:rPr>
      </w:pPr>
      <w:r>
        <w:t>Саобраћајна мрежа Града Бањалука мора се развијати у правцу осигура</w:t>
      </w:r>
      <w:r>
        <w:rPr>
          <w:lang w:val="sr-Cyrl-RS"/>
        </w:rPr>
        <w:t>ња</w:t>
      </w:r>
      <w:r>
        <w:t xml:space="preserve"> несметан</w:t>
      </w:r>
      <w:r>
        <w:rPr>
          <w:lang w:val="sr-Cyrl-RS"/>
        </w:rPr>
        <w:t>ог</w:t>
      </w:r>
      <w:r>
        <w:t xml:space="preserve"> приступ</w:t>
      </w:r>
      <w:r>
        <w:rPr>
          <w:lang w:val="sr-Cyrl-RS"/>
        </w:rPr>
        <w:t>а</w:t>
      </w:r>
      <w:r>
        <w:t xml:space="preserve"> и кретањ</w:t>
      </w:r>
      <w:r>
        <w:rPr>
          <w:lang w:val="sr-Cyrl-RS"/>
        </w:rPr>
        <w:t>а</w:t>
      </w:r>
      <w:r>
        <w:t xml:space="preserve">, особама са инвалидитетом и смањеном покретљивости, те унаприједити приступачност објектима јавне, пословне, стамбене и стамбено-пословне намјене. </w:t>
      </w:r>
    </w:p>
    <w:p>
      <w:pPr>
        <w:spacing w:before="120" w:after="120"/>
        <w:jc w:val="both"/>
      </w:pPr>
      <w:r>
        <w:t xml:space="preserve">Редовним акцијама које се годинама уназад одвијају у организацији Града Бањалука, као и Владе Републике Српске, неопходно је и у будућности подизати свијест грађана о саобраћају и његовим учесницима.                                 </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Жељезничка станица у Бања</w:t>
      </w:r>
      <w:r>
        <w:rPr>
          <w:rFonts w:eastAsia="Times New Roman" w:asciiTheme="minorHAnsi" w:hAnsiTheme="minorHAnsi"/>
          <w:bCs/>
          <w:kern w:val="32"/>
          <w:lang w:val="sr-Cyrl-RS"/>
        </w:rPr>
        <w:t xml:space="preserve"> Л</w:t>
      </w:r>
      <w:r>
        <w:rPr>
          <w:rFonts w:eastAsia="Times New Roman" w:asciiTheme="minorHAnsi" w:hAnsiTheme="minorHAnsi"/>
          <w:bCs/>
          <w:kern w:val="32"/>
        </w:rPr>
        <w:t xml:space="preserve">уци је у саставу магистралне жељезничке пруге Нови </w:t>
      </w:r>
      <w:r>
        <w:rPr>
          <w:rFonts w:eastAsia="Times New Roman" w:asciiTheme="minorHAnsi" w:hAnsiTheme="minorHAnsi"/>
          <w:bCs/>
          <w:kern w:val="32"/>
          <w:lang w:val="sr-Cyrl-CS"/>
        </w:rPr>
        <w:t>Гр</w:t>
      </w:r>
      <w:r>
        <w:rPr>
          <w:rFonts w:eastAsia="Times New Roman" w:asciiTheme="minorHAnsi" w:hAnsiTheme="minorHAnsi"/>
          <w:bCs/>
          <w:kern w:val="32"/>
        </w:rPr>
        <w:t>ад – Бања Лука – Добој – Зворник.</w:t>
      </w:r>
      <w:r>
        <w:rPr>
          <w:rFonts w:eastAsia="Times New Roman" w:asciiTheme="minorHAnsi" w:hAnsiTheme="minorHAnsi"/>
          <w:bCs/>
          <w:kern w:val="32"/>
          <w:lang w:val="sr-Cyrl-RS"/>
        </w:rPr>
        <w:t xml:space="preserve"> </w:t>
      </w:r>
      <w:r>
        <w:rPr>
          <w:rFonts w:eastAsia="Times New Roman" w:asciiTheme="minorHAnsi" w:hAnsiTheme="minorHAnsi"/>
          <w:bCs/>
          <w:kern w:val="32"/>
        </w:rPr>
        <w:t>Жељезнички саобраћај је базиран на постојећој траси, а планирана је реконструкција и модернизација постојеће</w:t>
      </w:r>
      <w:r>
        <w:rPr>
          <w:rFonts w:eastAsia="Times New Roman" w:asciiTheme="minorHAnsi" w:hAnsiTheme="minorHAnsi"/>
          <w:bCs/>
          <w:kern w:val="32"/>
          <w:lang w:val="sr-Cyrl-RS"/>
        </w:rPr>
        <w:t xml:space="preserve"> </w:t>
      </w:r>
      <w:r>
        <w:rPr>
          <w:rFonts w:eastAsia="Times New Roman" w:asciiTheme="minorHAnsi" w:hAnsiTheme="minorHAnsi"/>
          <w:bCs/>
          <w:kern w:val="32"/>
        </w:rPr>
        <w:t>магистралне пруге нормалног колосјека Приједор - Бања Лука – Добој и изградња пруге Бања Лука –</w:t>
      </w:r>
      <w:r>
        <w:rPr>
          <w:rFonts w:eastAsia="Times New Roman" w:asciiTheme="minorHAnsi" w:hAnsiTheme="minorHAnsi"/>
          <w:bCs/>
          <w:kern w:val="32"/>
          <w:lang w:val="sr-Cyrl-RS"/>
        </w:rPr>
        <w:t xml:space="preserve"> </w:t>
      </w:r>
      <w:r>
        <w:rPr>
          <w:rFonts w:eastAsia="Times New Roman" w:asciiTheme="minorHAnsi" w:hAnsiTheme="minorHAnsi"/>
          <w:bCs/>
          <w:kern w:val="32"/>
        </w:rPr>
        <w:t>Градишка (односно задржавање планираног триангла у Залужанима). Могућности побољшања јавног саобраћаја</w:t>
      </w:r>
      <w:r>
        <w:rPr>
          <w:rFonts w:eastAsia="Times New Roman" w:asciiTheme="minorHAnsi" w:hAnsiTheme="minorHAnsi"/>
          <w:bCs/>
          <w:kern w:val="32"/>
          <w:lang w:val="sr-Cyrl-RS"/>
        </w:rPr>
        <w:t xml:space="preserve"> </w:t>
      </w:r>
      <w:r>
        <w:rPr>
          <w:rFonts w:eastAsia="Times New Roman" w:asciiTheme="minorHAnsi" w:hAnsiTheme="minorHAnsi"/>
          <w:bCs/>
          <w:kern w:val="32"/>
        </w:rPr>
        <w:t>однос</w:t>
      </w:r>
      <w:r>
        <w:rPr>
          <w:rFonts w:eastAsia="Times New Roman" w:asciiTheme="minorHAnsi" w:hAnsiTheme="minorHAnsi"/>
          <w:bCs/>
          <w:kern w:val="32"/>
          <w:lang w:val="sr-Cyrl-RS"/>
        </w:rPr>
        <w:t>е</w:t>
      </w:r>
      <w:r>
        <w:rPr>
          <w:rFonts w:eastAsia="Times New Roman" w:asciiTheme="minorHAnsi" w:hAnsiTheme="minorHAnsi"/>
          <w:bCs/>
          <w:kern w:val="32"/>
        </w:rPr>
        <w:t xml:space="preserve"> се и на веће</w:t>
      </w:r>
      <w:r>
        <w:rPr>
          <w:rFonts w:eastAsia="Times New Roman" w:asciiTheme="minorHAnsi" w:hAnsiTheme="minorHAnsi"/>
          <w:bCs/>
          <w:kern w:val="32"/>
          <w:lang w:val="sr-Cyrl-RS"/>
        </w:rPr>
        <w:t xml:space="preserve"> </w:t>
      </w:r>
      <w:r>
        <w:rPr>
          <w:rFonts w:eastAsia="Times New Roman" w:asciiTheme="minorHAnsi" w:hAnsiTheme="minorHAnsi"/>
          <w:bCs/>
          <w:kern w:val="32"/>
        </w:rPr>
        <w:t>укључење жељезнице у јавни приградски превоз путника</w:t>
      </w:r>
      <w:r>
        <w:rPr>
          <w:rFonts w:eastAsia="Times New Roman" w:asciiTheme="minorHAnsi" w:hAnsiTheme="minorHAnsi"/>
          <w:bCs/>
          <w:kern w:val="32"/>
          <w:lang w:val="sr-Cyrl-RS"/>
        </w:rPr>
        <w:t>,</w:t>
      </w:r>
      <w:r>
        <w:rPr>
          <w:rFonts w:eastAsia="Times New Roman" w:asciiTheme="minorHAnsi" w:hAnsiTheme="minorHAnsi"/>
          <w:bCs/>
          <w:kern w:val="32"/>
        </w:rPr>
        <w:t xml:space="preserve"> увођењем нових превозних средстава и</w:t>
      </w:r>
      <w:r>
        <w:rPr>
          <w:rFonts w:eastAsia="Times New Roman" w:asciiTheme="minorHAnsi" w:hAnsiTheme="minorHAnsi"/>
          <w:bCs/>
          <w:kern w:val="32"/>
          <w:lang w:val="sr-Cyrl-RS"/>
        </w:rPr>
        <w:t xml:space="preserve"> </w:t>
      </w:r>
      <w:r>
        <w:rPr>
          <w:rFonts w:eastAsia="Times New Roman" w:asciiTheme="minorHAnsi" w:hAnsiTheme="minorHAnsi"/>
          <w:bCs/>
          <w:kern w:val="32"/>
        </w:rPr>
        <w:t>новог реда вожње, чиме се постиже брз, ефикасан и квалитетан превоз путника овим видом</w:t>
      </w:r>
      <w:r>
        <w:rPr>
          <w:rFonts w:eastAsia="Times New Roman" w:asciiTheme="minorHAnsi" w:hAnsiTheme="minorHAnsi"/>
          <w:bCs/>
          <w:kern w:val="32"/>
          <w:lang w:val="sr-Cyrl-RS"/>
        </w:rPr>
        <w:t xml:space="preserve"> </w:t>
      </w:r>
      <w:r>
        <w:rPr>
          <w:rFonts w:eastAsia="Times New Roman" w:asciiTheme="minorHAnsi" w:hAnsiTheme="minorHAnsi"/>
          <w:bCs/>
          <w:kern w:val="32"/>
        </w:rPr>
        <w:t>саобраћаја. Унапређење жељезничког теретног саобраћаја је потребно остварити реконструкцијом иосавремењавањем претоварних терминала.</w:t>
      </w:r>
      <w:r>
        <w:rPr>
          <w:rFonts w:eastAsia="Times New Roman" w:asciiTheme="minorHAnsi" w:hAnsiTheme="minorHAnsi"/>
          <w:bCs/>
          <w:kern w:val="32"/>
          <w:vertAlign w:val="superscript"/>
        </w:rPr>
        <w:footnoteReference w:id="63"/>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Аеродром „Бања Лука“ у Маховљанима, општина Лакташи, је ваздушна</w:t>
      </w:r>
      <w:r>
        <w:rPr>
          <w:rFonts w:eastAsia="Times New Roman" w:asciiTheme="minorHAnsi" w:hAnsiTheme="minorHAnsi"/>
          <w:bCs/>
          <w:kern w:val="32"/>
          <w:lang w:val="sr-Cyrl-RS"/>
        </w:rPr>
        <w:t xml:space="preserve"> </w:t>
      </w:r>
      <w:r>
        <w:rPr>
          <w:rFonts w:eastAsia="Times New Roman" w:asciiTheme="minorHAnsi" w:hAnsiTheme="minorHAnsi"/>
          <w:bCs/>
          <w:kern w:val="32"/>
        </w:rPr>
        <w:t>лука која је удаљена око 20 km од центра града.</w:t>
      </w:r>
    </w:p>
    <w:p>
      <w:pPr>
        <w:spacing w:before="120" w:after="120"/>
        <w:jc w:val="both"/>
        <w:rPr>
          <w:rFonts w:eastAsia="Times New Roman" w:asciiTheme="minorHAnsi" w:hAnsiTheme="minorHAnsi"/>
          <w:bCs/>
          <w:kern w:val="32"/>
          <w:lang w:val="sr-Cyrl-CS"/>
        </w:rPr>
      </w:pPr>
    </w:p>
    <w:p>
      <w:pPr>
        <w:spacing w:before="120" w:after="120"/>
        <w:jc w:val="both"/>
        <w:rPr>
          <w:rFonts w:eastAsia="Times New Roman" w:asciiTheme="minorHAnsi" w:hAnsiTheme="minorHAnsi"/>
          <w:bCs/>
          <w:kern w:val="32"/>
          <w:lang w:val="sr-Cyrl-CS"/>
        </w:rPr>
      </w:pPr>
    </w:p>
    <w:p>
      <w:pPr>
        <w:keepNext/>
        <w:keepLines/>
        <w:spacing w:before="200"/>
        <w:ind w:left="426"/>
        <w:outlineLvl w:val="3"/>
        <w:rPr>
          <w:rFonts w:eastAsia="Times New Roman" w:asciiTheme="minorHAnsi" w:hAnsiTheme="minorHAnsi" w:cstheme="minorHAnsi"/>
          <w:b/>
          <w:bCs/>
          <w:i/>
          <w:iCs/>
          <w:lang w:val="sr-Cyrl-CS"/>
        </w:rPr>
      </w:pPr>
      <w:bookmarkStart w:id="65" w:name="_Toc500506476"/>
      <w:bookmarkStart w:id="66" w:name="_Toc526761909"/>
      <w:r>
        <w:rPr>
          <w:rFonts w:eastAsia="Times New Roman" w:asciiTheme="minorHAnsi" w:hAnsiTheme="minorHAnsi" w:cstheme="minorHAnsi"/>
          <w:b/>
          <w:bCs/>
          <w:i/>
          <w:iCs/>
          <w:lang w:val="hr-HR"/>
        </w:rPr>
        <w:t xml:space="preserve">IV.1.6.2. </w:t>
      </w:r>
      <w:r>
        <w:rPr>
          <w:rFonts w:eastAsia="Times New Roman" w:asciiTheme="minorHAnsi" w:hAnsiTheme="minorHAnsi" w:cstheme="minorHAnsi"/>
          <w:b/>
          <w:bCs/>
          <w:i/>
          <w:iCs/>
        </w:rPr>
        <w:t>Е</w:t>
      </w:r>
      <w:r>
        <w:rPr>
          <w:rFonts w:eastAsia="Times New Roman" w:asciiTheme="minorHAnsi" w:hAnsiTheme="minorHAnsi" w:cstheme="minorHAnsi"/>
          <w:b/>
          <w:bCs/>
          <w:i/>
          <w:iCs/>
          <w:lang w:val="hr-HR"/>
        </w:rPr>
        <w:t>нергетск</w:t>
      </w:r>
      <w:r>
        <w:rPr>
          <w:rFonts w:eastAsia="Times New Roman" w:asciiTheme="minorHAnsi" w:hAnsiTheme="minorHAnsi" w:cstheme="minorHAnsi"/>
          <w:b/>
          <w:bCs/>
          <w:i/>
          <w:iCs/>
        </w:rPr>
        <w:t>а</w:t>
      </w:r>
      <w:r>
        <w:rPr>
          <w:rFonts w:eastAsia="Times New Roman" w:asciiTheme="minorHAnsi" w:hAnsiTheme="minorHAnsi" w:cstheme="minorHAnsi"/>
          <w:b/>
          <w:bCs/>
          <w:i/>
          <w:iCs/>
          <w:lang w:val="hr-HR"/>
        </w:rPr>
        <w:t xml:space="preserve"> инфраструктур</w:t>
      </w:r>
      <w:r>
        <w:rPr>
          <w:rFonts w:eastAsia="Times New Roman" w:asciiTheme="minorHAnsi" w:hAnsiTheme="minorHAnsi" w:cstheme="minorHAnsi"/>
          <w:b/>
          <w:bCs/>
          <w:i/>
          <w:iCs/>
        </w:rPr>
        <w:t>а</w:t>
      </w:r>
      <w:bookmarkEnd w:id="65"/>
      <w:bookmarkEnd w:id="66"/>
    </w:p>
    <w:p>
      <w:pPr>
        <w:spacing w:before="120" w:after="120"/>
        <w:jc w:val="both"/>
        <w:rPr>
          <w:rFonts w:eastAsia="Times New Roman" w:asciiTheme="minorHAnsi" w:hAnsiTheme="minorHAnsi"/>
          <w:bCs/>
          <w:kern w:val="32"/>
          <w:lang w:val="hr-HR"/>
        </w:rPr>
      </w:pPr>
      <w:r>
        <w:rPr>
          <w:rFonts w:eastAsia="Times New Roman" w:asciiTheme="minorHAnsi" w:hAnsiTheme="minorHAnsi" w:cstheme="minorHAnsi"/>
          <w:bCs/>
          <w:kern w:val="32"/>
        </w:rPr>
        <w:t>Снабдијевање домаћинстава електричном енергијом у градским и приградским насељима је на задовољавајућем нивоу. На руралном подручју града Бања Луке, евидентирана је густа мрежа високонапонских и</w:t>
      </w:r>
      <w:r>
        <w:rPr>
          <w:rFonts w:eastAsia="Times New Roman" w:asciiTheme="minorHAnsi" w:hAnsiTheme="minorHAnsi" w:cstheme="minorHAnsi"/>
          <w:bCs/>
          <w:kern w:val="32"/>
          <w:lang w:val="sr-Cyrl-RS"/>
        </w:rPr>
        <w:t xml:space="preserve"> </w:t>
      </w:r>
      <w:r>
        <w:rPr>
          <w:rFonts w:eastAsia="Times New Roman" w:asciiTheme="minorHAnsi" w:hAnsiTheme="minorHAnsi" w:cstheme="minorHAnsi"/>
          <w:bCs/>
          <w:kern w:val="32"/>
        </w:rPr>
        <w:t>средњенапонских далековода, која је највећим дијелом сконцентрисана на</w:t>
      </w:r>
      <w:r>
        <w:rPr>
          <w:rFonts w:eastAsia="Times New Roman" w:asciiTheme="minorHAnsi" w:hAnsiTheme="minorHAnsi" w:cstheme="minorHAnsi"/>
          <w:bCs/>
          <w:kern w:val="32"/>
          <w:lang w:val="bs-Latn-BA"/>
        </w:rPr>
        <w:t xml:space="preserve"> </w:t>
      </w:r>
      <w:r>
        <w:rPr>
          <w:rFonts w:eastAsia="Times New Roman" w:asciiTheme="minorHAnsi" w:hAnsiTheme="minorHAnsi" w:cstheme="minorHAnsi"/>
          <w:bCs/>
          <w:kern w:val="32"/>
        </w:rPr>
        <w:t>сјеверозападном и јужном дијелу града. У свим насељима, на периферији града Бања Луке, израђена је надземна нисконапонска</w:t>
      </w:r>
      <w:r>
        <w:rPr>
          <w:rFonts w:eastAsia="Times New Roman" w:asciiTheme="minorHAnsi" w:hAnsiTheme="minorHAnsi" w:cstheme="minorHAnsi"/>
          <w:bCs/>
          <w:kern w:val="32"/>
          <w:lang w:val="bs-Latn-BA"/>
        </w:rPr>
        <w:t xml:space="preserve"> (</w:t>
      </w:r>
      <w:r>
        <w:rPr>
          <w:rFonts w:eastAsia="Times New Roman" w:asciiTheme="minorHAnsi" w:hAnsiTheme="minorHAnsi" w:cstheme="minorHAnsi"/>
          <w:bCs/>
          <w:kern w:val="32"/>
        </w:rPr>
        <w:t>НН</w:t>
      </w:r>
      <w:r>
        <w:rPr>
          <w:rFonts w:eastAsia="Times New Roman" w:asciiTheme="minorHAnsi" w:hAnsiTheme="minorHAnsi" w:cstheme="minorHAnsi"/>
          <w:bCs/>
          <w:kern w:val="32"/>
          <w:lang w:val="bs-Latn-BA"/>
        </w:rPr>
        <w:t>)</w:t>
      </w:r>
      <w:r>
        <w:rPr>
          <w:rFonts w:eastAsia="Times New Roman" w:asciiTheme="minorHAnsi" w:hAnsiTheme="minorHAnsi" w:cstheme="minorHAnsi"/>
          <w:bCs/>
          <w:kern w:val="32"/>
        </w:rPr>
        <w:t xml:space="preserve"> мрежа</w:t>
      </w:r>
      <w:r>
        <w:rPr>
          <w:rFonts w:eastAsia="Times New Roman" w:asciiTheme="minorHAnsi" w:hAnsiTheme="minorHAnsi" w:cstheme="minorHAnsi"/>
          <w:bCs/>
          <w:kern w:val="32"/>
          <w:lang w:val="sr-Cyrl-RS"/>
        </w:rPr>
        <w:t xml:space="preserve"> </w:t>
      </w:r>
      <w:r>
        <w:rPr>
          <w:rFonts w:eastAsia="Times New Roman" w:asciiTheme="minorHAnsi" w:hAnsiTheme="minorHAnsi" w:cstheme="minorHAnsi"/>
          <w:bCs/>
          <w:kern w:val="32"/>
        </w:rPr>
        <w:t>преко које се потрошачи снабдијевају ел</w:t>
      </w:r>
      <w:r>
        <w:rPr>
          <w:rFonts w:eastAsia="Times New Roman" w:asciiTheme="minorHAnsi" w:hAnsiTheme="minorHAnsi" w:cstheme="minorHAnsi"/>
          <w:bCs/>
          <w:kern w:val="32"/>
          <w:lang w:val="sr-Cyrl-RS"/>
        </w:rPr>
        <w:t>ектричном</w:t>
      </w:r>
      <w:r>
        <w:rPr>
          <w:rFonts w:eastAsia="Times New Roman" w:asciiTheme="minorHAnsi" w:hAnsiTheme="minorHAnsi" w:cstheme="minorHAnsi"/>
          <w:bCs/>
          <w:kern w:val="32"/>
        </w:rPr>
        <w:t xml:space="preserve"> енергијом. Мрежа је изграђена у доба опште</w:t>
      </w:r>
      <w:r>
        <w:rPr>
          <w:rFonts w:eastAsia="Times New Roman" w:asciiTheme="minorHAnsi" w:hAnsiTheme="minorHAnsi" w:cstheme="minorHAnsi"/>
          <w:bCs/>
          <w:kern w:val="32"/>
          <w:lang w:val="sr-Cyrl-RS"/>
        </w:rPr>
        <w:t xml:space="preserve"> </w:t>
      </w:r>
      <w:r>
        <w:rPr>
          <w:rFonts w:eastAsia="Times New Roman" w:asciiTheme="minorHAnsi" w:hAnsiTheme="minorHAnsi" w:cstheme="minorHAnsi"/>
          <w:bCs/>
          <w:kern w:val="32"/>
        </w:rPr>
        <w:t>електрификације насеља. У појединим засеоцима која су удаљена од центра села,</w:t>
      </w:r>
      <w:r>
        <w:rPr>
          <w:rFonts w:eastAsia="Times New Roman" w:asciiTheme="minorHAnsi" w:hAnsiTheme="minorHAnsi" w:cstheme="minorHAnsi"/>
          <w:bCs/>
          <w:kern w:val="32"/>
          <w:lang w:val="sr-Cyrl-RS"/>
        </w:rPr>
        <w:t xml:space="preserve"> </w:t>
      </w:r>
      <w:r>
        <w:rPr>
          <w:rFonts w:eastAsia="Times New Roman" w:asciiTheme="minorHAnsi" w:hAnsiTheme="minorHAnsi" w:cstheme="minorHAnsi"/>
          <w:bCs/>
          <w:kern w:val="32"/>
        </w:rPr>
        <w:t>напонс</w:t>
      </w:r>
      <w:r>
        <w:rPr>
          <w:rFonts w:eastAsia="Times New Roman" w:asciiTheme="minorHAnsi" w:hAnsiTheme="minorHAnsi"/>
          <w:bCs/>
          <w:kern w:val="32"/>
        </w:rPr>
        <w:t>ке прилике су лоше, па се у тим засеоцима планира</w:t>
      </w:r>
      <w:r>
        <w:rPr>
          <w:rFonts w:eastAsia="Times New Roman" w:asciiTheme="minorHAnsi" w:hAnsiTheme="minorHAnsi"/>
          <w:bCs/>
          <w:kern w:val="32"/>
          <w:lang w:val="sr-Cyrl-RS"/>
        </w:rPr>
        <w:t xml:space="preserve"> </w:t>
      </w:r>
      <w:r>
        <w:rPr>
          <w:rFonts w:eastAsia="Times New Roman" w:asciiTheme="minorHAnsi" w:hAnsiTheme="minorHAnsi"/>
          <w:bCs/>
          <w:kern w:val="32"/>
        </w:rPr>
        <w:t>реконструкција НН мреже. Реконструкцију је потребно вршити у сарадњи са</w:t>
      </w:r>
      <w:r>
        <w:rPr>
          <w:rFonts w:eastAsia="Times New Roman" w:asciiTheme="minorHAnsi" w:hAnsiTheme="minorHAnsi"/>
          <w:bCs/>
          <w:kern w:val="32"/>
          <w:lang w:val="sr-Cyrl-RS"/>
        </w:rPr>
        <w:t xml:space="preserve"> </w:t>
      </w:r>
      <w:r>
        <w:rPr>
          <w:rFonts w:eastAsia="Times New Roman" w:asciiTheme="minorHAnsi" w:hAnsiTheme="minorHAnsi"/>
          <w:bCs/>
          <w:kern w:val="32"/>
        </w:rPr>
        <w:t>Електродистрибуцијом и Одјељењем за комуналне послове Града Бања Луке.</w:t>
      </w:r>
      <w:r>
        <w:rPr>
          <w:rFonts w:eastAsia="Times New Roman" w:asciiTheme="minorHAnsi" w:hAnsiTheme="minorHAnsi"/>
          <w:bCs/>
          <w:kern w:val="32"/>
          <w:vertAlign w:val="superscript"/>
        </w:rPr>
        <w:footnoteReference w:id="64"/>
      </w:r>
    </w:p>
    <w:p>
      <w:pPr>
        <w:spacing w:before="120" w:after="120"/>
        <w:jc w:val="both"/>
        <w:rPr>
          <w:rFonts w:eastAsia="Times New Roman" w:asciiTheme="minorHAnsi" w:hAnsiTheme="minorHAnsi"/>
          <w:bCs/>
          <w:kern w:val="32"/>
        </w:rPr>
      </w:pPr>
      <w:r>
        <w:rPr>
          <w:rFonts w:eastAsia="Times New Roman" w:asciiTheme="minorHAnsi" w:hAnsiTheme="minorHAnsi"/>
          <w:bCs/>
          <w:kern w:val="32"/>
        </w:rPr>
        <w:t>Укупна дужина електро мреже на подручју Града је 69.562</w:t>
      </w:r>
      <w:r>
        <w:rPr>
          <w:rFonts w:eastAsia="Times New Roman" w:asciiTheme="minorHAnsi" w:hAnsiTheme="minorHAnsi"/>
          <w:bCs/>
          <w:kern w:val="32"/>
          <w:lang w:val="bs-Latn-BA"/>
        </w:rPr>
        <w:t xml:space="preserve"> </w:t>
      </w:r>
      <w:r>
        <w:rPr>
          <w:rFonts w:eastAsia="Times New Roman" w:asciiTheme="minorHAnsi" w:hAnsiTheme="minorHAnsi"/>
          <w:bCs/>
          <w:kern w:val="32"/>
          <w:lang w:val="hr-HR"/>
        </w:rPr>
        <w:t>m</w:t>
      </w:r>
      <w:r>
        <w:rPr>
          <w:rFonts w:eastAsia="Times New Roman" w:asciiTheme="minorHAnsi" w:hAnsiTheme="minorHAnsi"/>
          <w:bCs/>
          <w:kern w:val="32"/>
        </w:rPr>
        <w:t>, од чега на високонапонској мрежи 5.264</w:t>
      </w:r>
      <w:r>
        <w:rPr>
          <w:rFonts w:eastAsia="Times New Roman" w:asciiTheme="minorHAnsi" w:hAnsiTheme="minorHAnsi"/>
          <w:bCs/>
          <w:kern w:val="32"/>
          <w:lang w:val="bs-Latn-BA"/>
        </w:rPr>
        <w:t xml:space="preserve"> </w:t>
      </w:r>
      <w:r>
        <w:rPr>
          <w:rFonts w:eastAsia="Times New Roman" w:asciiTheme="minorHAnsi" w:hAnsiTheme="minorHAnsi"/>
          <w:bCs/>
          <w:kern w:val="32"/>
          <w:lang w:val="hr-HR"/>
        </w:rPr>
        <w:t>m</w:t>
      </w:r>
      <w:r>
        <w:rPr>
          <w:rFonts w:eastAsia="Times New Roman" w:asciiTheme="minorHAnsi" w:hAnsiTheme="minorHAnsi"/>
          <w:bCs/>
          <w:kern w:val="32"/>
        </w:rPr>
        <w:t>, а на нисконапонској мрежи 64.298</w:t>
      </w:r>
      <w:r>
        <w:rPr>
          <w:rFonts w:eastAsia="Times New Roman" w:asciiTheme="minorHAnsi" w:hAnsiTheme="minorHAnsi"/>
          <w:bCs/>
          <w:kern w:val="32"/>
          <w:lang w:val="bs-Latn-BA"/>
        </w:rPr>
        <w:t xml:space="preserve"> </w:t>
      </w:r>
      <w:r>
        <w:rPr>
          <w:rFonts w:eastAsia="Times New Roman" w:asciiTheme="minorHAnsi" w:hAnsiTheme="minorHAnsi"/>
          <w:bCs/>
          <w:kern w:val="32"/>
          <w:lang w:val="hr-HR"/>
        </w:rPr>
        <w:t>m</w:t>
      </w:r>
      <w:r>
        <w:rPr>
          <w:rFonts w:eastAsia="Times New Roman" w:asciiTheme="minorHAnsi" w:hAnsiTheme="minorHAnsi"/>
          <w:bCs/>
          <w:kern w:val="32"/>
        </w:rPr>
        <w:t xml:space="preserve">. Број потрошача на високонапонској мрежи у 2016. години износио је 109, док је број потрошача на нисконапонској мрежи био 91.080, од чега домаћинстава 83.037, јавне расвјете 576, те остала потрошња 7.467 потрошача. </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 xml:space="preserve">Јавно предузеће „Електрокрајина“ које управља електромрежом на подручју града Бања Луке уложиће у наредном периоду 15 милиона </w:t>
      </w:r>
      <w:r>
        <w:rPr>
          <w:rFonts w:eastAsia="Times New Roman" w:asciiTheme="minorHAnsi" w:hAnsiTheme="minorHAnsi"/>
          <w:bCs/>
          <w:kern w:val="32"/>
          <w:lang w:val="sr-Cyrl-RS"/>
        </w:rPr>
        <w:t>еура</w:t>
      </w:r>
      <w:r>
        <w:rPr>
          <w:rFonts w:eastAsia="Times New Roman" w:asciiTheme="minorHAnsi" w:hAnsiTheme="minorHAnsi"/>
          <w:bCs/>
          <w:kern w:val="32"/>
        </w:rPr>
        <w:t xml:space="preserve"> у санацију дистрибутивне мреже, измјештање мјерних мјеста и увођење даљинског очитавања потрошње. Ова инвестиција се реализује кроз кредит Европске банке за обнову и развој (уговор потписан у марту 2017.г.). Процијењено је да ће око 30.000 купаца имати боље снабдијевање електричном енергијом.  </w:t>
      </w:r>
    </w:p>
    <w:p>
      <w:pPr>
        <w:spacing w:before="120" w:after="120"/>
        <w:jc w:val="both"/>
        <w:rPr>
          <w:rFonts w:eastAsia="Times New Roman" w:asciiTheme="minorHAnsi" w:hAnsiTheme="minorHAnsi"/>
          <w:bCs/>
          <w:kern w:val="32"/>
          <w:lang w:val="sr-Cyrl-CS"/>
        </w:rPr>
      </w:pPr>
    </w:p>
    <w:p>
      <w:pPr>
        <w:keepNext/>
        <w:keepLines/>
        <w:spacing w:before="200"/>
        <w:ind w:left="426"/>
        <w:outlineLvl w:val="3"/>
        <w:rPr>
          <w:rFonts w:eastAsia="Times New Roman" w:asciiTheme="minorHAnsi" w:hAnsiTheme="minorHAnsi" w:cstheme="majorBidi"/>
          <w:b/>
          <w:bCs/>
          <w:i/>
          <w:iCs/>
          <w:lang w:val="sr-Cyrl-CS"/>
        </w:rPr>
      </w:pPr>
      <w:bookmarkStart w:id="67" w:name="_Toc526761910"/>
      <w:bookmarkStart w:id="68" w:name="_Toc500506478"/>
      <w:r>
        <w:rPr>
          <w:rFonts w:eastAsia="Times New Roman" w:asciiTheme="minorHAnsi" w:hAnsiTheme="minorHAnsi" w:cstheme="majorBidi"/>
          <w:b/>
          <w:bCs/>
          <w:i/>
          <w:iCs/>
          <w:lang w:val="hr-HR"/>
        </w:rPr>
        <w:t>IV.1.6.3. Топлификација</w:t>
      </w:r>
      <w:bookmarkEnd w:id="67"/>
      <w:bookmarkEnd w:id="68"/>
    </w:p>
    <w:p>
      <w:pPr>
        <w:spacing w:before="120" w:after="120"/>
        <w:jc w:val="both"/>
        <w:rPr>
          <w:rFonts w:eastAsiaTheme="minorHAnsi"/>
          <w:lang w:val="sr-Cyrl-CS"/>
        </w:rPr>
      </w:pPr>
      <w:r>
        <w:rPr>
          <w:lang w:val="sr-Cyrl-CS" w:eastAsia="sr-Latn-CS"/>
        </w:rPr>
        <w:t xml:space="preserve">Одлуком </w:t>
      </w:r>
      <w:r>
        <w:rPr>
          <w:lang w:eastAsia="sr-Latn-CS"/>
        </w:rPr>
        <w:t>о повјеравању обављања комуналне дјелатности</w:t>
      </w:r>
      <w:r>
        <w:rPr>
          <w:lang w:val="sr-Cyrl-CS" w:eastAsia="sr-Latn-CS"/>
        </w:rPr>
        <w:t xml:space="preserve"> коју је донијела</w:t>
      </w:r>
      <w:r>
        <w:rPr>
          <w:b/>
          <w:bCs/>
          <w:lang w:val="sr-Cyrl-CS" w:eastAsia="sr-Latn-CS"/>
        </w:rPr>
        <w:t xml:space="preserve"> </w:t>
      </w:r>
      <w:r>
        <w:rPr>
          <w:lang w:eastAsia="sr-Latn-CS"/>
        </w:rPr>
        <w:t>Скупштина града Бања Лука</w:t>
      </w:r>
      <w:r>
        <w:rPr>
          <w:lang w:val="sr-Cyrl-CS" w:eastAsia="sr-Latn-CS"/>
        </w:rPr>
        <w:t xml:space="preserve"> је</w:t>
      </w:r>
      <w:r>
        <w:rPr>
          <w:lang w:eastAsia="sr-Latn-CS"/>
        </w:rPr>
        <w:t xml:space="preserve">, на </w:t>
      </w:r>
      <w:r>
        <w:rPr>
          <w:lang w:val="sr-Cyrl-CS" w:eastAsia="sr-Latn-CS"/>
        </w:rPr>
        <w:t xml:space="preserve">19. </w:t>
      </w:r>
      <w:r>
        <w:rPr>
          <w:lang w:eastAsia="sr-Latn-CS"/>
        </w:rPr>
        <w:t>сједници, одржаној дана</w:t>
      </w:r>
      <w:r>
        <w:rPr>
          <w:lang w:val="sr-Cyrl-CS" w:eastAsia="sr-Latn-CS"/>
        </w:rPr>
        <w:t xml:space="preserve"> 31.1. </w:t>
      </w:r>
      <w:r>
        <w:rPr>
          <w:lang w:eastAsia="sr-Latn-CS"/>
        </w:rPr>
        <w:t xml:space="preserve">2018. </w:t>
      </w:r>
      <w:r>
        <w:rPr>
          <w:lang w:val="sr-Cyrl-CS" w:eastAsia="sr-Latn-CS"/>
        </w:rPr>
        <w:t>г</w:t>
      </w:r>
      <w:r>
        <w:rPr>
          <w:lang w:eastAsia="sr-Latn-CS"/>
        </w:rPr>
        <w:t>одине</w:t>
      </w:r>
      <w:r>
        <w:rPr>
          <w:lang w:val="sr-Cyrl-CS" w:eastAsia="sr-Latn-CS"/>
        </w:rPr>
        <w:t>,</w:t>
      </w:r>
      <w:r>
        <w:rPr>
          <w:lang w:eastAsia="sr-Latn-CS"/>
        </w:rPr>
        <w:t xml:space="preserve"> „Еко Топлан</w:t>
      </w:r>
      <w:r>
        <w:rPr>
          <w:lang w:val="sr-Cyrl-CS" w:eastAsia="sr-Latn-CS"/>
        </w:rPr>
        <w:t xml:space="preserve">е </w:t>
      </w:r>
      <w:r>
        <w:rPr>
          <w:lang w:eastAsia="sr-Latn-CS"/>
        </w:rPr>
        <w:t>Бања Лука“ д.о.о. Бања Лука обављаће дјелатности производње, испоруке</w:t>
      </w:r>
      <w:r>
        <w:rPr>
          <w:lang w:val="sr-Cyrl-CS" w:eastAsia="sr-Latn-CS"/>
        </w:rPr>
        <w:t xml:space="preserve"> </w:t>
      </w:r>
      <w:r>
        <w:rPr>
          <w:lang w:eastAsia="sr-Latn-CS"/>
        </w:rPr>
        <w:t xml:space="preserve">и наплате топлотне енергије, као и унапређење пословања кроз систем даљинског гријања на подручју града Бања Лука. </w:t>
      </w:r>
      <w:r>
        <w:t xml:space="preserve">Град је успоставио нову компанију за централно гријање „Еко-топлане Бања Лука“. Компанија је 51% у власништву ИЕЕ Бања Лука, док Град има 49%. </w:t>
      </w:r>
      <w:r>
        <w:rPr>
          <w:lang w:val="sr-Cyrl-CS"/>
        </w:rPr>
        <w:t>П</w:t>
      </w:r>
      <w:r>
        <w:t xml:space="preserve">овезана </w:t>
      </w:r>
      <w:r>
        <w:rPr>
          <w:lang w:val="sr-Cyrl-CS"/>
        </w:rPr>
        <w:t xml:space="preserve">је </w:t>
      </w:r>
      <w:r>
        <w:t xml:space="preserve">са мрежом централног гријања путем постојеће котловнице. У саставу нове топлане </w:t>
      </w:r>
      <w:r>
        <w:rPr>
          <w:lang w:val="sr-Cyrl-CS"/>
        </w:rPr>
        <w:t>је</w:t>
      </w:r>
      <w:r>
        <w:t xml:space="preserve"> 10 котлова свак</w:t>
      </w:r>
      <w:r>
        <w:rPr>
          <w:lang w:val="sr-Cyrl-RS"/>
        </w:rPr>
        <w:t>и</w:t>
      </w:r>
      <w:r>
        <w:t xml:space="preserve"> од 4,9 MWt, што је укупно 49 MWt. Овим приступом планира</w:t>
      </w:r>
      <w:r>
        <w:rPr>
          <w:lang w:val="sr-Cyrl-CS"/>
        </w:rPr>
        <w:t>но је да</w:t>
      </w:r>
      <w:r>
        <w:t xml:space="preserve"> се </w:t>
      </w:r>
      <w:r>
        <w:rPr>
          <w:lang w:val="sr-Cyrl-CS"/>
        </w:rPr>
        <w:t>стари</w:t>
      </w:r>
      <w:r>
        <w:t xml:space="preserve"> котлови на мазут одржавају само за резерву. </w:t>
      </w:r>
      <w:r>
        <w:rPr>
          <w:lang w:val="sr-Cyrl-CS"/>
        </w:rPr>
        <w:t>Вреловодна  и топловодна м</w:t>
      </w:r>
      <w:r>
        <w:t xml:space="preserve">режа </w:t>
      </w:r>
      <w:r>
        <w:rPr>
          <w:lang w:val="sr-Cyrl-CS"/>
        </w:rPr>
        <w:t>остају</w:t>
      </w:r>
      <w:r>
        <w:t xml:space="preserve"> у власништву Града. Постојећи котлови на биомасу </w:t>
      </w:r>
      <w:r>
        <w:rPr>
          <w:lang w:val="sr-Cyrl-CS"/>
        </w:rPr>
        <w:t xml:space="preserve">„Космос“ и „Старчевица“ </w:t>
      </w:r>
      <w:r>
        <w:t xml:space="preserve">од 16 MWt </w:t>
      </w:r>
      <w:r>
        <w:rPr>
          <w:lang w:val="sr-Cyrl-CS"/>
        </w:rPr>
        <w:t>остају</w:t>
      </w:r>
      <w:r>
        <w:t xml:space="preserve"> у власништву Града и дати </w:t>
      </w:r>
      <w:r>
        <w:rPr>
          <w:lang w:val="sr-Cyrl-CS"/>
        </w:rPr>
        <w:t xml:space="preserve">су </w:t>
      </w:r>
      <w:r>
        <w:t xml:space="preserve">под закуп новој компанији. </w:t>
      </w:r>
    </w:p>
    <w:p>
      <w:pPr>
        <w:spacing w:before="120" w:after="120"/>
        <w:jc w:val="both"/>
      </w:pPr>
      <w:r>
        <w:t>Систем даљинског гријања Бања Луке покрива 10,7 km</w:t>
      </w:r>
      <w:r>
        <w:rPr>
          <w:vertAlign w:val="superscript"/>
        </w:rPr>
        <w:t>2</w:t>
      </w:r>
      <w:r>
        <w:t xml:space="preserve">, што га чини највећим у РС. Остатак града користи друга рјешења за гријање (струја или појединачно централно гријање на пелет или пећи за гријање на дрва/угаљ). </w:t>
      </w:r>
    </w:p>
    <w:p>
      <w:pPr>
        <w:spacing w:before="120" w:after="120"/>
        <w:jc w:val="both"/>
        <w:rPr>
          <w:lang w:val="sr-Latn-RS"/>
        </w:rPr>
      </w:pPr>
      <w:r>
        <w:t>Примарну мрежу сачињавају три магистрална вреловода спојена у прстен. То су: магистрални вреловод Борик, који се протеже од „Топлана“ преко центра града, до Паприковца, магистрални вреловод Врбас</w:t>
      </w:r>
      <w:r>
        <w:rPr>
          <w:lang w:val="sr-Cyrl-RS"/>
        </w:rPr>
        <w:t>,</w:t>
      </w:r>
      <w:r>
        <w:t xml:space="preserve"> који прати ток ријеке Врбас и са кога се топлотном енергијом напајају насеља Старчевица, Обилићево, Кочићев вијенац, и магистрални вреловод Индустрија, од „Топлана“ према индустријској зони Јелшинград, загријава насеља Нова Варош, Крајина, Кампус. Укупна дужина примарне вреловодне мреже је </w:t>
      </w:r>
      <w:r>
        <w:rPr>
          <w:lang w:val="sr-Cyrl-CS"/>
        </w:rPr>
        <w:t>52</w:t>
      </w:r>
      <w:r>
        <w:t xml:space="preserve"> km трасе (oкo </w:t>
      </w:r>
      <w:r>
        <w:rPr>
          <w:lang w:val="sr-Cyrl-CS"/>
        </w:rPr>
        <w:t>104</w:t>
      </w:r>
      <w:r>
        <w:t xml:space="preserve"> km цијеви). Секундарна вреловодна мрежа служи за дистрибуцију топле воде до корисника, тј. до улаза у зграде. Дужина је око 1</w:t>
      </w:r>
      <w:r>
        <w:rPr>
          <w:lang w:val="sr-Cyrl-CS"/>
        </w:rPr>
        <w:t>2</w:t>
      </w:r>
      <w:r>
        <w:t>0 km трасе, односно 2</w:t>
      </w:r>
      <w:r>
        <w:rPr>
          <w:lang w:val="sr-Cyrl-CS"/>
        </w:rPr>
        <w:t>4</w:t>
      </w:r>
      <w:r>
        <w:t xml:space="preserve">0 km цијеви. </w:t>
      </w:r>
      <w:r>
        <w:rPr>
          <w:lang w:val="sr-Cyrl-CS"/>
        </w:rPr>
        <w:t>Поједини</w:t>
      </w:r>
      <w:r>
        <w:t xml:space="preserve"> сегменти топлификационог система, и производни и дистрибутивни капацитети, стари су </w:t>
      </w:r>
      <w:r>
        <w:rPr>
          <w:lang w:val="sr-Cyrl-CS"/>
        </w:rPr>
        <w:t>од 40 до 47</w:t>
      </w:r>
      <w:r>
        <w:t xml:space="preserve"> година. </w:t>
      </w:r>
      <w:r>
        <w:rPr>
          <w:lang w:val="sr-Cyrl-CS"/>
        </w:rPr>
        <w:t xml:space="preserve">Обновљено  или новоизграђено послије дистрибутивни, стари су преко 40. година. Обновљено или новоизграђено послије 2000. године до сада је око 35% до 40% примарне мреже. </w:t>
      </w:r>
      <w:r>
        <w:t>Такав систем је у техничком смислу потпуно амортизован због чега се улажу максимални напори како би се такав систем одржао у функцији. Због дотрајалости дистрибутивне мреже чести су губици вреле воде, тј. енергије у земљу. За сада је обновљено око ¼ примарне мреже (око 10 km).</w:t>
      </w:r>
      <w:r>
        <w:rPr>
          <w:rStyle w:val="31"/>
        </w:rPr>
        <w:footnoteReference w:id="65"/>
      </w:r>
    </w:p>
    <w:p>
      <w:pPr>
        <w:spacing w:before="120" w:after="120"/>
        <w:jc w:val="both"/>
        <w:rPr>
          <w:lang w:val="sr-Cyrl-CS"/>
        </w:rPr>
      </w:pPr>
      <w:r>
        <w:t>На систем даљинског гријања прикључено је 19.062 домаћинства и 940 правних лица (2016.г.).</w:t>
      </w:r>
      <w:r>
        <w:rPr>
          <w:rStyle w:val="31"/>
        </w:rPr>
        <w:footnoteReference w:id="66"/>
      </w:r>
      <w:r>
        <w:rPr>
          <w:lang w:val="sr-Cyrl-CS"/>
        </w:rPr>
        <w:t xml:space="preserve"> У топлификациони систем града Бањалуке у наредном периоду биће потребно инвестирати средства у више пројеката, у складу са препознатим потребама у процесу стратешког планирања.  </w:t>
      </w:r>
    </w:p>
    <w:p>
      <w:pPr>
        <w:jc w:val="both"/>
        <w:rPr>
          <w:rFonts w:asciiTheme="minorHAnsi" w:hAnsiTheme="minorHAnsi"/>
          <w:bCs/>
          <w:kern w:val="32"/>
        </w:rPr>
      </w:pPr>
      <w:r>
        <w:rPr>
          <w:lang w:val="sr-Cyrl-CS"/>
        </w:rPr>
        <w:t>Неки од најважнијих пројеката су: р</w:t>
      </w:r>
      <w:r>
        <w:rPr>
          <w:rFonts w:asciiTheme="minorHAnsi" w:hAnsiTheme="minorHAnsi"/>
          <w:bCs/>
          <w:kern w:val="32"/>
        </w:rPr>
        <w:t>еконструкција вреловода Индустрија</w:t>
      </w:r>
      <w:r>
        <w:rPr>
          <w:rFonts w:asciiTheme="minorHAnsi" w:hAnsiTheme="minorHAnsi"/>
          <w:bCs/>
          <w:kern w:val="32"/>
          <w:lang w:val="sr-Cyrl-RS"/>
        </w:rPr>
        <w:t>,</w:t>
      </w:r>
      <w:r>
        <w:rPr>
          <w:rFonts w:asciiTheme="minorHAnsi" w:hAnsiTheme="minorHAnsi"/>
          <w:bCs/>
          <w:kern w:val="32"/>
          <w:lang w:val="sr-Cyrl-CS"/>
        </w:rPr>
        <w:t xml:space="preserve"> р</w:t>
      </w:r>
      <w:r>
        <w:rPr>
          <w:rFonts w:asciiTheme="minorHAnsi" w:hAnsiTheme="minorHAnsi"/>
          <w:bCs/>
          <w:kern w:val="32"/>
        </w:rPr>
        <w:t>еконструкција вреловода Врбас</w:t>
      </w:r>
      <w:r>
        <w:rPr>
          <w:rFonts w:asciiTheme="minorHAnsi" w:hAnsiTheme="minorHAnsi"/>
          <w:bCs/>
          <w:kern w:val="32"/>
          <w:lang w:val="sr-Cyrl-RS"/>
        </w:rPr>
        <w:t>, п</w:t>
      </w:r>
      <w:r>
        <w:rPr>
          <w:rFonts w:asciiTheme="minorHAnsi" w:hAnsiTheme="minorHAnsi"/>
          <w:bCs/>
          <w:kern w:val="32"/>
        </w:rPr>
        <w:t>роширење прикљученог конзума на котловницу Космос</w:t>
      </w:r>
      <w:r>
        <w:rPr>
          <w:rFonts w:asciiTheme="minorHAnsi" w:hAnsiTheme="minorHAnsi"/>
          <w:bCs/>
          <w:kern w:val="32"/>
          <w:lang w:val="sr-Cyrl-RS"/>
        </w:rPr>
        <w:t>,</w:t>
      </w:r>
      <w:r>
        <w:rPr>
          <w:rFonts w:asciiTheme="minorHAnsi" w:hAnsiTheme="minorHAnsi"/>
          <w:bCs/>
          <w:kern w:val="32"/>
          <w:lang w:val="sr-Cyrl-CS"/>
        </w:rPr>
        <w:t xml:space="preserve"> п</w:t>
      </w:r>
      <w:r>
        <w:rPr>
          <w:rFonts w:asciiTheme="minorHAnsi" w:hAnsiTheme="minorHAnsi"/>
          <w:bCs/>
          <w:kern w:val="32"/>
        </w:rPr>
        <w:t>роширење прикљученог конзума на котловницу Старчевица</w:t>
      </w:r>
      <w:r>
        <w:rPr>
          <w:rFonts w:asciiTheme="minorHAnsi" w:hAnsiTheme="minorHAnsi"/>
          <w:bCs/>
          <w:kern w:val="32"/>
          <w:lang w:val="sr-Cyrl-RS"/>
        </w:rPr>
        <w:t>,</w:t>
      </w:r>
      <w:r>
        <w:rPr>
          <w:rFonts w:asciiTheme="minorHAnsi" w:hAnsiTheme="minorHAnsi"/>
          <w:bCs/>
          <w:kern w:val="32"/>
          <w:lang w:val="sr-Cyrl-CS"/>
        </w:rPr>
        <w:t xml:space="preserve"> п</w:t>
      </w:r>
      <w:r>
        <w:rPr>
          <w:rFonts w:asciiTheme="minorHAnsi" w:hAnsiTheme="minorHAnsi"/>
          <w:bCs/>
          <w:kern w:val="32"/>
        </w:rPr>
        <w:t>овезивање улице Олимпијских побједника на магистрални вреловод Индустрија</w:t>
      </w:r>
      <w:r>
        <w:rPr>
          <w:rFonts w:asciiTheme="minorHAnsi" w:hAnsiTheme="minorHAnsi"/>
          <w:bCs/>
          <w:kern w:val="32"/>
          <w:lang w:val="sr-Cyrl-RS"/>
        </w:rPr>
        <w:t>,</w:t>
      </w:r>
      <w:r>
        <w:rPr>
          <w:rFonts w:asciiTheme="minorHAnsi" w:hAnsiTheme="minorHAnsi"/>
          <w:bCs/>
          <w:kern w:val="32"/>
          <w:lang w:val="sr-Cyrl-CS"/>
        </w:rPr>
        <w:t xml:space="preserve"> и</w:t>
      </w:r>
      <w:r>
        <w:rPr>
          <w:rFonts w:asciiTheme="minorHAnsi" w:hAnsiTheme="minorHAnsi"/>
          <w:bCs/>
          <w:kern w:val="32"/>
        </w:rPr>
        <w:t>мплементација система даљинског надзора и управљања дистрибутивном мрежом</w:t>
      </w:r>
      <w:r>
        <w:rPr>
          <w:rFonts w:asciiTheme="minorHAnsi" w:hAnsiTheme="minorHAnsi"/>
          <w:bCs/>
          <w:kern w:val="32"/>
          <w:lang w:val="sr-Cyrl-RS"/>
        </w:rPr>
        <w:t>,</w:t>
      </w:r>
      <w:r>
        <w:rPr>
          <w:rFonts w:asciiTheme="minorHAnsi" w:hAnsiTheme="minorHAnsi"/>
          <w:bCs/>
          <w:kern w:val="32"/>
          <w:lang w:val="sr-Cyrl-CS"/>
        </w:rPr>
        <w:t xml:space="preserve"> у</w:t>
      </w:r>
      <w:r>
        <w:rPr>
          <w:rFonts w:asciiTheme="minorHAnsi" w:hAnsiTheme="minorHAnsi"/>
          <w:bCs/>
          <w:kern w:val="32"/>
        </w:rPr>
        <w:t>вођење система наплате по утрошку: мјерач утрошка за сваки објекат</w:t>
      </w:r>
      <w:r>
        <w:rPr>
          <w:rFonts w:asciiTheme="minorHAnsi" w:hAnsiTheme="minorHAnsi"/>
          <w:bCs/>
          <w:kern w:val="32"/>
          <w:lang w:val="sr-Cyrl-RS"/>
        </w:rPr>
        <w:t>,</w:t>
      </w:r>
    </w:p>
    <w:p>
      <w:pPr>
        <w:jc w:val="both"/>
        <w:rPr>
          <w:rFonts w:asciiTheme="minorHAnsi" w:hAnsiTheme="minorHAnsi"/>
          <w:bCs/>
          <w:kern w:val="32"/>
        </w:rPr>
      </w:pPr>
      <w:r>
        <w:rPr>
          <w:rFonts w:asciiTheme="minorHAnsi" w:hAnsiTheme="minorHAnsi"/>
          <w:bCs/>
          <w:kern w:val="32"/>
          <w:lang w:val="sr-Cyrl-CS"/>
        </w:rPr>
        <w:t>у</w:t>
      </w:r>
      <w:r>
        <w:rPr>
          <w:rFonts w:asciiTheme="minorHAnsi" w:hAnsiTheme="minorHAnsi"/>
          <w:bCs/>
          <w:kern w:val="32"/>
        </w:rPr>
        <w:t>клањање уских грла (Космос, Петра Кочића, Булевар цара Душана и др. према симулацијама софтверских програма - Термис)</w:t>
      </w:r>
      <w:r>
        <w:rPr>
          <w:rFonts w:asciiTheme="minorHAnsi" w:hAnsiTheme="minorHAnsi"/>
          <w:bCs/>
          <w:kern w:val="32"/>
          <w:lang w:val="sr-Cyrl-RS"/>
        </w:rPr>
        <w:t>,</w:t>
      </w:r>
      <w:r>
        <w:rPr>
          <w:rFonts w:asciiTheme="minorHAnsi" w:hAnsiTheme="minorHAnsi"/>
          <w:bCs/>
          <w:kern w:val="32"/>
          <w:lang w:val="sr-Cyrl-CS"/>
        </w:rPr>
        <w:t xml:space="preserve"> и</w:t>
      </w:r>
      <w:r>
        <w:rPr>
          <w:rFonts w:asciiTheme="minorHAnsi" w:hAnsiTheme="minorHAnsi"/>
          <w:bCs/>
          <w:kern w:val="32"/>
        </w:rPr>
        <w:t>нсталација електронских циркулационих пумпи у пумпној станици старе топлане, у топлотним подстаницама и котловници, ради значајног смањења утрошка ел.енергије</w:t>
      </w:r>
      <w:r>
        <w:rPr>
          <w:rFonts w:asciiTheme="minorHAnsi" w:hAnsiTheme="minorHAnsi"/>
          <w:bCs/>
          <w:kern w:val="32"/>
          <w:lang w:val="sr-Cyrl-RS"/>
        </w:rPr>
        <w:t>,</w:t>
      </w:r>
      <w:r>
        <w:rPr>
          <w:rFonts w:asciiTheme="minorHAnsi" w:hAnsiTheme="minorHAnsi"/>
          <w:bCs/>
          <w:kern w:val="32"/>
          <w:lang w:val="sr-Cyrl-CS"/>
        </w:rPr>
        <w:t xml:space="preserve"> о</w:t>
      </w:r>
      <w:r>
        <w:rPr>
          <w:rFonts w:asciiTheme="minorHAnsi" w:hAnsiTheme="minorHAnsi"/>
          <w:bCs/>
          <w:kern w:val="32"/>
        </w:rPr>
        <w:t>могућавање услова за примјену алокатора утрошка топлотне енергије унутар гријаног објекта, у циљу стимулисања уштеда топлотне енергије и повећање енергетске ефикасности објеката</w:t>
      </w:r>
      <w:r>
        <w:rPr>
          <w:rFonts w:asciiTheme="minorHAnsi" w:hAnsiTheme="minorHAnsi"/>
          <w:bCs/>
          <w:kern w:val="32"/>
          <w:lang w:val="sr-Cyrl-RS"/>
        </w:rPr>
        <w:t>,</w:t>
      </w:r>
      <w:r>
        <w:rPr>
          <w:rFonts w:asciiTheme="minorHAnsi" w:hAnsiTheme="minorHAnsi"/>
          <w:bCs/>
          <w:kern w:val="32"/>
          <w:lang w:val="sr-Cyrl-CS"/>
        </w:rPr>
        <w:t xml:space="preserve"> п</w:t>
      </w:r>
      <w:r>
        <w:rPr>
          <w:rFonts w:asciiTheme="minorHAnsi" w:hAnsiTheme="minorHAnsi"/>
          <w:bCs/>
          <w:kern w:val="32"/>
        </w:rPr>
        <w:t>римјена нових модела наплате утрошене топлотне енергије.</w:t>
      </w:r>
    </w:p>
    <w:p>
      <w:pPr>
        <w:rPr>
          <w:lang w:val="sr-Cyrl-CS"/>
        </w:rPr>
      </w:pPr>
    </w:p>
    <w:p>
      <w:pPr>
        <w:keepNext/>
        <w:keepLines/>
        <w:spacing w:before="200"/>
        <w:ind w:left="426"/>
        <w:outlineLvl w:val="3"/>
        <w:rPr>
          <w:rFonts w:eastAsia="Times New Roman" w:asciiTheme="minorHAnsi" w:hAnsiTheme="minorHAnsi" w:cstheme="majorBidi"/>
          <w:b/>
          <w:bCs/>
          <w:i/>
          <w:iCs/>
        </w:rPr>
      </w:pPr>
      <w:bookmarkStart w:id="69" w:name="_Toc526761911"/>
      <w:bookmarkStart w:id="70" w:name="_Toc500506479"/>
      <w:r>
        <w:rPr>
          <w:rFonts w:eastAsia="Times New Roman" w:asciiTheme="minorHAnsi" w:hAnsiTheme="minorHAnsi" w:cstheme="majorBidi"/>
          <w:b/>
          <w:bCs/>
          <w:i/>
          <w:iCs/>
          <w:lang w:val="hr-HR"/>
        </w:rPr>
        <w:t xml:space="preserve">IV.1.6.4. </w:t>
      </w:r>
      <w:r>
        <w:rPr>
          <w:rFonts w:eastAsia="Times New Roman" w:asciiTheme="minorHAnsi" w:hAnsiTheme="minorHAnsi" w:cstheme="majorBidi"/>
          <w:b/>
          <w:bCs/>
          <w:i/>
          <w:iCs/>
        </w:rPr>
        <w:t>К</w:t>
      </w:r>
      <w:r>
        <w:rPr>
          <w:rFonts w:eastAsia="Times New Roman" w:asciiTheme="minorHAnsi" w:hAnsiTheme="minorHAnsi" w:cstheme="majorBidi"/>
          <w:b/>
          <w:bCs/>
          <w:i/>
          <w:iCs/>
          <w:lang w:val="hr-HR"/>
        </w:rPr>
        <w:t>омуналн</w:t>
      </w:r>
      <w:r>
        <w:rPr>
          <w:rFonts w:eastAsia="Times New Roman" w:asciiTheme="minorHAnsi" w:hAnsiTheme="minorHAnsi" w:cstheme="majorBidi"/>
          <w:b/>
          <w:bCs/>
          <w:i/>
          <w:iCs/>
        </w:rPr>
        <w:t>а</w:t>
      </w:r>
      <w:r>
        <w:rPr>
          <w:rFonts w:eastAsia="Times New Roman" w:asciiTheme="minorHAnsi" w:hAnsiTheme="minorHAnsi" w:cstheme="majorBidi"/>
          <w:b/>
          <w:bCs/>
          <w:i/>
          <w:iCs/>
          <w:lang w:val="hr-HR"/>
        </w:rPr>
        <w:t xml:space="preserve"> инфраструктур</w:t>
      </w:r>
      <w:r>
        <w:rPr>
          <w:rFonts w:eastAsia="Times New Roman" w:asciiTheme="minorHAnsi" w:hAnsiTheme="minorHAnsi" w:cstheme="majorBidi"/>
          <w:b/>
          <w:bCs/>
          <w:i/>
          <w:iCs/>
        </w:rPr>
        <w:t>а</w:t>
      </w:r>
      <w:bookmarkEnd w:id="69"/>
      <w:bookmarkEnd w:id="70"/>
    </w:p>
    <w:p>
      <w:pPr>
        <w:spacing w:before="240" w:after="120"/>
        <w:jc w:val="both"/>
        <w:rPr>
          <w:rFonts w:eastAsia="Times New Roman" w:asciiTheme="minorHAnsi" w:hAnsiTheme="minorHAnsi"/>
          <w:b/>
          <w:bCs/>
          <w:i/>
          <w:kern w:val="32"/>
        </w:rPr>
      </w:pPr>
      <w:r>
        <w:rPr>
          <w:rFonts w:eastAsia="Times New Roman" w:asciiTheme="minorHAnsi" w:hAnsiTheme="minorHAnsi"/>
          <w:b/>
          <w:bCs/>
          <w:i/>
          <w:kern w:val="32"/>
        </w:rPr>
        <w:t>Водоснабдијевање</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Водоводним системом града Бања Лука управља предузеће „Водовод“ а.д. Бањалука. Град Бања Лука се снабдијева водом на три начина: 1) са изворишта</w:t>
      </w:r>
      <w:r>
        <w:rPr>
          <w:rFonts w:eastAsia="Times New Roman" w:asciiTheme="minorHAnsi" w:hAnsiTheme="minorHAnsi"/>
          <w:bCs/>
          <w:kern w:val="32"/>
          <w:lang w:val="sr-Cyrl-CS"/>
        </w:rPr>
        <w:t xml:space="preserve"> </w:t>
      </w:r>
      <w:r>
        <w:rPr>
          <w:rFonts w:eastAsia="Times New Roman" w:asciiTheme="minorHAnsi" w:hAnsiTheme="minorHAnsi"/>
          <w:bCs/>
          <w:kern w:val="32"/>
        </w:rPr>
        <w:t>„Суботица“ капацитета 15-20 l/s</w:t>
      </w:r>
      <w:r>
        <w:rPr>
          <w:rFonts w:eastAsia="Times New Roman" w:asciiTheme="minorHAnsi" w:hAnsiTheme="minorHAnsi"/>
          <w:bCs/>
          <w:kern w:val="32"/>
          <w:lang w:val="bs-Latn-BA"/>
        </w:rPr>
        <w:t>;</w:t>
      </w:r>
      <w:r>
        <w:rPr>
          <w:rFonts w:eastAsia="Times New Roman" w:asciiTheme="minorHAnsi" w:hAnsiTheme="minorHAnsi"/>
          <w:bCs/>
          <w:kern w:val="32"/>
        </w:rPr>
        <w:t xml:space="preserve"> 2) експлоатацијом подземне воде бунарским системом (извориште „Новоселија“) – 8 бунара са максималним капацитетом од 400 l/s</w:t>
      </w:r>
      <w:r>
        <w:rPr>
          <w:rFonts w:eastAsia="Times New Roman" w:asciiTheme="minorHAnsi" w:hAnsiTheme="minorHAnsi"/>
          <w:bCs/>
          <w:kern w:val="32"/>
          <w:lang w:val="bs-Latn-BA"/>
        </w:rPr>
        <w:t>;</w:t>
      </w:r>
      <w:r>
        <w:rPr>
          <w:rFonts w:eastAsia="Times New Roman" w:asciiTheme="minorHAnsi" w:hAnsiTheme="minorHAnsi"/>
          <w:bCs/>
          <w:kern w:val="32"/>
        </w:rPr>
        <w:t xml:space="preserve"> 3) фабриком воде са модерним постројењем које прерађује површинску воду ријеке Врбас у воду за пиће, са тренутним</w:t>
      </w:r>
      <w:r>
        <w:rPr>
          <w:rFonts w:eastAsia="Times New Roman" w:asciiTheme="minorHAnsi" w:hAnsiTheme="minorHAnsi"/>
          <w:bCs/>
          <w:kern w:val="32"/>
          <w:lang w:val="bs-Latn-BA"/>
        </w:rPr>
        <w:t xml:space="preserve"> </w:t>
      </w:r>
      <w:r>
        <w:rPr>
          <w:rFonts w:eastAsia="Times New Roman" w:asciiTheme="minorHAnsi" w:hAnsiTheme="minorHAnsi"/>
          <w:bCs/>
          <w:kern w:val="32"/>
        </w:rPr>
        <w:t>максималним капацитетом од 1000 l/s и</w:t>
      </w:r>
      <w:r>
        <w:rPr>
          <w:rFonts w:eastAsia="Times New Roman" w:asciiTheme="minorHAnsi" w:hAnsiTheme="minorHAnsi"/>
          <w:bCs/>
          <w:kern w:val="32"/>
          <w:lang w:val="bs-Latn-BA"/>
        </w:rPr>
        <w:t xml:space="preserve"> </w:t>
      </w:r>
      <w:r>
        <w:rPr>
          <w:rFonts w:eastAsia="Times New Roman" w:asciiTheme="minorHAnsi" w:hAnsiTheme="minorHAnsi"/>
          <w:bCs/>
          <w:kern w:val="32"/>
        </w:rPr>
        <w:t>уз могућност проширења за још 400 l/s . Дужина водоводне мреже (примарна и секундарна) подручја града Бања Луке у 2016.г. износила је 803</w:t>
      </w:r>
      <w:r>
        <w:rPr>
          <w:rFonts w:eastAsia="Times New Roman" w:asciiTheme="minorHAnsi" w:hAnsiTheme="minorHAnsi"/>
          <w:bCs/>
          <w:kern w:val="32"/>
          <w:lang w:val="bs-Latn-BA"/>
        </w:rPr>
        <w:t xml:space="preserve"> </w:t>
      </w:r>
      <w:r>
        <w:rPr>
          <w:rFonts w:eastAsia="Times New Roman" w:asciiTheme="minorHAnsi" w:hAnsiTheme="minorHAnsi"/>
          <w:bCs/>
          <w:kern w:val="32"/>
          <w:lang w:val="hr-HR"/>
        </w:rPr>
        <w:t>km</w:t>
      </w:r>
      <w:r>
        <w:rPr>
          <w:rFonts w:eastAsia="Times New Roman" w:asciiTheme="minorHAnsi" w:hAnsiTheme="minorHAnsi"/>
          <w:bCs/>
          <w:kern w:val="32"/>
        </w:rPr>
        <w:t>. Укупан резервоарски простор водоводног система износи 36.600 m</w:t>
      </w:r>
      <w:r>
        <w:rPr>
          <w:rFonts w:eastAsia="Times New Roman" w:asciiTheme="minorHAnsi" w:hAnsiTheme="minorHAnsi"/>
          <w:bCs/>
          <w:kern w:val="32"/>
          <w:vertAlign w:val="superscript"/>
        </w:rPr>
        <w:t>3</w:t>
      </w:r>
      <w:r>
        <w:rPr>
          <w:rFonts w:eastAsia="Times New Roman" w:asciiTheme="minorHAnsi" w:hAnsiTheme="minorHAnsi"/>
          <w:bCs/>
          <w:kern w:val="32"/>
        </w:rPr>
        <w:t>. У 2016. произведено је укупно 28.508.470 m</w:t>
      </w:r>
      <w:r>
        <w:rPr>
          <w:rFonts w:eastAsia="Times New Roman" w:asciiTheme="minorHAnsi" w:hAnsiTheme="minorHAnsi"/>
          <w:bCs/>
          <w:kern w:val="32"/>
          <w:vertAlign w:val="superscript"/>
        </w:rPr>
        <w:t>3</w:t>
      </w:r>
      <w:r>
        <w:rPr>
          <w:rFonts w:eastAsia="Times New Roman" w:asciiTheme="minorHAnsi" w:hAnsiTheme="minorHAnsi"/>
          <w:bCs/>
          <w:kern w:val="32"/>
        </w:rPr>
        <w:t xml:space="preserve"> воде,</w:t>
      </w:r>
      <w:r>
        <w:rPr>
          <w:rFonts w:eastAsia="Times New Roman" w:asciiTheme="minorHAnsi" w:hAnsiTheme="minorHAnsi"/>
          <w:bCs/>
          <w:kern w:val="32"/>
          <w:lang w:val="bs-Latn-BA"/>
        </w:rPr>
        <w:t xml:space="preserve"> </w:t>
      </w:r>
      <w:r>
        <w:rPr>
          <w:rFonts w:eastAsia="Times New Roman" w:asciiTheme="minorHAnsi" w:hAnsiTheme="minorHAnsi"/>
          <w:bCs/>
          <w:kern w:val="32"/>
        </w:rPr>
        <w:t>од чега у Фабрици воде 20.127.210 m</w:t>
      </w:r>
      <w:r>
        <w:rPr>
          <w:rFonts w:eastAsia="Times New Roman" w:asciiTheme="minorHAnsi" w:hAnsiTheme="minorHAnsi"/>
          <w:bCs/>
          <w:kern w:val="32"/>
          <w:vertAlign w:val="superscript"/>
        </w:rPr>
        <w:t>3</w:t>
      </w:r>
      <w:r>
        <w:rPr>
          <w:rFonts w:eastAsia="Times New Roman" w:asciiTheme="minorHAnsi" w:hAnsiTheme="minorHAnsi"/>
          <w:bCs/>
          <w:kern w:val="32"/>
        </w:rPr>
        <w:t xml:space="preserve"> (70,6%), у бунарским системима 7.849.354 m</w:t>
      </w:r>
      <w:r>
        <w:rPr>
          <w:rFonts w:eastAsia="Times New Roman" w:asciiTheme="minorHAnsi" w:hAnsiTheme="minorHAnsi"/>
          <w:bCs/>
          <w:kern w:val="32"/>
          <w:vertAlign w:val="superscript"/>
        </w:rPr>
        <w:t>3</w:t>
      </w:r>
      <w:r>
        <w:rPr>
          <w:rFonts w:eastAsia="Times New Roman" w:asciiTheme="minorHAnsi" w:hAnsiTheme="minorHAnsi"/>
          <w:bCs/>
          <w:kern w:val="32"/>
          <w:vertAlign w:val="superscript"/>
          <w:lang w:val="sr-Cyrl-CS"/>
        </w:rPr>
        <w:t xml:space="preserve"> </w:t>
      </w:r>
      <w:r>
        <w:rPr>
          <w:rFonts w:eastAsia="Times New Roman" w:asciiTheme="minorHAnsi" w:hAnsiTheme="minorHAnsi"/>
          <w:bCs/>
          <w:kern w:val="32"/>
        </w:rPr>
        <w:t>(27,5%), а у гравитационим изворима 531.906 m</w:t>
      </w:r>
      <w:r>
        <w:rPr>
          <w:rFonts w:eastAsia="Times New Roman" w:asciiTheme="minorHAnsi" w:hAnsiTheme="minorHAnsi"/>
          <w:bCs/>
          <w:kern w:val="32"/>
          <w:vertAlign w:val="superscript"/>
        </w:rPr>
        <w:t>3</w:t>
      </w:r>
      <w:r>
        <w:rPr>
          <w:rFonts w:eastAsia="Times New Roman" w:asciiTheme="minorHAnsi" w:hAnsiTheme="minorHAnsi"/>
          <w:bCs/>
          <w:kern w:val="32"/>
        </w:rPr>
        <w:t xml:space="preserve"> воде (1,9%).</w:t>
      </w:r>
      <w:r>
        <w:rPr>
          <w:rFonts w:eastAsia="Times New Roman" w:asciiTheme="minorHAnsi" w:hAnsiTheme="minorHAnsi"/>
          <w:bCs/>
          <w:kern w:val="32"/>
          <w:vertAlign w:val="superscript"/>
        </w:rPr>
        <w:footnoteReference w:id="67"/>
      </w:r>
    </w:p>
    <w:p>
      <w:pPr>
        <w:spacing w:before="120" w:after="120"/>
        <w:jc w:val="both"/>
        <w:rPr>
          <w:rFonts w:eastAsia="Times New Roman" w:asciiTheme="minorHAnsi" w:hAnsiTheme="minorHAnsi"/>
          <w:bCs/>
          <w:kern w:val="32"/>
        </w:rPr>
      </w:pPr>
      <w:r>
        <w:rPr>
          <w:rFonts w:eastAsia="Times New Roman" w:asciiTheme="minorHAnsi" w:hAnsiTheme="minorHAnsi"/>
          <w:bCs/>
          <w:kern w:val="32"/>
        </w:rPr>
        <w:t xml:space="preserve">Постојећи капацитети су довољни за садашње потребе становништва и привреде, јер степен искориштености капацитета водоводног система износи 60%. Губици воде у 2016.г. износили су 30,44% (по </w:t>
      </w:r>
      <w:r>
        <w:rPr>
          <w:rFonts w:eastAsia="Times New Roman" w:asciiTheme="minorHAnsi" w:hAnsiTheme="minorHAnsi"/>
          <w:bCs/>
          <w:kern w:val="32"/>
          <w:lang w:val="hr-HR"/>
        </w:rPr>
        <w:t>IWA</w:t>
      </w:r>
      <w:r>
        <w:rPr>
          <w:rFonts w:eastAsia="Times New Roman" w:asciiTheme="minorHAnsi" w:hAnsiTheme="minorHAnsi"/>
          <w:bCs/>
          <w:kern w:val="32"/>
        </w:rPr>
        <w:t xml:space="preserve"> методологији).</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Постојећи водоводни систем датира од 1908. године кад је изграђен систем Суботица. Бунарски систем је пуштен у рад 1942.</w:t>
      </w:r>
      <w:r>
        <w:rPr>
          <w:rFonts w:eastAsia="Times New Roman" w:asciiTheme="minorHAnsi" w:hAnsiTheme="minorHAnsi"/>
          <w:bCs/>
          <w:kern w:val="32"/>
          <w:lang w:val="sr-Cyrl-RS"/>
        </w:rPr>
        <w:t xml:space="preserve"> </w:t>
      </w:r>
      <w:r>
        <w:rPr>
          <w:rFonts w:eastAsia="Times New Roman" w:asciiTheme="minorHAnsi" w:hAnsiTheme="minorHAnsi"/>
          <w:bCs/>
          <w:kern w:val="32"/>
        </w:rPr>
        <w:t xml:space="preserve">године, док је фабрика воде изграђена 1976. године кад је у рад пуштено 600 l/s, a 2012.г. додатних 400 l/s уз могућност проширења за још 400 l/s. </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Како се развијао град тако се стварала потреба за проширењем капацитета и изградњом водоводне мреже. Просјечна старост мреже је 40 година. Без обзира на покривеност града водоводном мрежом неопходно је улагати у реконструкцију постојеће мреже. За редовно одржавање мреже потребно је реконструисати 2% постојеће мреже у односу на укупну дужину мреже.</w:t>
      </w:r>
    </w:p>
    <w:tbl>
      <w:tblPr>
        <w:tblStyle w:val="37"/>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43"/>
        <w:gridCol w:w="65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943" w:type="dxa"/>
          </w:tcPr>
          <w:p>
            <w:pPr>
              <w:spacing w:before="120" w:after="120"/>
              <w:rPr>
                <w:rFonts w:eastAsia="Times New Roman" w:asciiTheme="minorHAnsi" w:hAnsiTheme="minorHAnsi"/>
                <w:bCs/>
                <w:kern w:val="32"/>
                <w:lang w:val="sr-Cyrl-RS"/>
              </w:rPr>
            </w:pPr>
            <w:r>
              <w:rPr>
                <w:rFonts w:eastAsia="Times New Roman" w:asciiTheme="minorHAnsi" w:hAnsiTheme="minorHAnsi"/>
                <w:bCs/>
                <w:kern w:val="32"/>
              </w:rPr>
              <w:t>Покривеност становништва услугом водоснабдијевања са јавног водоводног система је око 63%.</w:t>
            </w:r>
            <w:r>
              <w:rPr>
                <w:rFonts w:eastAsia="Times New Roman" w:asciiTheme="minorHAnsi" w:hAnsiTheme="minorHAnsi"/>
                <w:bCs/>
                <w:kern w:val="32"/>
                <w:lang w:val="sr-Cyrl-RS"/>
              </w:rPr>
              <w:t xml:space="preserve"> </w:t>
            </w:r>
          </w:p>
          <w:p>
            <w:pPr>
              <w:spacing w:before="120" w:after="120"/>
              <w:rPr>
                <w:rFonts w:eastAsia="Times New Roman" w:asciiTheme="minorHAnsi" w:hAnsiTheme="minorHAnsi"/>
                <w:bCs/>
                <w:kern w:val="32"/>
              </w:rPr>
            </w:pPr>
            <w:r>
              <w:rPr>
                <w:rFonts w:eastAsia="Times New Roman" w:asciiTheme="minorHAnsi" w:hAnsiTheme="minorHAnsi"/>
                <w:bCs/>
                <w:kern w:val="32"/>
              </w:rPr>
              <w:t>Око 18.000</w:t>
            </w:r>
            <w:r>
              <w:rPr>
                <w:rFonts w:eastAsia="Times New Roman" w:asciiTheme="minorHAnsi" w:hAnsiTheme="minorHAnsi"/>
                <w:bCs/>
                <w:kern w:val="32"/>
                <w:lang w:val="sr-Cyrl-RS"/>
              </w:rPr>
              <w:t xml:space="preserve"> </w:t>
            </w:r>
            <w:r>
              <w:rPr>
                <w:rFonts w:eastAsia="Times New Roman" w:asciiTheme="minorHAnsi" w:hAnsiTheme="minorHAnsi"/>
                <w:bCs/>
                <w:kern w:val="32"/>
              </w:rPr>
              <w:t>домаћинстава користи воду из локалних водовода.</w:t>
            </w:r>
          </w:p>
          <w:p>
            <w:pPr>
              <w:spacing w:before="120" w:after="120"/>
              <w:rPr>
                <w:rFonts w:eastAsia="Times New Roman" w:asciiTheme="minorHAnsi" w:hAnsiTheme="minorHAnsi"/>
                <w:bCs/>
                <w:kern w:val="32"/>
              </w:rPr>
            </w:pPr>
            <w:r>
              <w:rPr>
                <w:rFonts w:eastAsia="Times New Roman" w:asciiTheme="minorHAnsi" w:hAnsiTheme="minorHAnsi"/>
                <w:bCs/>
                <w:kern w:val="32"/>
              </w:rPr>
              <w:t xml:space="preserve"> Укупна покривеност града јавним и локалним водоводима је око 97%, док око 3% домаћинстава користи воду из сопствених извора и бунара. </w:t>
            </w:r>
          </w:p>
          <w:p>
            <w:pPr>
              <w:spacing w:before="120" w:after="120"/>
              <w:rPr>
                <w:rFonts w:eastAsia="Times New Roman" w:asciiTheme="minorHAnsi" w:hAnsiTheme="minorHAnsi"/>
                <w:bCs/>
                <w:kern w:val="32"/>
              </w:rPr>
            </w:pPr>
            <w:r>
              <w:rPr>
                <w:rFonts w:eastAsia="Times New Roman" w:asciiTheme="minorHAnsi" w:hAnsiTheme="minorHAnsi"/>
                <w:bCs/>
                <w:kern w:val="32"/>
              </w:rPr>
              <w:t>Број правних лица са прикључком на јавно водоснабдијевање је 4.649.</w:t>
            </w:r>
          </w:p>
        </w:tc>
        <w:tc>
          <w:tcPr>
            <w:tcW w:w="6521" w:type="dxa"/>
          </w:tcPr>
          <w:p>
            <w:pPr>
              <w:spacing w:before="120" w:after="120"/>
              <w:jc w:val="both"/>
              <w:rPr>
                <w:rFonts w:eastAsia="Times New Roman" w:asciiTheme="minorHAnsi" w:hAnsiTheme="minorHAnsi"/>
                <w:bCs/>
                <w:kern w:val="32"/>
              </w:rPr>
            </w:pPr>
            <w:r>
              <w:rPr>
                <w:sz w:val="20"/>
                <w:szCs w:val="20"/>
                <w:lang w:val="sr-Latn-CS" w:eastAsia="sr-Latn-CS"/>
              </w:rPr>
              <w:drawing>
                <wp:inline distT="0" distB="0" distL="0" distR="0">
                  <wp:extent cx="3954780" cy="2987675"/>
                  <wp:effectExtent l="0" t="0" r="762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center"/>
            </w:pPr>
            <w:r>
              <w:rPr>
                <w:rFonts w:eastAsia="Times New Roman" w:asciiTheme="minorHAnsi" w:hAnsiTheme="minorHAnsi"/>
                <w:bCs/>
                <w:i/>
                <w:kern w:val="32"/>
                <w:sz w:val="18"/>
                <w:szCs w:val="18"/>
              </w:rPr>
              <w:t>Извор података: „Водовод“ а.д. Бања Лука, новембар 2017.г</w:t>
            </w:r>
          </w:p>
        </w:tc>
      </w:tr>
    </w:tbl>
    <w:p>
      <w:pPr>
        <w:spacing w:before="120" w:after="120"/>
        <w:jc w:val="both"/>
        <w:rPr>
          <w:rFonts w:eastAsia="Times New Roman" w:asciiTheme="minorHAnsi" w:hAnsiTheme="minorHAnsi"/>
          <w:bCs/>
          <w:kern w:val="32"/>
        </w:rPr>
      </w:pPr>
      <w:r>
        <w:rPr>
          <w:rFonts w:eastAsia="Times New Roman" w:asciiTheme="minorHAnsi" w:hAnsiTheme="minorHAnsi"/>
          <w:bCs/>
          <w:kern w:val="32"/>
        </w:rPr>
        <w:t xml:space="preserve">Постоји редовна контрола квалитета воде за пиће из јавног водоводног система у властитој лабораторији, али и у овлаштеним институцијама у Републици Српској, Србији и Хрватској. У властитој лабораторији годишње се анализира преко 5.000 узорака воде, како у хемијском, тако и у микробиолошком погледу, док се у лабораторији Института за јавно здравство – Бања Лука годишње анализира близу 2.800 узорака воде за хемијску и исто толико за микробиолошку анализу. </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Постојећи квалитет воде ријеке Врбас између прве и друге класе квалитета воде је добра сировина за постојећи систем пречишћавања воде. Стога је неопходно водити рачуна да се очува овај квалитет. У ту сврху је донешена Одлука о заштити изворишта „Новоселија“ (</w:t>
      </w:r>
      <w:r>
        <w:rPr>
          <w:rFonts w:eastAsia="Times New Roman" w:asciiTheme="minorHAnsi" w:hAnsiTheme="minorHAnsi"/>
          <w:bCs/>
          <w:kern w:val="32"/>
          <w:lang w:val="bs-Latn-BA"/>
        </w:rPr>
        <w:t>„</w:t>
      </w:r>
      <w:r>
        <w:rPr>
          <w:rFonts w:eastAsia="Times New Roman" w:asciiTheme="minorHAnsi" w:hAnsiTheme="minorHAnsi"/>
          <w:bCs/>
          <w:kern w:val="32"/>
        </w:rPr>
        <w:t>Сл.Гл.Града Бањалука</w:t>
      </w:r>
      <w:r>
        <w:rPr>
          <w:rFonts w:eastAsia="Times New Roman" w:asciiTheme="minorHAnsi" w:hAnsiTheme="minorHAnsi"/>
          <w:bCs/>
          <w:kern w:val="32"/>
          <w:lang w:val="bs-Latn-BA"/>
        </w:rPr>
        <w:t>“,</w:t>
      </w:r>
      <w:r>
        <w:rPr>
          <w:rFonts w:eastAsia="Times New Roman" w:asciiTheme="minorHAnsi" w:hAnsiTheme="minorHAnsi"/>
          <w:bCs/>
          <w:kern w:val="32"/>
        </w:rPr>
        <w:t xml:space="preserve"> бр.</w:t>
      </w:r>
      <w:r>
        <w:rPr>
          <w:rFonts w:eastAsia="Times New Roman" w:asciiTheme="minorHAnsi" w:hAnsiTheme="minorHAnsi"/>
          <w:bCs/>
          <w:kern w:val="32"/>
          <w:lang w:val="bs-Latn-BA"/>
        </w:rPr>
        <w:t xml:space="preserve"> </w:t>
      </w:r>
      <w:r>
        <w:rPr>
          <w:rFonts w:eastAsia="Times New Roman" w:asciiTheme="minorHAnsi" w:hAnsiTheme="minorHAnsi"/>
          <w:bCs/>
          <w:kern w:val="32"/>
        </w:rPr>
        <w:t>20/11)</w:t>
      </w:r>
      <w:r>
        <w:rPr>
          <w:rFonts w:eastAsia="Times New Roman" w:asciiTheme="minorHAnsi" w:hAnsiTheme="minorHAnsi"/>
          <w:bCs/>
          <w:kern w:val="32"/>
          <w:lang w:val="sr-Cyrl-CS"/>
        </w:rPr>
        <w:t xml:space="preserve">, </w:t>
      </w:r>
      <w:r>
        <w:rPr>
          <w:rFonts w:eastAsia="Times New Roman" w:asciiTheme="minorHAnsi" w:hAnsiTheme="minorHAnsi"/>
          <w:bCs/>
          <w:kern w:val="32"/>
        </w:rPr>
        <w:t>те приликом планирања на том локалитету треба се водити датом Одлуком. Као још једна мјера заштите изворишта у водозаштитном подручју од Карановца до моста у Српским Топлицама изграђена је канализациона мрежа. Заштита изворишта „Новоселија“ треба да буде основ за планирање било каквих активност на ријеци Врбас и у сливном подручју на дијелу водозаштитне зоне и узводно. Стога се, приликом израде било какве студије о изградњи малих ХЕ мора урадити студија утицаја на квалитет воде ријеке Врбас у водозаштитном подручју.</w:t>
      </w:r>
      <w:r>
        <w:rPr>
          <w:rFonts w:eastAsia="Times New Roman" w:asciiTheme="minorHAnsi" w:hAnsiTheme="minorHAnsi"/>
          <w:bCs/>
          <w:kern w:val="32"/>
          <w:lang w:val="bs-Latn-BA"/>
        </w:rPr>
        <w:t xml:space="preserve"> </w:t>
      </w:r>
      <w:r>
        <w:rPr>
          <w:rFonts w:eastAsia="Times New Roman" w:asciiTheme="minorHAnsi" w:hAnsiTheme="minorHAnsi"/>
          <w:bCs/>
          <w:kern w:val="32"/>
        </w:rPr>
        <w:t>У склопу фабрике воде једна од фаза је и изградња лагуна за муљ којом би се вода са прања филтера пречишћавала. У овом тренутку вода са прања филтера се упушта у ријеку Врбас низводно од водозахвата.</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 xml:space="preserve">Локални водоводи су у власништву мјесних заједница или група мјештана. Један дио локалних водовода </w:t>
      </w:r>
      <w:r>
        <w:rPr>
          <w:rFonts w:eastAsia="Times New Roman" w:asciiTheme="minorHAnsi" w:hAnsiTheme="minorHAnsi"/>
          <w:bCs/>
          <w:kern w:val="32"/>
          <w:lang w:val="sr-Cyrl-CS"/>
        </w:rPr>
        <w:t xml:space="preserve">био </w:t>
      </w:r>
      <w:r>
        <w:rPr>
          <w:rFonts w:eastAsia="Times New Roman" w:asciiTheme="minorHAnsi" w:hAnsiTheme="minorHAnsi"/>
          <w:bCs/>
          <w:kern w:val="32"/>
        </w:rPr>
        <w:t xml:space="preserve">је у надлежности Центра за развој пољопривреде и села у дужини од 670 </w:t>
      </w:r>
      <w:r>
        <w:rPr>
          <w:rFonts w:eastAsia="Times New Roman" w:asciiTheme="minorHAnsi" w:hAnsiTheme="minorHAnsi"/>
          <w:bCs/>
          <w:kern w:val="32"/>
          <w:lang w:val="hr-HR"/>
        </w:rPr>
        <w:t>km</w:t>
      </w:r>
      <w:r>
        <w:rPr>
          <w:rFonts w:eastAsia="Times New Roman" w:asciiTheme="minorHAnsi" w:hAnsiTheme="minorHAnsi"/>
          <w:bCs/>
          <w:kern w:val="32"/>
        </w:rPr>
        <w:t>, са укупно 7.330 потрошача – домаћинстава. „Водовод“ а.д. Бања Лука је почео са процесом преузимања управљања над локалним сеоским водоводима. До 2017.г. је преузет само мањи дио, а планирано је да се потпуно преузиму у периоду од двије године. Приликом преузимања локалних водовода утврђено је да се не врши санитарна заштита изворшта</w:t>
      </w:r>
      <w:r>
        <w:rPr>
          <w:rFonts w:eastAsia="Times New Roman" w:asciiTheme="minorHAnsi" w:hAnsiTheme="minorHAnsi"/>
          <w:bCs/>
          <w:kern w:val="32"/>
          <w:lang w:val="sr-Cyrl-CS"/>
        </w:rPr>
        <w:t>,</w:t>
      </w:r>
      <w:r>
        <w:rPr>
          <w:rFonts w:eastAsia="Times New Roman" w:asciiTheme="minorHAnsi" w:hAnsiTheme="minorHAnsi"/>
          <w:bCs/>
          <w:kern w:val="32"/>
        </w:rPr>
        <w:t xml:space="preserve"> те је потребно усвојити Програм санитарне заштите вода за сваки водовод појединачно</w:t>
      </w:r>
      <w:r>
        <w:rPr>
          <w:rFonts w:eastAsia="Times New Roman" w:asciiTheme="minorHAnsi" w:hAnsiTheme="minorHAnsi"/>
          <w:bCs/>
          <w:kern w:val="32"/>
          <w:lang w:val="sr-Cyrl-CS"/>
        </w:rPr>
        <w:t>.</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На дијелу сеоских водовода, кој</w:t>
      </w:r>
      <w:r>
        <w:rPr>
          <w:rFonts w:eastAsia="Times New Roman" w:asciiTheme="minorHAnsi" w:hAnsiTheme="minorHAnsi"/>
          <w:bCs/>
          <w:kern w:val="32"/>
          <w:lang w:val="sr-Cyrl-CS"/>
        </w:rPr>
        <w:t>и</w:t>
      </w:r>
      <w:r>
        <w:rPr>
          <w:rFonts w:eastAsia="Times New Roman" w:asciiTheme="minorHAnsi" w:hAnsiTheme="minorHAnsi"/>
          <w:bCs/>
          <w:kern w:val="32"/>
        </w:rPr>
        <w:t xml:space="preserve"> су у надлежности Центра за развој пољопривреде и села,  врше се редовне контроле квалитета воде. Вода се узоркује једанпут мјесечно (по потреби и чешће), а анализира се микробиологија (27 узорака) и хемија (27 узорака) тј. укуно 54 узорака на мјесечном нивоу које котролише Институт за јавно здравство РС.</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У пр</w:t>
      </w:r>
      <w:r>
        <w:rPr>
          <w:rFonts w:eastAsia="Times New Roman" w:asciiTheme="minorHAnsi" w:hAnsiTheme="minorHAnsi"/>
          <w:bCs/>
          <w:kern w:val="32"/>
          <w:lang w:val="sr-Cyrl-CS"/>
        </w:rPr>
        <w:t>етходни</w:t>
      </w:r>
      <w:r>
        <w:rPr>
          <w:rFonts w:eastAsia="Times New Roman" w:asciiTheme="minorHAnsi" w:hAnsiTheme="minorHAnsi"/>
          <w:bCs/>
          <w:kern w:val="32"/>
        </w:rPr>
        <w:t>х 5 година, у јавни водоводни систем уложено је 35,5 милиона КМ из кредитних и буџетских средстава</w:t>
      </w:r>
      <w:r>
        <w:rPr>
          <w:rFonts w:eastAsia="Times New Roman" w:asciiTheme="minorHAnsi" w:hAnsiTheme="minorHAnsi"/>
          <w:bCs/>
          <w:kern w:val="32"/>
          <w:lang w:val="sr-Cyrl-RS"/>
        </w:rPr>
        <w:t xml:space="preserve"> и </w:t>
      </w:r>
      <w:r>
        <w:rPr>
          <w:rFonts w:eastAsia="Times New Roman" w:asciiTheme="minorHAnsi" w:hAnsiTheme="minorHAnsi"/>
          <w:bCs/>
          <w:kern w:val="32"/>
        </w:rPr>
        <w:t xml:space="preserve">изграђено 130 </w:t>
      </w:r>
      <w:r>
        <w:rPr>
          <w:rFonts w:eastAsia="Times New Roman" w:asciiTheme="minorHAnsi" w:hAnsiTheme="minorHAnsi"/>
          <w:bCs/>
          <w:kern w:val="32"/>
          <w:lang w:val="hr-HR"/>
        </w:rPr>
        <w:t>km</w:t>
      </w:r>
      <w:r>
        <w:rPr>
          <w:rFonts w:eastAsia="Times New Roman" w:asciiTheme="minorHAnsi" w:hAnsiTheme="minorHAnsi"/>
          <w:bCs/>
          <w:kern w:val="32"/>
        </w:rPr>
        <w:t xml:space="preserve"> нове водоводне мреже. </w:t>
      </w:r>
      <w:r>
        <w:rPr>
          <w:rFonts w:eastAsia="Times New Roman" w:asciiTheme="minorHAnsi" w:hAnsiTheme="minorHAnsi"/>
          <w:bCs/>
          <w:kern w:val="32"/>
          <w:lang w:val="sr-Cyrl-RS"/>
        </w:rPr>
        <w:t>„</w:t>
      </w:r>
      <w:r>
        <w:rPr>
          <w:rFonts w:eastAsia="Times New Roman" w:asciiTheme="minorHAnsi" w:hAnsiTheme="minorHAnsi"/>
          <w:bCs/>
          <w:kern w:val="32"/>
        </w:rPr>
        <w:t>Водовод</w:t>
      </w:r>
      <w:r>
        <w:rPr>
          <w:rFonts w:eastAsia="Times New Roman" w:asciiTheme="minorHAnsi" w:hAnsiTheme="minorHAnsi"/>
          <w:bCs/>
          <w:kern w:val="32"/>
          <w:lang w:val="sr-Cyrl-RS"/>
        </w:rPr>
        <w:t>“</w:t>
      </w:r>
      <w:r>
        <w:rPr>
          <w:rFonts w:eastAsia="Times New Roman" w:asciiTheme="minorHAnsi" w:hAnsiTheme="minorHAnsi"/>
          <w:bCs/>
          <w:kern w:val="32"/>
        </w:rPr>
        <w:t xml:space="preserve"> а.д. Бања Лука је у истом периоду уложило преко 3 милиона КМ властитих средстава у изградњу нове водоводне инфраструктуре и 1,7 милиона КМ у реконструкцију постојеће. </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Пројекат „Градски систем водоснабдијевања и одвођења отпадних вода у Бања</w:t>
      </w:r>
      <w:r>
        <w:rPr>
          <w:rFonts w:eastAsia="Times New Roman" w:asciiTheme="minorHAnsi" w:hAnsiTheme="minorHAnsi"/>
          <w:bCs/>
          <w:kern w:val="32"/>
          <w:lang w:val="sr-Cyrl-RS"/>
        </w:rPr>
        <w:t xml:space="preserve"> Л</w:t>
      </w:r>
      <w:r>
        <w:rPr>
          <w:rFonts w:eastAsia="Times New Roman" w:asciiTheme="minorHAnsi" w:hAnsiTheme="minorHAnsi"/>
          <w:bCs/>
          <w:kern w:val="32"/>
        </w:rPr>
        <w:t>уци“ је реализован у периоду од 2012. до 2016. године, финансиран средствима Града Бања Луке, кредитом KfW банке, донацијама Eвропске комисије (IPA) и Владе СР Њемачке. Укупна инвестициона вриједност Пројекта је 20.318.513,87 €. Кроз овај пројекат постигнути су сљедећи мјерљиви ефекти:</w:t>
      </w:r>
      <w:r>
        <w:rPr>
          <w:rFonts w:eastAsia="Times New Roman" w:asciiTheme="minorHAnsi" w:hAnsiTheme="minorHAnsi"/>
          <w:bCs/>
          <w:kern w:val="32"/>
          <w:lang w:val="sr-Cyrl-RS"/>
        </w:rPr>
        <w:t xml:space="preserve"> и</w:t>
      </w:r>
      <w:r>
        <w:rPr>
          <w:rFonts w:eastAsia="Times New Roman" w:asciiTheme="minorHAnsi" w:hAnsiTheme="minorHAnsi"/>
          <w:bCs/>
          <w:kern w:val="32"/>
        </w:rPr>
        <w:t>зграђено и замјењено 14,85 km водоводне мреже и преприкључено 598 објеката</w:t>
      </w:r>
      <w:r>
        <w:rPr>
          <w:rFonts w:eastAsia="Times New Roman" w:asciiTheme="minorHAnsi" w:hAnsiTheme="minorHAnsi"/>
          <w:bCs/>
          <w:kern w:val="32"/>
          <w:lang w:val="sr-Cyrl-RS"/>
        </w:rPr>
        <w:t>; и</w:t>
      </w:r>
      <w:r>
        <w:rPr>
          <w:rFonts w:eastAsia="Times New Roman" w:asciiTheme="minorHAnsi" w:hAnsiTheme="minorHAnsi"/>
          <w:bCs/>
          <w:kern w:val="32"/>
        </w:rPr>
        <w:t>зграђена је примарна и секундарна водоводна мрежa дужине 16,0 km,</w:t>
      </w:r>
      <w:r>
        <w:rPr>
          <w:rFonts w:eastAsia="Times New Roman" w:asciiTheme="minorHAnsi" w:hAnsiTheme="minorHAnsi"/>
          <w:bCs/>
          <w:color w:val="FF0000"/>
          <w:kern w:val="32"/>
        </w:rPr>
        <w:t xml:space="preserve"> </w:t>
      </w:r>
      <w:r>
        <w:rPr>
          <w:rFonts w:eastAsia="Times New Roman" w:asciiTheme="minorHAnsi" w:hAnsiTheme="minorHAnsi"/>
          <w:bCs/>
          <w:kern w:val="32"/>
        </w:rPr>
        <w:t>те резервоари I и II висинске зоне, чиме је обезбијеђена вода за пиће за нових 5.000 становника, те створене претпоставке за даље ширење мреже водоснабдијевања за плански период од 20 година</w:t>
      </w:r>
      <w:r>
        <w:rPr>
          <w:rFonts w:eastAsia="Times New Roman" w:asciiTheme="minorHAnsi" w:hAnsiTheme="minorHAnsi"/>
          <w:bCs/>
          <w:kern w:val="32"/>
          <w:lang w:val="sr-Cyrl-RS"/>
        </w:rPr>
        <w:t>; п</w:t>
      </w:r>
      <w:r>
        <w:rPr>
          <w:rFonts w:eastAsia="Times New Roman" w:asciiTheme="minorHAnsi" w:hAnsiTheme="minorHAnsi"/>
          <w:bCs/>
          <w:kern w:val="32"/>
        </w:rPr>
        <w:t xml:space="preserve">обољшан </w:t>
      </w:r>
      <w:r>
        <w:rPr>
          <w:rFonts w:eastAsia="Times New Roman" w:asciiTheme="minorHAnsi" w:hAnsiTheme="minorHAnsi"/>
          <w:bCs/>
          <w:kern w:val="32"/>
          <w:lang w:val="sr-Cyrl-RS"/>
        </w:rPr>
        <w:t xml:space="preserve">је </w:t>
      </w:r>
      <w:r>
        <w:rPr>
          <w:rFonts w:eastAsia="Times New Roman" w:asciiTheme="minorHAnsi" w:hAnsiTheme="minorHAnsi"/>
          <w:bCs/>
          <w:kern w:val="32"/>
        </w:rPr>
        <w:t>квалитет водоснабдијевања прве зоне сјеверозападног и сјеверног дијела града</w:t>
      </w:r>
      <w:r>
        <w:rPr>
          <w:rFonts w:eastAsia="Times New Roman" w:asciiTheme="minorHAnsi" w:hAnsiTheme="minorHAnsi"/>
          <w:bCs/>
          <w:kern w:val="32"/>
          <w:lang w:val="sr-Cyrl-RS"/>
        </w:rPr>
        <w:t>; с</w:t>
      </w:r>
      <w:r>
        <w:rPr>
          <w:rFonts w:eastAsia="Times New Roman" w:asciiTheme="minorHAnsi" w:hAnsiTheme="minorHAnsi"/>
          <w:bCs/>
          <w:kern w:val="32"/>
        </w:rPr>
        <w:t xml:space="preserve">мањени </w:t>
      </w:r>
      <w:r>
        <w:rPr>
          <w:rFonts w:eastAsia="Times New Roman" w:asciiTheme="minorHAnsi" w:hAnsiTheme="minorHAnsi"/>
          <w:bCs/>
          <w:kern w:val="32"/>
          <w:lang w:val="sr-Cyrl-RS"/>
        </w:rPr>
        <w:t xml:space="preserve">су </w:t>
      </w:r>
      <w:r>
        <w:rPr>
          <w:rFonts w:eastAsia="Times New Roman" w:asciiTheme="minorHAnsi" w:hAnsiTheme="minorHAnsi"/>
          <w:bCs/>
          <w:kern w:val="32"/>
        </w:rPr>
        <w:t>губици питке воде 2-3 %</w:t>
      </w:r>
      <w:r>
        <w:rPr>
          <w:rFonts w:eastAsia="Times New Roman" w:asciiTheme="minorHAnsi" w:hAnsiTheme="minorHAnsi"/>
          <w:bCs/>
          <w:kern w:val="32"/>
          <w:lang w:val="sr-Cyrl-RS"/>
        </w:rPr>
        <w:t>; п</w:t>
      </w:r>
      <w:r>
        <w:rPr>
          <w:rFonts w:eastAsia="Times New Roman" w:asciiTheme="minorHAnsi" w:hAnsiTheme="minorHAnsi"/>
          <w:bCs/>
          <w:kern w:val="32"/>
        </w:rPr>
        <w:t xml:space="preserve">обољшан </w:t>
      </w:r>
      <w:r>
        <w:rPr>
          <w:rFonts w:eastAsia="Times New Roman" w:asciiTheme="minorHAnsi" w:hAnsiTheme="minorHAnsi"/>
          <w:bCs/>
          <w:kern w:val="32"/>
          <w:lang w:val="sr-Cyrl-RS"/>
        </w:rPr>
        <w:t xml:space="preserve">је </w:t>
      </w:r>
      <w:r>
        <w:rPr>
          <w:rFonts w:eastAsia="Times New Roman" w:asciiTheme="minorHAnsi" w:hAnsiTheme="minorHAnsi"/>
          <w:bCs/>
          <w:kern w:val="32"/>
        </w:rPr>
        <w:t xml:space="preserve">квалитет воде ријеке </w:t>
      </w:r>
      <w:r>
        <w:rPr>
          <w:rFonts w:eastAsia="Times New Roman" w:asciiTheme="minorHAnsi" w:hAnsiTheme="minorHAnsi"/>
          <w:bCs/>
          <w:kern w:val="32"/>
          <w:lang w:val="sr-Cyrl-CS"/>
        </w:rPr>
        <w:t>В</w:t>
      </w:r>
      <w:r>
        <w:rPr>
          <w:rFonts w:eastAsia="Times New Roman" w:asciiTheme="minorHAnsi" w:hAnsiTheme="minorHAnsi"/>
          <w:bCs/>
          <w:kern w:val="32"/>
        </w:rPr>
        <w:t>рбас у микробиолошком смислу у зони изворишта „</w:t>
      </w:r>
      <w:r>
        <w:rPr>
          <w:rFonts w:eastAsia="Times New Roman" w:asciiTheme="minorHAnsi" w:hAnsiTheme="minorHAnsi"/>
          <w:bCs/>
          <w:kern w:val="32"/>
          <w:lang w:val="sr-Cyrl-CS"/>
        </w:rPr>
        <w:t>Н</w:t>
      </w:r>
      <w:r>
        <w:rPr>
          <w:rFonts w:eastAsia="Times New Roman" w:asciiTheme="minorHAnsi" w:hAnsiTheme="minorHAnsi"/>
          <w:bCs/>
          <w:kern w:val="32"/>
        </w:rPr>
        <w:t>овоселија“.</w:t>
      </w:r>
    </w:p>
    <w:p>
      <w:pPr>
        <w:spacing w:before="120" w:after="120"/>
        <w:jc w:val="both"/>
        <w:rPr>
          <w:rFonts w:eastAsia="Times New Roman" w:asciiTheme="minorHAnsi" w:hAnsiTheme="minorHAnsi"/>
          <w:bCs/>
          <w:kern w:val="32"/>
          <w:lang w:val="sr-Cyrl-CS"/>
        </w:rPr>
      </w:pPr>
    </w:p>
    <w:p>
      <w:pPr>
        <w:spacing w:after="160" w:line="259" w:lineRule="auto"/>
        <w:rPr>
          <w:rFonts w:eastAsia="Times New Roman" w:asciiTheme="minorHAnsi" w:hAnsiTheme="minorHAnsi"/>
          <w:b/>
          <w:bCs/>
          <w:i/>
          <w:kern w:val="32"/>
        </w:rPr>
      </w:pPr>
      <w:r>
        <w:rPr>
          <w:rFonts w:eastAsia="Times New Roman" w:asciiTheme="minorHAnsi" w:hAnsiTheme="minorHAnsi"/>
          <w:b/>
          <w:bCs/>
          <w:i/>
          <w:kern w:val="32"/>
        </w:rPr>
        <w:t>Канализација</w:t>
      </w:r>
    </w:p>
    <w:tbl>
      <w:tblPr>
        <w:tblStyle w:val="37"/>
        <w:tblW w:w="93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02"/>
        <w:gridCol w:w="5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02" w:type="dxa"/>
            <w:vMerge w:val="restart"/>
          </w:tcPr>
          <w:p>
            <w:pPr>
              <w:spacing w:before="120" w:after="120"/>
              <w:jc w:val="both"/>
              <w:rPr>
                <w:rFonts w:eastAsia="Times New Roman" w:asciiTheme="minorHAnsi" w:hAnsiTheme="minorHAnsi"/>
                <w:bCs/>
                <w:kern w:val="32"/>
              </w:rPr>
            </w:pPr>
            <w:r>
              <w:rPr>
                <w:rFonts w:eastAsia="Times New Roman" w:asciiTheme="minorHAnsi" w:hAnsiTheme="minorHAnsi"/>
                <w:bCs/>
                <w:kern w:val="32"/>
              </w:rPr>
              <w:t xml:space="preserve">На подручју града Бања Лука систем одводње отпадних вода не прати развој водоводног система. Систем је мјешовитог и сепаратног типа укупне дужине око 397 </w:t>
            </w:r>
            <w:r>
              <w:rPr>
                <w:rFonts w:eastAsia="Times New Roman" w:asciiTheme="minorHAnsi" w:hAnsiTheme="minorHAnsi"/>
                <w:bCs/>
                <w:kern w:val="32"/>
                <w:lang w:val="hr-HR"/>
              </w:rPr>
              <w:t>km</w:t>
            </w:r>
            <w:r>
              <w:rPr>
                <w:rFonts w:eastAsia="Times New Roman" w:asciiTheme="minorHAnsi" w:hAnsiTheme="minorHAnsi"/>
                <w:bCs/>
                <w:kern w:val="32"/>
              </w:rPr>
              <w:t>.</w:t>
            </w:r>
            <w:r>
              <w:rPr>
                <w:rFonts w:eastAsia="Times New Roman" w:asciiTheme="minorHAnsi" w:hAnsiTheme="minorHAnsi"/>
                <w:bCs/>
                <w:kern w:val="32"/>
                <w:lang w:val="sr-Cyrl-RS"/>
              </w:rPr>
              <w:t xml:space="preserve"> </w:t>
            </w:r>
            <w:r>
              <w:rPr>
                <w:rFonts w:eastAsia="Times New Roman" w:asciiTheme="minorHAnsi" w:hAnsiTheme="minorHAnsi"/>
                <w:bCs/>
                <w:kern w:val="32"/>
              </w:rPr>
              <w:t xml:space="preserve">Само 60% становништва које је прикључно на јавни водовод има прикључак и на јавни систем канализације. </w:t>
            </w:r>
          </w:p>
          <w:p>
            <w:pPr>
              <w:spacing w:before="120" w:after="120"/>
              <w:rPr>
                <w:rFonts w:eastAsia="Times New Roman" w:asciiTheme="minorHAnsi" w:hAnsiTheme="minorHAnsi"/>
                <w:bCs/>
                <w:kern w:val="32"/>
              </w:rPr>
            </w:pPr>
            <w:r>
              <w:rPr>
                <w:rFonts w:eastAsia="Times New Roman" w:asciiTheme="minorHAnsi" w:hAnsiTheme="minorHAnsi"/>
                <w:bCs/>
                <w:kern w:val="32"/>
              </w:rPr>
              <w:t xml:space="preserve">На канализациони систем прикључено је </w:t>
            </w:r>
            <w:r>
              <w:rPr>
                <w:rFonts w:eastAsia="Times New Roman" w:asciiTheme="minorHAnsi" w:hAnsiTheme="minorHAnsi"/>
                <w:bCs/>
                <w:kern w:val="32"/>
                <w:lang w:val="hr-HR"/>
              </w:rPr>
              <w:t>14</w:t>
            </w:r>
            <w:r>
              <w:rPr>
                <w:rFonts w:eastAsia="Times New Roman" w:asciiTheme="minorHAnsi" w:hAnsiTheme="minorHAnsi"/>
                <w:bCs/>
                <w:kern w:val="32"/>
              </w:rPr>
              <w:t>.</w:t>
            </w:r>
            <w:r>
              <w:rPr>
                <w:rFonts w:eastAsia="Times New Roman" w:asciiTheme="minorHAnsi" w:hAnsiTheme="minorHAnsi"/>
                <w:bCs/>
                <w:kern w:val="32"/>
                <w:lang w:val="hr-HR"/>
              </w:rPr>
              <w:t>427</w:t>
            </w:r>
            <w:r>
              <w:rPr>
                <w:rFonts w:eastAsia="Times New Roman" w:asciiTheme="minorHAnsi" w:hAnsiTheme="minorHAnsi"/>
                <w:bCs/>
                <w:kern w:val="32"/>
              </w:rPr>
              <w:t xml:space="preserve"> домаћинстава и </w:t>
            </w:r>
            <w:r>
              <w:rPr>
                <w:rFonts w:eastAsia="Times New Roman" w:asciiTheme="minorHAnsi" w:hAnsiTheme="minorHAnsi"/>
                <w:bCs/>
                <w:kern w:val="32"/>
                <w:lang w:val="hr-HR"/>
              </w:rPr>
              <w:t>6</w:t>
            </w:r>
            <w:r>
              <w:rPr>
                <w:rFonts w:eastAsia="Times New Roman" w:asciiTheme="minorHAnsi" w:hAnsiTheme="minorHAnsi"/>
                <w:bCs/>
                <w:kern w:val="32"/>
              </w:rPr>
              <w:t>.</w:t>
            </w:r>
            <w:r>
              <w:rPr>
                <w:rFonts w:eastAsia="Times New Roman" w:asciiTheme="minorHAnsi" w:hAnsiTheme="minorHAnsi"/>
                <w:bCs/>
                <w:kern w:val="32"/>
                <w:lang w:val="hr-HR"/>
              </w:rPr>
              <w:t>525</w:t>
            </w:r>
            <w:r>
              <w:rPr>
                <w:rFonts w:eastAsia="Times New Roman" w:asciiTheme="minorHAnsi" w:hAnsiTheme="minorHAnsi"/>
                <w:bCs/>
                <w:kern w:val="32"/>
              </w:rPr>
              <w:t xml:space="preserve"> правних лица</w:t>
            </w:r>
            <w:r>
              <w:rPr>
                <w:rFonts w:eastAsia="Times New Roman" w:asciiTheme="minorHAnsi" w:hAnsiTheme="minorHAnsi"/>
                <w:bCs/>
                <w:kern w:val="32"/>
                <w:lang w:val="sr-Cyrl-RS"/>
              </w:rPr>
              <w:t xml:space="preserve">. </w:t>
            </w:r>
            <w:r>
              <w:rPr>
                <w:rFonts w:eastAsia="Times New Roman" w:asciiTheme="minorHAnsi" w:hAnsiTheme="minorHAnsi"/>
                <w:bCs/>
                <w:kern w:val="32"/>
              </w:rPr>
              <w:t xml:space="preserve"> </w:t>
            </w:r>
          </w:p>
        </w:tc>
        <w:tc>
          <w:tcPr>
            <w:tcW w:w="5856" w:type="dxa"/>
          </w:tcPr>
          <w:p>
            <w:pPr>
              <w:spacing w:before="120" w:after="120"/>
              <w:jc w:val="right"/>
              <w:rPr>
                <w:rFonts w:eastAsia="Times New Roman" w:asciiTheme="minorHAnsi" w:hAnsiTheme="minorHAnsi"/>
                <w:bCs/>
                <w:kern w:val="32"/>
              </w:rPr>
            </w:pPr>
            <w:r>
              <w:rPr>
                <w:sz w:val="20"/>
                <w:szCs w:val="20"/>
                <w:lang w:val="sr-Latn-CS" w:eastAsia="sr-Latn-CS"/>
              </w:rPr>
              <w:drawing>
                <wp:inline distT="0" distB="0" distL="0" distR="0">
                  <wp:extent cx="3173730" cy="2037080"/>
                  <wp:effectExtent l="0" t="0" r="7620" b="127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02" w:type="dxa"/>
            <w:vMerge w:val="continue"/>
          </w:tcPr>
          <w:p>
            <w:pPr>
              <w:jc w:val="both"/>
              <w:rPr>
                <w:rFonts w:eastAsia="Times New Roman" w:asciiTheme="minorHAnsi" w:hAnsiTheme="minorHAnsi"/>
                <w:bCs/>
                <w:kern w:val="32"/>
              </w:rPr>
            </w:pPr>
          </w:p>
        </w:tc>
        <w:tc>
          <w:tcPr>
            <w:tcW w:w="5856" w:type="dxa"/>
          </w:tcPr>
          <w:p>
            <w:pPr>
              <w:jc w:val="center"/>
              <w:rPr>
                <w:rFonts w:eastAsia="Times New Roman" w:asciiTheme="minorHAnsi" w:hAnsiTheme="minorHAnsi"/>
                <w:bCs/>
                <w:kern w:val="32"/>
              </w:rPr>
            </w:pPr>
            <w:r>
              <w:rPr>
                <w:rFonts w:eastAsia="Times New Roman" w:asciiTheme="minorHAnsi" w:hAnsiTheme="minorHAnsi"/>
                <w:bCs/>
                <w:i/>
                <w:kern w:val="32"/>
                <w:sz w:val="18"/>
                <w:szCs w:val="18"/>
                <w:lang w:val="sr-Cyrl-CS"/>
              </w:rPr>
              <w:t xml:space="preserve">           </w:t>
            </w:r>
            <w:r>
              <w:rPr>
                <w:rFonts w:eastAsia="Times New Roman" w:asciiTheme="minorHAnsi" w:hAnsiTheme="minorHAnsi"/>
                <w:bCs/>
                <w:i/>
                <w:kern w:val="32"/>
                <w:sz w:val="18"/>
                <w:szCs w:val="18"/>
              </w:rPr>
              <w:t>Извор података: „Водовод“ а.д. Бања Лука, новембар 2017.г</w:t>
            </w:r>
          </w:p>
        </w:tc>
      </w:tr>
    </w:tbl>
    <w:p>
      <w:pPr>
        <w:spacing w:before="120" w:after="120"/>
        <w:jc w:val="both"/>
        <w:rPr>
          <w:rFonts w:eastAsia="Times New Roman" w:asciiTheme="minorHAnsi" w:hAnsiTheme="minorHAnsi"/>
          <w:bCs/>
          <w:kern w:val="32"/>
        </w:rPr>
      </w:pPr>
      <w:r>
        <w:rPr>
          <w:rFonts w:eastAsia="Times New Roman" w:asciiTheme="minorHAnsi" w:hAnsiTheme="minorHAnsi"/>
          <w:bCs/>
          <w:kern w:val="32"/>
        </w:rPr>
        <w:t>Процјена је да 40% урбаног дијела града</w:t>
      </w:r>
      <w:r>
        <w:rPr>
          <w:rFonts w:eastAsia="Times New Roman" w:asciiTheme="minorHAnsi" w:hAnsiTheme="minorHAnsi"/>
          <w:bCs/>
          <w:kern w:val="32"/>
          <w:lang w:val="sr-Cyrl-CS"/>
        </w:rPr>
        <w:t xml:space="preserve"> </w:t>
      </w:r>
      <w:r>
        <w:rPr>
          <w:rFonts w:eastAsia="Times New Roman" w:asciiTheme="minorHAnsi" w:hAnsiTheme="minorHAnsi"/>
          <w:bCs/>
          <w:kern w:val="32"/>
        </w:rPr>
        <w:t>није покривено канализационом мрежом. На територији руралног подручја града Бања Лука не постоје изграђени канализациони системи. У</w:t>
      </w:r>
      <w:r>
        <w:rPr>
          <w:rFonts w:eastAsia="Times New Roman" w:asciiTheme="minorHAnsi" w:hAnsiTheme="minorHAnsi"/>
          <w:bCs/>
          <w:kern w:val="32"/>
          <w:lang w:val="bs-Latn-BA"/>
        </w:rPr>
        <w:t xml:space="preserve"> </w:t>
      </w:r>
      <w:r>
        <w:rPr>
          <w:rFonts w:eastAsia="Times New Roman" w:asciiTheme="minorHAnsi" w:hAnsiTheme="minorHAnsi"/>
          <w:bCs/>
          <w:kern w:val="32"/>
        </w:rPr>
        <w:t>наредном планском периоду планира се изградња појединачних канализационих система за</w:t>
      </w:r>
      <w:r>
        <w:rPr>
          <w:rFonts w:eastAsia="Times New Roman" w:asciiTheme="minorHAnsi" w:hAnsiTheme="minorHAnsi"/>
          <w:bCs/>
          <w:kern w:val="32"/>
          <w:lang w:val="bs-Latn-BA"/>
        </w:rPr>
        <w:t xml:space="preserve"> </w:t>
      </w:r>
      <w:r>
        <w:rPr>
          <w:rFonts w:eastAsia="Times New Roman" w:asciiTheme="minorHAnsi" w:hAnsiTheme="minorHAnsi"/>
          <w:bCs/>
          <w:kern w:val="32"/>
        </w:rPr>
        <w:t>прикупљање отпадних вода, у већим насељеним мјестима (Поткозарје, Бронзани Мајдан, Кола).</w:t>
      </w:r>
      <w:r>
        <w:rPr>
          <w:rFonts w:eastAsia="Times New Roman" w:asciiTheme="minorHAnsi" w:hAnsiTheme="minorHAnsi"/>
          <w:bCs/>
          <w:kern w:val="32"/>
          <w:vertAlign w:val="superscript"/>
        </w:rPr>
        <w:footnoteReference w:id="68"/>
      </w:r>
      <w:r>
        <w:rPr>
          <w:rFonts w:eastAsia="Times New Roman" w:asciiTheme="minorHAnsi" w:hAnsiTheme="minorHAnsi"/>
          <w:bCs/>
          <w:kern w:val="32"/>
        </w:rPr>
        <w:t xml:space="preserve"> Све отпадне воде из централног канализационог система испуштају се у Врбас, Врбању, Црквену и Широку ријеку.</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Привредни субјекти Инцел и Чајевец имају властити канализациони систем. Канализациони систем Чајевец прикључен је на јавну канализацију у улици Јована Дучића, док се отпадне воде из канализационог система Инцел испуштају у ријеку Врбас. Сопствени канализациони систем посједује и КБЦ чије се отпадне и кишне воде упуштају у јавну канализацију.</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Град не посједује постројење за пречишћавање отпадних вода, а ни привредни субјекти немају предтретман одговарајућих индустријских вода што утиче на загађење ријек</w:t>
      </w:r>
      <w:r>
        <w:rPr>
          <w:rFonts w:eastAsia="Times New Roman" w:asciiTheme="minorHAnsi" w:hAnsiTheme="minorHAnsi"/>
          <w:bCs/>
          <w:kern w:val="32"/>
          <w:lang w:val="bs-Latn-BA"/>
        </w:rPr>
        <w:t>a</w:t>
      </w:r>
      <w:r>
        <w:rPr>
          <w:rFonts w:eastAsia="Times New Roman" w:asciiTheme="minorHAnsi" w:hAnsiTheme="minorHAnsi"/>
          <w:bCs/>
          <w:kern w:val="32"/>
        </w:rPr>
        <w:t>. Постоји само једно мање постројење за пречишћавање отпадних вода у насељу Зелени вир који је у функцији и чији капацитет износи 500 Е</w:t>
      </w:r>
      <w:r>
        <w:rPr>
          <w:rFonts w:eastAsia="Times New Roman" w:asciiTheme="minorHAnsi" w:hAnsiTheme="minorHAnsi"/>
          <w:bCs/>
          <w:kern w:val="32"/>
          <w:lang w:val="hr-HR"/>
        </w:rPr>
        <w:t>C</w:t>
      </w:r>
      <w:r>
        <w:rPr>
          <w:rFonts w:eastAsia="Times New Roman" w:asciiTheme="minorHAnsi" w:hAnsiTheme="minorHAnsi"/>
          <w:bCs/>
          <w:kern w:val="32"/>
        </w:rPr>
        <w:t xml:space="preserve"> (еквивалентних становника).</w:t>
      </w:r>
      <w:r>
        <w:rPr>
          <w:rFonts w:eastAsia="Times New Roman" w:asciiTheme="minorHAnsi" w:hAnsiTheme="minorHAnsi"/>
          <w:bCs/>
          <w:kern w:val="32"/>
          <w:lang w:val="sr-Cyrl-CS"/>
        </w:rPr>
        <w:t xml:space="preserve"> </w:t>
      </w:r>
      <w:r>
        <w:rPr>
          <w:rFonts w:eastAsia="Times New Roman" w:asciiTheme="minorHAnsi" w:hAnsiTheme="minorHAnsi"/>
          <w:bCs/>
          <w:kern w:val="32"/>
        </w:rPr>
        <w:t>Планирана локација за изградњу ППОВ „Делибашино село“</w:t>
      </w:r>
      <w:r>
        <w:rPr>
          <w:rFonts w:eastAsia="Times New Roman" w:asciiTheme="minorHAnsi" w:hAnsiTheme="minorHAnsi"/>
          <w:bCs/>
          <w:kern w:val="32"/>
          <w:lang w:val="bs-Latn-BA"/>
        </w:rPr>
        <w:t>,</w:t>
      </w:r>
      <w:r>
        <w:rPr>
          <w:rFonts w:eastAsia="Times New Roman" w:asciiTheme="minorHAnsi" w:hAnsiTheme="minorHAnsi"/>
          <w:bCs/>
          <w:kern w:val="32"/>
        </w:rPr>
        <w:t xml:space="preserve"> у којем би се пречишћавале све отпадне воде централног канализационог система</w:t>
      </w:r>
      <w:r>
        <w:rPr>
          <w:rFonts w:eastAsia="Times New Roman" w:asciiTheme="minorHAnsi" w:hAnsiTheme="minorHAnsi"/>
          <w:bCs/>
          <w:kern w:val="32"/>
          <w:lang w:val="bs-Latn-BA"/>
        </w:rPr>
        <w:t>,</w:t>
      </w:r>
      <w:r>
        <w:rPr>
          <w:rFonts w:eastAsia="Times New Roman" w:asciiTheme="minorHAnsi" w:hAnsiTheme="minorHAnsi"/>
          <w:bCs/>
          <w:kern w:val="32"/>
        </w:rPr>
        <w:t xml:space="preserve"> налази се на десној обали ријеке Врбас низводно од манастира</w:t>
      </w:r>
      <w:r>
        <w:rPr>
          <w:rFonts w:eastAsia="Times New Roman" w:asciiTheme="minorHAnsi" w:hAnsiTheme="minorHAnsi"/>
          <w:bCs/>
          <w:kern w:val="32"/>
          <w:lang w:val="sr-Cyrl-RS"/>
        </w:rPr>
        <w:t xml:space="preserve"> </w:t>
      </w:r>
      <w:r>
        <w:rPr>
          <w:rFonts w:eastAsia="Times New Roman" w:asciiTheme="minorHAnsi" w:hAnsiTheme="minorHAnsi"/>
          <w:bCs/>
          <w:kern w:val="32"/>
        </w:rPr>
        <w:t>„Траписти“. Урађен је генерални пројекат канализационог система оборинских и употребљених вода становништва и индустрије града Бања Лука.</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Постојећи канализациони систем датира од 1912.г. кад је рађен мјешовити тип канализације, тако да је у ужем дијелу центра града остао овај систем. Тек послије земљотреса се нагло развила канализациона мрежа у граду кад је изграђено око 70</w:t>
      </w:r>
      <w:r>
        <w:rPr>
          <w:rFonts w:eastAsia="Times New Roman" w:asciiTheme="minorHAnsi" w:hAnsiTheme="minorHAnsi"/>
          <w:bCs/>
          <w:kern w:val="32"/>
          <w:lang w:val="bs-Latn-BA"/>
        </w:rPr>
        <w:t xml:space="preserve"> </w:t>
      </w:r>
      <w:r>
        <w:rPr>
          <w:rFonts w:eastAsia="Times New Roman" w:asciiTheme="minorHAnsi" w:hAnsiTheme="minorHAnsi"/>
          <w:bCs/>
          <w:kern w:val="32"/>
          <w:lang w:val="hr-HR"/>
        </w:rPr>
        <w:t>km</w:t>
      </w:r>
      <w:r>
        <w:rPr>
          <w:rFonts w:eastAsia="Times New Roman" w:asciiTheme="minorHAnsi" w:hAnsiTheme="minorHAnsi"/>
          <w:bCs/>
          <w:kern w:val="32"/>
        </w:rPr>
        <w:t xml:space="preserve"> мреже, мјешовитог типа. Од 80-тих година до данас траје изградња сепаратног система чиме се олакшава рјешавање изградње планираног пречишћавањ</w:t>
      </w:r>
      <w:r>
        <w:rPr>
          <w:rFonts w:eastAsia="Times New Roman" w:asciiTheme="minorHAnsi" w:hAnsiTheme="minorHAnsi"/>
          <w:bCs/>
          <w:kern w:val="32"/>
          <w:lang w:val="bs-Latn-BA"/>
        </w:rPr>
        <w:t xml:space="preserve">a </w:t>
      </w:r>
      <w:r>
        <w:rPr>
          <w:rFonts w:eastAsia="Times New Roman" w:asciiTheme="minorHAnsi" w:hAnsiTheme="minorHAnsi"/>
          <w:bCs/>
          <w:kern w:val="32"/>
        </w:rPr>
        <w:t xml:space="preserve"> отпадних вода. Одржавање постојећег система је текуће и ургентно по потреби. Редовно одржавање представља преглед система уз евентуално чишћење цистернама. Потребно је улагати у проширење канализационе мреже, тако да се покрију дијелови града који немају ријешен овај проблем. Генералним пројектом одвођења отпадних и оборинских вода Града Бањалука превиђено је раздвајање оборинске и фек</w:t>
      </w:r>
      <w:r>
        <w:rPr>
          <w:rFonts w:eastAsia="Times New Roman" w:asciiTheme="minorHAnsi" w:hAnsiTheme="minorHAnsi"/>
          <w:bCs/>
          <w:kern w:val="32"/>
          <w:lang w:val="hr-HR"/>
        </w:rPr>
        <w:t>a</w:t>
      </w:r>
      <w:r>
        <w:rPr>
          <w:rFonts w:eastAsia="Times New Roman" w:asciiTheme="minorHAnsi" w:hAnsiTheme="minorHAnsi"/>
          <w:bCs/>
          <w:kern w:val="32"/>
        </w:rPr>
        <w:t>лне канализације на мјестима гдје је заступљен мјешовити тип чиме су дате смјернице даљег развоја канализационог система.</w:t>
      </w:r>
    </w:p>
    <w:p>
      <w:pPr>
        <w:spacing w:before="120" w:after="120"/>
        <w:jc w:val="both"/>
        <w:rPr>
          <w:rFonts w:eastAsia="Times New Roman" w:asciiTheme="minorHAnsi" w:hAnsiTheme="minorHAnsi"/>
          <w:bCs/>
          <w:kern w:val="32"/>
          <w:lang w:val="hr-HR"/>
        </w:rPr>
      </w:pPr>
      <w:r>
        <w:rPr>
          <w:rFonts w:eastAsia="Times New Roman" w:asciiTheme="minorHAnsi" w:hAnsiTheme="minorHAnsi"/>
          <w:bCs/>
          <w:kern w:val="32"/>
        </w:rPr>
        <w:t>Одржавање оборинске канализације је у надлежности Града Бања</w:t>
      </w:r>
      <w:r>
        <w:rPr>
          <w:rFonts w:eastAsia="Times New Roman" w:asciiTheme="minorHAnsi" w:hAnsiTheme="minorHAnsi"/>
          <w:bCs/>
          <w:kern w:val="32"/>
          <w:lang w:val="sr-Cyrl-RS"/>
        </w:rPr>
        <w:t xml:space="preserve"> Л</w:t>
      </w:r>
      <w:r>
        <w:rPr>
          <w:rFonts w:eastAsia="Times New Roman" w:asciiTheme="minorHAnsi" w:hAnsiTheme="minorHAnsi"/>
          <w:bCs/>
          <w:kern w:val="32"/>
        </w:rPr>
        <w:t>ука</w:t>
      </w:r>
      <w:r>
        <w:rPr>
          <w:rFonts w:eastAsia="Times New Roman" w:asciiTheme="minorHAnsi" w:hAnsiTheme="minorHAnsi"/>
          <w:bCs/>
          <w:kern w:val="32"/>
          <w:lang w:val="hr-HR"/>
        </w:rPr>
        <w:t>. Постојећи колектори за прикупљање и одводњу оборинских вода, по капацитету углавном задовољавају одводњу 20-минутне кише повратног периода 2 године, али је у будућности ипак потребно планирати замјену одређених колектора због недовољног капацитета, јер је дошло до измјене вањског уређења у предметним насељима, те повећања броја објеката, што је повећало и број асфалтираних површина, а самим тим и коефицијент отицања.</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 xml:space="preserve">У протеклих 5 година, у јавни канализациони систем уложено је 15,6 милиона КМ </w:t>
      </w:r>
      <w:r>
        <w:rPr>
          <w:rFonts w:eastAsia="Times New Roman" w:asciiTheme="minorHAnsi" w:hAnsiTheme="minorHAnsi"/>
          <w:bCs/>
          <w:kern w:val="32"/>
          <w:lang w:val="sr-Cyrl-RS"/>
        </w:rPr>
        <w:t xml:space="preserve">и </w:t>
      </w:r>
      <w:r>
        <w:rPr>
          <w:rFonts w:eastAsia="Times New Roman" w:asciiTheme="minorHAnsi" w:hAnsiTheme="minorHAnsi"/>
          <w:bCs/>
          <w:kern w:val="32"/>
        </w:rPr>
        <w:t xml:space="preserve">изграђено 28,6 </w:t>
      </w:r>
      <w:r>
        <w:rPr>
          <w:rFonts w:eastAsia="Times New Roman" w:asciiTheme="minorHAnsi" w:hAnsiTheme="minorHAnsi"/>
          <w:bCs/>
          <w:kern w:val="32"/>
          <w:lang w:val="hr-HR"/>
        </w:rPr>
        <w:t>km</w:t>
      </w:r>
      <w:r>
        <w:rPr>
          <w:rFonts w:eastAsia="Times New Roman" w:asciiTheme="minorHAnsi" w:hAnsiTheme="minorHAnsi"/>
          <w:bCs/>
          <w:kern w:val="32"/>
        </w:rPr>
        <w:t xml:space="preserve"> нове канализационе мреже, од чега је кроз пројекат „Градски систем водоснабдијевања и одвођења отпадних вода у Бањалуци“ изграђено 21,7 km канализационе мреже и 700 кућних прикључака. Канализација Новоселија-Карановац и дио главног колектора је само фаза у трајном рјешавању отпадних вода града Бања Луке. Да би трајно ријешили отпадне воде ужег урбаног подручја града, потребно је изградити постројење за пречишћавање отпадних вода, урадити недостајућу примарну и секундарну мрежу, прелазе преко Врбаса и пумпне станице. За ову инвестицију потребно је обезбиједити око 50,0 милиона €, чиме би град Бањалука завршио прву фазу рјешавања одпадних вода у року од четири године.</w:t>
      </w:r>
      <w:r>
        <w:rPr>
          <w:rFonts w:eastAsia="Times New Roman" w:asciiTheme="minorHAnsi" w:hAnsiTheme="minorHAnsi"/>
          <w:bCs/>
          <w:kern w:val="32"/>
          <w:lang w:val="sr-Cyrl-RS"/>
        </w:rPr>
        <w:t xml:space="preserve"> </w:t>
      </w:r>
      <w:r>
        <w:rPr>
          <w:rFonts w:eastAsia="Times New Roman" w:asciiTheme="minorHAnsi" w:hAnsiTheme="minorHAnsi"/>
          <w:bCs/>
          <w:kern w:val="32"/>
        </w:rPr>
        <w:t>Изградњом ових објеката грађани би добили чисту ријеку, чиме би се стекли услови за уређење обала Врбаса и „спуштање“ Бања Луке на ријеку изградњом садржаја за спорт, рекреацију и културу.</w:t>
      </w:r>
    </w:p>
    <w:p>
      <w:pPr>
        <w:spacing w:before="120" w:after="120"/>
        <w:jc w:val="both"/>
        <w:rPr>
          <w:rFonts w:eastAsia="Times New Roman" w:asciiTheme="minorHAnsi" w:hAnsiTheme="minorHAnsi"/>
          <w:b/>
          <w:bCs/>
          <w:i/>
          <w:kern w:val="32"/>
          <w:lang w:val="sr-Cyrl-CS"/>
        </w:rPr>
      </w:pPr>
    </w:p>
    <w:p>
      <w:pPr>
        <w:spacing w:before="120" w:after="120"/>
        <w:jc w:val="both"/>
        <w:rPr>
          <w:rFonts w:eastAsia="Times New Roman" w:asciiTheme="minorHAnsi" w:hAnsiTheme="minorHAnsi"/>
          <w:b/>
          <w:bCs/>
          <w:i/>
          <w:kern w:val="32"/>
          <w:lang w:val="sr-Cyrl-CS"/>
        </w:rPr>
      </w:pPr>
    </w:p>
    <w:p>
      <w:pPr>
        <w:spacing w:before="120" w:after="120"/>
        <w:jc w:val="both"/>
        <w:rPr>
          <w:rFonts w:eastAsia="Times New Roman" w:asciiTheme="minorHAnsi" w:hAnsiTheme="minorHAnsi"/>
          <w:b/>
          <w:bCs/>
          <w:i/>
          <w:kern w:val="32"/>
          <w:lang w:val="sr-Cyrl-CS"/>
        </w:rPr>
      </w:pPr>
    </w:p>
    <w:p>
      <w:pPr>
        <w:spacing w:before="120" w:after="120"/>
        <w:jc w:val="both"/>
        <w:rPr>
          <w:rFonts w:eastAsia="Times New Roman" w:asciiTheme="minorHAnsi" w:hAnsiTheme="minorHAnsi"/>
          <w:b/>
          <w:bCs/>
          <w:i/>
          <w:kern w:val="32"/>
        </w:rPr>
      </w:pPr>
      <w:r>
        <w:rPr>
          <w:rFonts w:eastAsia="Times New Roman" w:asciiTheme="minorHAnsi" w:hAnsiTheme="minorHAnsi"/>
          <w:b/>
          <w:bCs/>
          <w:i/>
          <w:kern w:val="32"/>
        </w:rPr>
        <w:t>Јавна расвјета</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Улична расвјета у самом центру града и главним саобраћајницама је</w:t>
      </w:r>
      <w:r>
        <w:rPr>
          <w:rFonts w:eastAsia="Times New Roman" w:asciiTheme="minorHAnsi" w:hAnsiTheme="minorHAnsi"/>
          <w:bCs/>
          <w:kern w:val="32"/>
          <w:lang w:val="sr-Cyrl-RS"/>
        </w:rPr>
        <w:t xml:space="preserve"> </w:t>
      </w:r>
      <w:r>
        <w:rPr>
          <w:rFonts w:eastAsia="Times New Roman" w:asciiTheme="minorHAnsi" w:hAnsiTheme="minorHAnsi"/>
          <w:bCs/>
          <w:kern w:val="32"/>
        </w:rPr>
        <w:t>модернизована, док постоји још добар дио енергетски неефикасних и</w:t>
      </w:r>
      <w:r>
        <w:rPr>
          <w:rFonts w:eastAsia="Times New Roman" w:asciiTheme="minorHAnsi" w:hAnsiTheme="minorHAnsi"/>
          <w:bCs/>
          <w:kern w:val="32"/>
          <w:lang w:val="sr-Cyrl-RS"/>
        </w:rPr>
        <w:t xml:space="preserve"> </w:t>
      </w:r>
      <w:r>
        <w:rPr>
          <w:rFonts w:eastAsia="Times New Roman" w:asciiTheme="minorHAnsi" w:hAnsiTheme="minorHAnsi"/>
          <w:bCs/>
          <w:kern w:val="32"/>
        </w:rPr>
        <w:t>застарјелих свјетиљки које је потребно замијенити новим, у складу са свјетским</w:t>
      </w:r>
      <w:r>
        <w:rPr>
          <w:rFonts w:eastAsia="Times New Roman" w:asciiTheme="minorHAnsi" w:hAnsiTheme="minorHAnsi"/>
          <w:bCs/>
          <w:kern w:val="32"/>
          <w:lang w:val="sr-Cyrl-RS"/>
        </w:rPr>
        <w:t xml:space="preserve"> </w:t>
      </w:r>
      <w:r>
        <w:rPr>
          <w:rFonts w:eastAsia="Times New Roman" w:asciiTheme="minorHAnsi" w:hAnsiTheme="minorHAnsi"/>
          <w:bCs/>
          <w:kern w:val="32"/>
        </w:rPr>
        <w:t>стандардима у квалитету освјетљења, потрошњи енергије и естетике.</w:t>
      </w:r>
    </w:p>
    <w:tbl>
      <w:tblPr>
        <w:tblStyle w:val="37"/>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2"/>
        <w:gridCol w:w="3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402" w:type="dxa"/>
          </w:tcPr>
          <w:p>
            <w:pPr>
              <w:spacing w:after="120"/>
              <w:jc w:val="both"/>
              <w:rPr>
                <w:rFonts w:eastAsia="Times New Roman" w:asciiTheme="minorHAnsi" w:hAnsiTheme="minorHAnsi"/>
                <w:bCs/>
                <w:kern w:val="32"/>
              </w:rPr>
            </w:pPr>
            <w:r>
              <w:rPr>
                <w:sz w:val="20"/>
                <w:szCs w:val="20"/>
                <w:lang w:val="sr-Latn-CS" w:eastAsia="sr-Latn-CS"/>
              </w:rPr>
              <w:drawing>
                <wp:inline distT="0" distB="0" distL="0" distR="0">
                  <wp:extent cx="3869690" cy="2232660"/>
                  <wp:effectExtent l="0" t="0" r="165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204" w:type="dxa"/>
            <w:vMerge w:val="restart"/>
          </w:tcPr>
          <w:p>
            <w:pPr>
              <w:spacing w:before="120" w:after="120"/>
              <w:rPr>
                <w:rFonts w:eastAsia="Times New Roman" w:asciiTheme="minorHAnsi" w:hAnsiTheme="minorHAnsi"/>
                <w:bCs/>
                <w:kern w:val="32"/>
                <w:lang w:val="sr-Cyrl-CS"/>
              </w:rPr>
            </w:pPr>
            <w:r>
              <w:rPr>
                <w:rFonts w:eastAsia="Times New Roman" w:asciiTheme="minorHAnsi" w:hAnsiTheme="minorHAnsi"/>
                <w:bCs/>
                <w:kern w:val="32"/>
              </w:rPr>
              <w:t>У току је реконструкција цјелокупне мреже јавне расвјете са централним</w:t>
            </w:r>
            <w:r>
              <w:rPr>
                <w:rFonts w:eastAsia="Times New Roman" w:asciiTheme="minorHAnsi" w:hAnsiTheme="minorHAnsi"/>
                <w:bCs/>
                <w:kern w:val="32"/>
                <w:lang w:val="sr-Cyrl-RS"/>
              </w:rPr>
              <w:t xml:space="preserve"> </w:t>
            </w:r>
            <w:r>
              <w:rPr>
                <w:rFonts w:eastAsia="Times New Roman" w:asciiTheme="minorHAnsi" w:hAnsiTheme="minorHAnsi"/>
                <w:bCs/>
                <w:kern w:val="32"/>
              </w:rPr>
              <w:t xml:space="preserve">управљањем, што представља дио реализације пројеката утврђених </w:t>
            </w:r>
            <w:r>
              <w:rPr>
                <w:rFonts w:eastAsia="Times New Roman" w:asciiTheme="minorHAnsi" w:hAnsiTheme="minorHAnsi"/>
                <w:bCs/>
                <w:kern w:val="32"/>
                <w:lang w:val="sr-Cyrl-RS"/>
              </w:rPr>
              <w:t>о</w:t>
            </w:r>
            <w:r>
              <w:rPr>
                <w:rFonts w:eastAsia="Times New Roman" w:asciiTheme="minorHAnsi" w:hAnsiTheme="minorHAnsi"/>
                <w:bCs/>
                <w:kern w:val="32"/>
              </w:rPr>
              <w:t>држивим</w:t>
            </w:r>
            <w:r>
              <w:rPr>
                <w:rFonts w:eastAsia="Times New Roman" w:asciiTheme="minorHAnsi" w:hAnsiTheme="minorHAnsi"/>
                <w:bCs/>
                <w:kern w:val="32"/>
                <w:lang w:val="sr-Cyrl-RS"/>
              </w:rPr>
              <w:t xml:space="preserve"> </w:t>
            </w:r>
            <w:r>
              <w:rPr>
                <w:rFonts w:eastAsia="Times New Roman" w:asciiTheme="minorHAnsi" w:hAnsiTheme="minorHAnsi"/>
                <w:bCs/>
                <w:kern w:val="32"/>
              </w:rPr>
              <w:t xml:space="preserve">енергетским акционим планом (СЕАП). </w:t>
            </w:r>
          </w:p>
          <w:p>
            <w:pPr>
              <w:spacing w:before="120" w:after="120"/>
              <w:rPr>
                <w:rFonts w:eastAsia="Times New Roman" w:asciiTheme="minorHAnsi" w:hAnsiTheme="minorHAnsi" w:cstheme="minorHAnsi"/>
                <w:bCs/>
                <w:kern w:val="32"/>
              </w:rPr>
            </w:pPr>
            <w:r>
              <w:rPr>
                <w:rFonts w:eastAsia="Times New Roman" w:asciiTheme="minorHAnsi" w:hAnsiTheme="minorHAnsi" w:cstheme="minorHAnsi"/>
                <w:bCs/>
                <w:kern w:val="32"/>
              </w:rPr>
              <w:t>Издвојена средстава из Градског буџета за изградњу и одражавње јавне расвјете у посљедњих пет година</w:t>
            </w:r>
            <w:r>
              <w:rPr>
                <w:rFonts w:eastAsia="Times New Roman" w:asciiTheme="minorHAnsi" w:hAnsiTheme="minorHAnsi" w:cstheme="minorHAnsi"/>
                <w:bCs/>
                <w:kern w:val="32"/>
                <w:lang w:val="sr-Cyrl-RS"/>
              </w:rPr>
              <w:t xml:space="preserve"> </w:t>
            </w:r>
            <w:r>
              <w:rPr>
                <w:rFonts w:eastAsia="Times New Roman" w:asciiTheme="minorHAnsi" w:hAnsiTheme="minorHAnsi" w:cstheme="minorHAnsi"/>
                <w:bCs/>
                <w:kern w:val="32"/>
              </w:rPr>
              <w:t xml:space="preserve">приказана су на </w:t>
            </w:r>
            <w:r>
              <w:rPr>
                <w:rFonts w:eastAsia="Times New Roman" w:asciiTheme="minorHAnsi" w:hAnsiTheme="minorHAnsi" w:cstheme="minorHAnsi"/>
                <w:bCs/>
                <w:kern w:val="32"/>
                <w:lang w:val="sr-Cyrl-RS"/>
              </w:rPr>
              <w:t>г</w:t>
            </w:r>
            <w:r>
              <w:rPr>
                <w:rFonts w:eastAsia="Times New Roman" w:asciiTheme="minorHAnsi" w:hAnsiTheme="minorHAnsi" w:cstheme="minorHAnsi"/>
                <w:bCs/>
                <w:kern w:val="32"/>
              </w:rPr>
              <w:t>рафикону</w:t>
            </w:r>
            <w:r>
              <w:rPr>
                <w:rFonts w:eastAsia="Times New Roman" w:asciiTheme="minorHAnsi" w:hAnsiTheme="minorHAnsi" w:cstheme="minorHAnsi"/>
                <w:bCs/>
                <w:kern w:val="32"/>
                <w:lang w:val="hr-H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402" w:type="dxa"/>
          </w:tcPr>
          <w:p>
            <w:pPr>
              <w:jc w:val="center"/>
              <w:rPr>
                <w:sz w:val="20"/>
                <w:szCs w:val="20"/>
                <w:lang w:val="hr-HR" w:eastAsia="hr-HR"/>
              </w:rPr>
            </w:pPr>
            <w:r>
              <w:rPr>
                <w:rFonts w:eastAsia="Times New Roman" w:asciiTheme="minorHAnsi" w:hAnsiTheme="minorHAnsi"/>
                <w:bCs/>
                <w:i/>
                <w:kern w:val="32"/>
                <w:sz w:val="18"/>
                <w:szCs w:val="18"/>
              </w:rPr>
              <w:t>Извор података: Одјељење за комуналне послове Града Б</w:t>
            </w:r>
            <w:r>
              <w:rPr>
                <w:rFonts w:eastAsia="Times New Roman" w:asciiTheme="minorHAnsi" w:hAnsiTheme="minorHAnsi"/>
                <w:bCs/>
                <w:i/>
                <w:kern w:val="32"/>
                <w:sz w:val="18"/>
                <w:szCs w:val="18"/>
                <w:lang w:val="sr-Cyrl-RS"/>
              </w:rPr>
              <w:t>.</w:t>
            </w:r>
            <w:r>
              <w:rPr>
                <w:rFonts w:eastAsia="Times New Roman" w:asciiTheme="minorHAnsi" w:hAnsiTheme="minorHAnsi"/>
                <w:bCs/>
                <w:i/>
                <w:kern w:val="32"/>
                <w:sz w:val="18"/>
                <w:szCs w:val="18"/>
              </w:rPr>
              <w:t xml:space="preserve"> Лука, дец</w:t>
            </w:r>
            <w:r>
              <w:rPr>
                <w:rFonts w:eastAsia="Times New Roman" w:asciiTheme="minorHAnsi" w:hAnsiTheme="minorHAnsi"/>
                <w:bCs/>
                <w:i/>
                <w:kern w:val="32"/>
                <w:sz w:val="18"/>
                <w:szCs w:val="18"/>
                <w:lang w:val="sr-Cyrl-RS"/>
              </w:rPr>
              <w:t>.</w:t>
            </w:r>
            <w:r>
              <w:rPr>
                <w:rFonts w:eastAsia="Times New Roman" w:asciiTheme="minorHAnsi" w:hAnsiTheme="minorHAnsi"/>
                <w:bCs/>
                <w:i/>
                <w:kern w:val="32"/>
                <w:sz w:val="18"/>
                <w:szCs w:val="18"/>
              </w:rPr>
              <w:t xml:space="preserve"> 2017.г</w:t>
            </w:r>
          </w:p>
        </w:tc>
        <w:tc>
          <w:tcPr>
            <w:tcW w:w="3204" w:type="dxa"/>
            <w:vMerge w:val="continue"/>
          </w:tcPr>
          <w:p>
            <w:pPr>
              <w:jc w:val="both"/>
              <w:rPr>
                <w:rFonts w:eastAsia="Times New Roman" w:asciiTheme="minorHAnsi" w:hAnsiTheme="minorHAnsi"/>
                <w:bCs/>
                <w:kern w:val="32"/>
              </w:rPr>
            </w:pPr>
          </w:p>
        </w:tc>
      </w:tr>
    </w:tbl>
    <w:p>
      <w:pPr>
        <w:spacing w:before="120" w:after="120"/>
        <w:jc w:val="both"/>
        <w:rPr>
          <w:rFonts w:eastAsia="Times New Roman" w:asciiTheme="minorHAnsi" w:hAnsiTheme="minorHAnsi"/>
          <w:bCs/>
          <w:i/>
          <w:kern w:val="32"/>
        </w:rPr>
      </w:pPr>
      <w:r>
        <w:rPr>
          <w:rFonts w:eastAsia="Times New Roman" w:asciiTheme="minorHAnsi" w:hAnsiTheme="minorHAnsi"/>
          <w:bCs/>
          <w:kern w:val="32"/>
        </w:rPr>
        <w:t>У већем броју насеља, ван централног подручја, изграђена је јавна расвјета главних</w:t>
      </w:r>
      <w:r>
        <w:rPr>
          <w:rFonts w:eastAsia="Times New Roman" w:asciiTheme="minorHAnsi" w:hAnsiTheme="minorHAnsi"/>
          <w:bCs/>
          <w:kern w:val="32"/>
          <w:lang w:val="sr-Cyrl-RS"/>
        </w:rPr>
        <w:t xml:space="preserve"> </w:t>
      </w:r>
      <w:r>
        <w:rPr>
          <w:rFonts w:eastAsia="Times New Roman" w:asciiTheme="minorHAnsi" w:hAnsiTheme="minorHAnsi"/>
          <w:bCs/>
          <w:kern w:val="32"/>
        </w:rPr>
        <w:t>улица. У</w:t>
      </w:r>
      <w:r>
        <w:rPr>
          <w:rFonts w:eastAsia="Times New Roman" w:asciiTheme="minorHAnsi" w:hAnsiTheme="minorHAnsi"/>
          <w:bCs/>
          <w:kern w:val="32"/>
          <w:lang w:val="sr-Cyrl-RS"/>
        </w:rPr>
        <w:t xml:space="preserve"> </w:t>
      </w:r>
      <w:r>
        <w:rPr>
          <w:rFonts w:eastAsia="Times New Roman" w:asciiTheme="minorHAnsi" w:hAnsiTheme="minorHAnsi"/>
          <w:bCs/>
          <w:kern w:val="32"/>
        </w:rPr>
        <w:t>оним насељима, гдје није изведена улична расвјета, потребно је извести освјетљење</w:t>
      </w:r>
      <w:r>
        <w:rPr>
          <w:rFonts w:eastAsia="Times New Roman" w:asciiTheme="minorHAnsi" w:hAnsiTheme="minorHAnsi"/>
          <w:bCs/>
          <w:kern w:val="32"/>
          <w:lang w:val="sr-Cyrl-RS"/>
        </w:rPr>
        <w:t xml:space="preserve"> </w:t>
      </w:r>
      <w:r>
        <w:rPr>
          <w:rFonts w:eastAsia="Times New Roman" w:asciiTheme="minorHAnsi" w:hAnsiTheme="minorHAnsi"/>
          <w:bCs/>
          <w:kern w:val="32"/>
        </w:rPr>
        <w:t>главних саобраћајница, које пролазе кроз центар насеља.</w:t>
      </w:r>
      <w:r>
        <w:rPr>
          <w:rFonts w:eastAsia="Times New Roman" w:asciiTheme="minorHAnsi" w:hAnsiTheme="minorHAnsi"/>
          <w:bCs/>
          <w:kern w:val="32"/>
          <w:vertAlign w:val="superscript"/>
        </w:rPr>
        <w:footnoteReference w:id="69"/>
      </w:r>
    </w:p>
    <w:p>
      <w:pPr>
        <w:spacing w:before="120" w:after="120"/>
        <w:jc w:val="both"/>
        <w:rPr>
          <w:rFonts w:eastAsia="Times New Roman" w:asciiTheme="minorHAnsi" w:hAnsiTheme="minorHAnsi"/>
          <w:b/>
          <w:bCs/>
          <w:i/>
          <w:kern w:val="32"/>
          <w:lang w:val="sr-Cyrl-CS"/>
        </w:rPr>
      </w:pPr>
    </w:p>
    <w:p>
      <w:pPr>
        <w:spacing w:before="120" w:after="120"/>
        <w:jc w:val="both"/>
        <w:rPr>
          <w:rFonts w:eastAsia="Times New Roman" w:asciiTheme="minorHAnsi" w:hAnsiTheme="minorHAnsi"/>
          <w:b/>
          <w:bCs/>
          <w:i/>
          <w:kern w:val="32"/>
          <w:lang w:val="sr-Cyrl-CS"/>
        </w:rPr>
      </w:pPr>
      <w:r>
        <w:rPr>
          <w:rFonts w:eastAsia="Times New Roman" w:asciiTheme="minorHAnsi" w:hAnsiTheme="minorHAnsi"/>
          <w:b/>
          <w:bCs/>
          <w:i/>
          <w:kern w:val="32"/>
        </w:rPr>
        <w:t>Јавни превоз</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У граду Бања Луци остварена је добра покривеност градског подручја са линијама јавног градског</w:t>
      </w:r>
      <w:r>
        <w:rPr>
          <w:rFonts w:eastAsia="Times New Roman" w:asciiTheme="minorHAnsi" w:hAnsiTheme="minorHAnsi"/>
          <w:bCs/>
          <w:kern w:val="32"/>
          <w:lang w:val="sr-Cyrl-CS"/>
        </w:rPr>
        <w:t xml:space="preserve"> </w:t>
      </w:r>
      <w:r>
        <w:rPr>
          <w:rFonts w:eastAsia="Times New Roman" w:asciiTheme="minorHAnsi" w:hAnsiTheme="minorHAnsi"/>
          <w:bCs/>
          <w:kern w:val="32"/>
        </w:rPr>
        <w:t>и приградског саобраћаја, као и добра повезаност града са другим општинама.</w:t>
      </w:r>
      <w:r>
        <w:rPr>
          <w:rFonts w:eastAsia="Times New Roman" w:asciiTheme="minorHAnsi" w:hAnsiTheme="minorHAnsi"/>
          <w:bCs/>
          <w:kern w:val="32"/>
          <w:lang w:val="sr-Cyrl-RS"/>
        </w:rPr>
        <w:t xml:space="preserve"> </w:t>
      </w:r>
      <w:r>
        <w:rPr>
          <w:rFonts w:eastAsia="Times New Roman" w:asciiTheme="minorHAnsi" w:hAnsiTheme="minorHAnsi"/>
          <w:bCs/>
          <w:kern w:val="32"/>
        </w:rPr>
        <w:t xml:space="preserve">Све мјесне заједнице су адекватно покривене јавним превозом. </w:t>
      </w:r>
    </w:p>
    <w:p>
      <w:pPr>
        <w:tabs>
          <w:tab w:val="left" w:pos="1275"/>
        </w:tabs>
        <w:jc w:val="both"/>
        <w:rPr>
          <w:rFonts w:eastAsia="Times New Roman" w:asciiTheme="minorHAnsi" w:hAnsiTheme="minorHAnsi" w:cstheme="minorHAnsi"/>
          <w:lang w:val="sr-Latn-CS"/>
        </w:rPr>
      </w:pPr>
      <w:r>
        <w:rPr>
          <w:rFonts w:asciiTheme="minorHAnsi" w:hAnsiTheme="minorHAnsi" w:cstheme="minorHAnsi"/>
          <w:lang w:val="sr-Cyrl-RS"/>
        </w:rPr>
        <w:t>Систем јавног превоза путника на подручју Града Бања Лука је веома велики и сложен: на мјесечном нивоу реализује око 670.000 км, односно, на годишњем нивоу око 8 милиона километара.</w:t>
      </w:r>
      <w:r>
        <w:rPr>
          <w:rFonts w:asciiTheme="minorHAnsi" w:hAnsiTheme="minorHAnsi" w:cstheme="minorHAnsi"/>
          <w:lang w:val="sr-Latn-CS"/>
        </w:rPr>
        <w:t xml:space="preserve"> </w:t>
      </w:r>
      <w:r>
        <w:rPr>
          <w:rFonts w:asciiTheme="minorHAnsi" w:hAnsiTheme="minorHAnsi" w:cstheme="minorHAnsi"/>
          <w:lang w:val="sr-Cyrl-RS"/>
        </w:rPr>
        <w:t xml:space="preserve">Састоји се од </w:t>
      </w:r>
      <w:r>
        <w:rPr>
          <w:rFonts w:asciiTheme="minorHAnsi" w:hAnsiTheme="minorHAnsi" w:cstheme="minorHAnsi"/>
          <w:lang w:val="ru-RU"/>
        </w:rPr>
        <w:t xml:space="preserve">23 линије градског превоза, укупне дужине 212,24 </w:t>
      </w:r>
      <w:r>
        <w:rPr>
          <w:rFonts w:asciiTheme="minorHAnsi" w:hAnsiTheme="minorHAnsi" w:cstheme="minorHAnsi"/>
          <w:lang w:val="en-US"/>
        </w:rPr>
        <w:t>km</w:t>
      </w:r>
      <w:r>
        <w:rPr>
          <w:rFonts w:asciiTheme="minorHAnsi" w:hAnsiTheme="minorHAnsi" w:cstheme="minorHAnsi"/>
          <w:lang w:val="ru-RU"/>
        </w:rPr>
        <w:t xml:space="preserve"> и 34 линије приградског превоза, укупне дужине 788,70 </w:t>
      </w:r>
      <w:r>
        <w:rPr>
          <w:rFonts w:asciiTheme="minorHAnsi" w:hAnsiTheme="minorHAnsi" w:cstheme="minorHAnsi"/>
          <w:lang w:val="en-US"/>
        </w:rPr>
        <w:t>km</w:t>
      </w:r>
      <w:r>
        <w:rPr>
          <w:rFonts w:asciiTheme="minorHAnsi" w:hAnsiTheme="minorHAnsi" w:cstheme="minorHAnsi"/>
          <w:bCs/>
          <w:lang w:val="ru-RU"/>
        </w:rPr>
        <w:t>, подијељене у 5 група линија које опслужује укупно 106 возила</w:t>
      </w:r>
      <w:r>
        <w:rPr>
          <w:rFonts w:asciiTheme="minorHAnsi" w:hAnsiTheme="minorHAnsi" w:cstheme="minorHAnsi"/>
          <w:lang w:val="sr-Cyrl-CS"/>
        </w:rPr>
        <w:t>,</w:t>
      </w:r>
      <w:r>
        <w:rPr>
          <w:rFonts w:asciiTheme="minorHAnsi" w:hAnsiTheme="minorHAnsi" w:cstheme="minorHAnsi"/>
          <w:lang w:val="sr-Cyrl-RS"/>
        </w:rPr>
        <w:t xml:space="preserve"> а </w:t>
      </w:r>
      <w:r>
        <w:rPr>
          <w:rFonts w:asciiTheme="minorHAnsi" w:hAnsiTheme="minorHAnsi" w:cstheme="minorHAnsi"/>
          <w:lang w:val="sr-Cyrl-CS"/>
        </w:rPr>
        <w:t>које су формиране тако да свака покрива одређени коридор градског и приградског превоза</w:t>
      </w:r>
      <w:r>
        <w:rPr>
          <w:rFonts w:asciiTheme="minorHAnsi" w:hAnsiTheme="minorHAnsi" w:cstheme="minorHAnsi"/>
          <w:lang w:val="sr-Latn-CS"/>
        </w:rPr>
        <w:t>.</w:t>
      </w:r>
    </w:p>
    <w:p>
      <w:pPr>
        <w:tabs>
          <w:tab w:val="left" w:pos="1275"/>
        </w:tabs>
        <w:jc w:val="both"/>
        <w:rPr>
          <w:rFonts w:asciiTheme="minorHAnsi" w:hAnsiTheme="minorHAnsi" w:cstheme="minorHAnsi"/>
          <w:lang w:val="sr-Latn-CS"/>
        </w:rPr>
      </w:pPr>
    </w:p>
    <w:p>
      <w:pPr>
        <w:jc w:val="both"/>
        <w:rPr>
          <w:rFonts w:eastAsia="Times New Roman" w:asciiTheme="minorHAnsi" w:hAnsiTheme="minorHAnsi" w:cstheme="minorHAnsi"/>
          <w:lang w:val="sr-Cyrl-CS"/>
        </w:rPr>
      </w:pPr>
      <w:r>
        <w:rPr>
          <w:rFonts w:eastAsia="Times New Roman" w:asciiTheme="minorHAnsi" w:hAnsiTheme="minorHAnsi" w:cstheme="minorHAnsi"/>
          <w:lang w:val="sr-Cyrl-CS"/>
        </w:rPr>
        <w:t xml:space="preserve">Систем јавног превоза путника у току године функционише са два режима редова вожње и то: зимски и љетни. У љетном режиму се не укида нити једна линија већ се ради о ситним корекцијама полазака, због љетног школског распуста и сезоне годишњих одмора, а укупан број полазака радним даном у оба смјера се са 2300 смањује на око 2000, односно за 15% на нивоу цјелокупног система, с тим да се не редукују поласци у јутарњем и поподневном вршном оптерећењу који служе са одласке и доласке с посла. </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 xml:space="preserve">Мрежа линија јавног превоза (градских и приградских) и поласци по линијама су дефинисани на начин да су превозне потребе становништва у потпуности задовољене. У току једног радног дана реализује се око 2500 полазака. Не постоје </w:t>
      </w:r>
      <w:r>
        <w:rPr>
          <w:rFonts w:eastAsia="Times New Roman" w:asciiTheme="minorHAnsi" w:hAnsiTheme="minorHAnsi"/>
          <w:bCs/>
          <w:kern w:val="32"/>
          <w:lang w:val="sr-Cyrl-CS"/>
        </w:rPr>
        <w:t xml:space="preserve">значајни </w:t>
      </w:r>
      <w:r>
        <w:rPr>
          <w:rFonts w:eastAsia="Times New Roman" w:asciiTheme="minorHAnsi" w:hAnsiTheme="minorHAnsi"/>
          <w:bCs/>
          <w:kern w:val="32"/>
        </w:rPr>
        <w:t>проблеми у функционисању јавног превоза</w:t>
      </w:r>
      <w:r>
        <w:rPr>
          <w:rFonts w:eastAsia="Times New Roman" w:asciiTheme="minorHAnsi" w:hAnsiTheme="minorHAnsi"/>
          <w:bCs/>
          <w:kern w:val="32"/>
          <w:lang w:val="sr-Cyrl-CS"/>
        </w:rPr>
        <w:t>, али постоје велике шансе за његов даљи развој и модернизацију, као и модернизацију укупног саобраћајног система кроз примјену „паметних“ (</w:t>
      </w:r>
      <w:r>
        <w:rPr>
          <w:rFonts w:eastAsia="Times New Roman" w:asciiTheme="minorHAnsi" w:hAnsiTheme="minorHAnsi"/>
          <w:bCs/>
          <w:kern w:val="32"/>
          <w:lang w:val="sr-Latn-CS"/>
        </w:rPr>
        <w:t xml:space="preserve">Smart) </w:t>
      </w:r>
      <w:r>
        <w:rPr>
          <w:rFonts w:eastAsia="Times New Roman" w:asciiTheme="minorHAnsi" w:hAnsiTheme="minorHAnsi"/>
          <w:bCs/>
          <w:kern w:val="32"/>
          <w:lang w:val="sr-Cyrl-CS"/>
        </w:rPr>
        <w:t>рјешења.</w:t>
      </w:r>
    </w:p>
    <w:p>
      <w:pPr>
        <w:spacing w:before="120" w:after="120"/>
        <w:jc w:val="both"/>
        <w:rPr>
          <w:rFonts w:eastAsia="Times New Roman" w:asciiTheme="minorHAnsi" w:hAnsiTheme="minorHAnsi"/>
          <w:b/>
          <w:bCs/>
          <w:i/>
          <w:kern w:val="32"/>
          <w:lang w:val="sr-Cyrl-CS"/>
        </w:rPr>
      </w:pPr>
    </w:p>
    <w:p>
      <w:pPr>
        <w:spacing w:before="120" w:after="120"/>
        <w:jc w:val="both"/>
        <w:rPr>
          <w:rFonts w:eastAsia="Times New Roman" w:asciiTheme="minorHAnsi" w:hAnsiTheme="minorHAnsi"/>
          <w:b/>
          <w:bCs/>
          <w:i/>
          <w:kern w:val="32"/>
        </w:rPr>
      </w:pPr>
      <w:r>
        <w:rPr>
          <w:rFonts w:eastAsia="Times New Roman" w:asciiTheme="minorHAnsi" w:hAnsiTheme="minorHAnsi"/>
          <w:b/>
          <w:bCs/>
          <w:i/>
          <w:kern w:val="32"/>
        </w:rPr>
        <w:t xml:space="preserve">Паркинг </w:t>
      </w:r>
    </w:p>
    <w:p>
      <w:pPr>
        <w:spacing w:before="120" w:after="120"/>
        <w:jc w:val="both"/>
        <w:rPr>
          <w:rFonts w:eastAsia="Times New Roman" w:asciiTheme="minorHAnsi" w:hAnsiTheme="minorHAnsi"/>
          <w:bCs/>
          <w:kern w:val="32"/>
          <w:lang w:val="sr-Latn-CS"/>
        </w:rPr>
      </w:pPr>
      <w:r>
        <w:rPr>
          <w:rFonts w:eastAsia="Times New Roman" w:asciiTheme="minorHAnsi" w:hAnsiTheme="minorHAnsi"/>
          <w:bCs/>
          <w:kern w:val="32"/>
          <w:lang w:val="sr-Cyrl-RS"/>
        </w:rPr>
        <w:t xml:space="preserve">Стационарни саобраћај, односно, „паркинг систем“ у граду Бања Лука чини 66 паркиралишта и 2 јавне гараже, укупног капацитета од </w:t>
      </w:r>
      <w:r>
        <w:rPr>
          <w:rFonts w:eastAsia="Times New Roman" w:asciiTheme="minorHAnsi" w:hAnsiTheme="minorHAnsi"/>
          <w:bCs/>
          <w:kern w:val="32"/>
          <w:lang w:val="sr-Cyrl-CS"/>
        </w:rPr>
        <w:t>4</w:t>
      </w:r>
      <w:r>
        <w:rPr>
          <w:rFonts w:eastAsia="Times New Roman" w:asciiTheme="minorHAnsi" w:hAnsiTheme="minorHAnsi"/>
          <w:bCs/>
          <w:kern w:val="32"/>
        </w:rPr>
        <w:t>.</w:t>
      </w:r>
      <w:r>
        <w:rPr>
          <w:rFonts w:eastAsia="Times New Roman" w:asciiTheme="minorHAnsi" w:hAnsiTheme="minorHAnsi"/>
          <w:bCs/>
          <w:kern w:val="32"/>
          <w:lang w:val="sr-Cyrl-RS"/>
        </w:rPr>
        <w:t>916</w:t>
      </w:r>
      <w:r>
        <w:rPr>
          <w:rFonts w:eastAsia="Times New Roman" w:asciiTheme="minorHAnsi" w:hAnsiTheme="minorHAnsi"/>
          <w:bCs/>
          <w:kern w:val="32"/>
          <w:lang w:val="sr-Cyrl-CS"/>
        </w:rPr>
        <w:t xml:space="preserve"> </w:t>
      </w:r>
      <w:r>
        <w:rPr>
          <w:rFonts w:eastAsia="Times New Roman" w:asciiTheme="minorHAnsi" w:hAnsiTheme="minorHAnsi"/>
          <w:bCs/>
          <w:kern w:val="32"/>
          <w:lang w:val="sr-Cyrl-RS"/>
        </w:rPr>
        <w:t xml:space="preserve">паркинг мјеста под наплатом. Основна улога увођења наплате паркирања је </w:t>
      </w:r>
      <w:r>
        <w:rPr>
          <w:rFonts w:eastAsia="Times New Roman" w:asciiTheme="minorHAnsi" w:hAnsiTheme="minorHAnsi"/>
          <w:bCs/>
          <w:kern w:val="32"/>
          <w:lang w:val="sr-Latn-RS"/>
        </w:rPr>
        <w:t>контролисано кориштењ</w:t>
      </w:r>
      <w:r>
        <w:rPr>
          <w:rFonts w:eastAsia="Times New Roman" w:asciiTheme="minorHAnsi" w:hAnsiTheme="minorHAnsi"/>
          <w:bCs/>
          <w:kern w:val="32"/>
          <w:lang w:val="sr-Cyrl-RS"/>
        </w:rPr>
        <w:t>е</w:t>
      </w:r>
      <w:r>
        <w:rPr>
          <w:rFonts w:eastAsia="Times New Roman" w:asciiTheme="minorHAnsi" w:hAnsiTheme="minorHAnsi"/>
          <w:bCs/>
          <w:kern w:val="32"/>
          <w:lang w:val="sr-Latn-RS"/>
        </w:rPr>
        <w:t xml:space="preserve"> простора </w:t>
      </w:r>
      <w:r>
        <w:rPr>
          <w:rFonts w:eastAsia="Times New Roman" w:asciiTheme="minorHAnsi" w:hAnsiTheme="minorHAnsi"/>
          <w:bCs/>
          <w:kern w:val="32"/>
          <w:lang w:val="sr-Cyrl-RS"/>
        </w:rPr>
        <w:t>(омогућавање што већем броју корисника да паркирају возило и ефикасно обаве оно због чега су дошли), с једне стране, а с друге стране</w:t>
      </w:r>
      <w:r>
        <w:rPr>
          <w:rFonts w:eastAsia="Times New Roman" w:asciiTheme="minorHAnsi" w:hAnsiTheme="minorHAnsi"/>
          <w:bCs/>
          <w:kern w:val="32"/>
          <w:lang w:val="sr-Latn-RS"/>
        </w:rPr>
        <w:t xml:space="preserve"> провођење регулативних мјера у стамбеним зонама у којима је присутан проблем паркирања од стране запосленог становништва.</w:t>
      </w:r>
      <w:r>
        <w:rPr>
          <w:rFonts w:eastAsia="Times New Roman" w:asciiTheme="minorHAnsi" w:hAnsiTheme="minorHAnsi"/>
          <w:bCs/>
          <w:kern w:val="32"/>
          <w:lang w:val="sr-Cyrl-RS"/>
        </w:rPr>
        <w:t xml:space="preserve"> Становништво које живи у зонама у којем је уведена наплата паркирања може користити повлаштену годишњу карту која износи 50 КМ годишње (око 4 КМ мјесечно), а што представља више него симболичан износ. Систем наплате се састоји од 3 тарифне зоне: нулта, </w:t>
      </w:r>
      <w:r>
        <w:rPr>
          <w:rFonts w:eastAsia="Times New Roman" w:asciiTheme="minorHAnsi" w:hAnsiTheme="minorHAnsi"/>
          <w:bCs/>
          <w:kern w:val="32"/>
          <w:lang w:val="en-US"/>
        </w:rPr>
        <w:t>I</w:t>
      </w:r>
      <w:r>
        <w:rPr>
          <w:rFonts w:eastAsia="Times New Roman" w:asciiTheme="minorHAnsi" w:hAnsiTheme="minorHAnsi"/>
          <w:bCs/>
          <w:kern w:val="32"/>
          <w:lang w:val="sr-Latn-CS"/>
        </w:rPr>
        <w:t xml:space="preserve"> </w:t>
      </w:r>
      <w:r>
        <w:rPr>
          <w:rFonts w:eastAsia="Times New Roman" w:asciiTheme="minorHAnsi" w:hAnsiTheme="minorHAnsi"/>
          <w:bCs/>
          <w:kern w:val="32"/>
          <w:lang w:val="sr-Cyrl-RS"/>
        </w:rPr>
        <w:t xml:space="preserve">(прва) и </w:t>
      </w:r>
      <w:r>
        <w:rPr>
          <w:rFonts w:eastAsia="Times New Roman" w:asciiTheme="minorHAnsi" w:hAnsiTheme="minorHAnsi"/>
          <w:bCs/>
          <w:kern w:val="32"/>
          <w:lang w:val="en-US"/>
        </w:rPr>
        <w:t>II</w:t>
      </w:r>
      <w:r>
        <w:rPr>
          <w:rFonts w:eastAsia="Times New Roman" w:asciiTheme="minorHAnsi" w:hAnsiTheme="minorHAnsi"/>
          <w:bCs/>
          <w:kern w:val="32"/>
          <w:lang w:val="sr-Cyrl-RS"/>
        </w:rPr>
        <w:t xml:space="preserve"> (друга) зона.</w:t>
      </w:r>
    </w:p>
    <w:p>
      <w:pPr>
        <w:spacing w:before="120" w:after="120"/>
        <w:jc w:val="both"/>
        <w:rPr>
          <w:rFonts w:eastAsia="Times New Roman" w:asciiTheme="minorHAnsi" w:hAnsiTheme="minorHAnsi"/>
          <w:bCs/>
          <w:kern w:val="32"/>
          <w:lang w:val="sr-Latn-CS"/>
        </w:rPr>
      </w:pPr>
      <w:r>
        <w:rPr>
          <w:rFonts w:eastAsia="Times New Roman" w:asciiTheme="minorHAnsi" w:hAnsiTheme="minorHAnsi"/>
          <w:bCs/>
          <w:kern w:val="32"/>
          <w:lang w:val="sr-Cyrl-CS"/>
        </w:rPr>
        <w:t xml:space="preserve">Укупно остварени приход од наплате паркирања у 2017.години, износи </w:t>
      </w:r>
      <w:r>
        <w:rPr>
          <w:rFonts w:eastAsia="Times New Roman" w:asciiTheme="minorHAnsi" w:hAnsiTheme="minorHAnsi"/>
          <w:bCs/>
          <w:kern w:val="32"/>
          <w:lang w:val="sr-Cyrl-RS"/>
        </w:rPr>
        <w:t xml:space="preserve">4.126.718,67 </w:t>
      </w:r>
      <w:r>
        <w:rPr>
          <w:rFonts w:eastAsia="Times New Roman" w:asciiTheme="minorHAnsi" w:hAnsiTheme="minorHAnsi"/>
          <w:bCs/>
          <w:kern w:val="32"/>
          <w:lang w:val="en-US"/>
        </w:rPr>
        <w:t>KM</w:t>
      </w:r>
      <w:r>
        <w:rPr>
          <w:rFonts w:eastAsia="Times New Roman" w:asciiTheme="minorHAnsi" w:hAnsiTheme="minorHAnsi"/>
          <w:bCs/>
          <w:kern w:val="32"/>
          <w:lang w:val="sr-Cyrl-RS"/>
        </w:rPr>
        <w:t xml:space="preserve">, и већи је за 202.279,36 КМ у односу на приход из 2016. године. Највећи приход је остварен плаћањем путем аутомата за паркирање и то око 41%, а затим сљеди плаћање путем смс и то око 34%. </w:t>
      </w:r>
    </w:p>
    <w:p>
      <w:pPr>
        <w:spacing w:before="120" w:after="120"/>
        <w:jc w:val="both"/>
        <w:rPr>
          <w:rFonts w:eastAsia="Times New Roman" w:asciiTheme="minorHAnsi" w:hAnsiTheme="minorHAnsi"/>
          <w:bCs/>
          <w:kern w:val="32"/>
          <w:lang w:val="sr-Latn-CS"/>
        </w:rPr>
      </w:pPr>
      <w:r>
        <w:rPr>
          <w:rFonts w:eastAsia="Times New Roman" w:asciiTheme="minorHAnsi" w:hAnsiTheme="minorHAnsi"/>
          <w:bCs/>
          <w:kern w:val="32"/>
          <w:lang w:val="sr-Cyrl-RS"/>
        </w:rPr>
        <w:t>Структура прихода је приказа у сљедећој табели:</w:t>
      </w:r>
    </w:p>
    <w:tbl>
      <w:tblPr>
        <w:tblStyle w:val="36"/>
        <w:tblW w:w="9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3"/>
        <w:gridCol w:w="2206"/>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5343"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ign w:val="center"/>
          </w:tcPr>
          <w:p>
            <w:pPr>
              <w:spacing w:before="40" w:after="40"/>
              <w:jc w:val="both"/>
              <w:rPr>
                <w:rFonts w:eastAsia="Times New Roman" w:asciiTheme="minorHAnsi" w:hAnsiTheme="minorHAnsi"/>
                <w:bCs/>
                <w:kern w:val="32"/>
                <w:sz w:val="20"/>
                <w:szCs w:val="20"/>
                <w:lang w:val="sr-Latn-RS"/>
              </w:rPr>
            </w:pPr>
            <w:r>
              <w:rPr>
                <w:rFonts w:eastAsia="Times New Roman" w:asciiTheme="minorHAnsi" w:hAnsiTheme="minorHAnsi"/>
                <w:bCs/>
                <w:kern w:val="32"/>
                <w:sz w:val="20"/>
                <w:szCs w:val="20"/>
                <w:lang w:val="en-US"/>
              </w:rPr>
              <w:t>СТРУКТУРА ПРИХОДА</w:t>
            </w:r>
          </w:p>
        </w:tc>
        <w:tc>
          <w:tcPr>
            <w:tcW w:w="2206"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ign w:val="center"/>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ПРИХОД (КМ)</w:t>
            </w:r>
          </w:p>
        </w:tc>
        <w:tc>
          <w:tcPr>
            <w:tcW w:w="1777"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ign w:val="center"/>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CS"/>
              </w:rPr>
              <w:t>Остварени приход од аутомата</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1.687.035,30</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RS"/>
              </w:rPr>
              <w:t>40,88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rPr>
            </w:pPr>
            <w:r>
              <w:rPr>
                <w:rFonts w:eastAsia="Times New Roman" w:asciiTheme="minorHAnsi" w:hAnsiTheme="minorHAnsi"/>
                <w:bCs/>
                <w:kern w:val="32"/>
                <w:sz w:val="20"/>
                <w:szCs w:val="20"/>
                <w:lang w:val="sr-Cyrl-CS"/>
              </w:rPr>
              <w:t>Уплаћени приход од СМС-а</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1.410.933,97</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34,19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rPr>
            </w:pPr>
            <w:r>
              <w:rPr>
                <w:rFonts w:eastAsia="Times New Roman" w:asciiTheme="minorHAnsi" w:hAnsiTheme="minorHAnsi"/>
                <w:bCs/>
                <w:kern w:val="32"/>
                <w:sz w:val="20"/>
                <w:szCs w:val="20"/>
                <w:lang w:val="sr-Cyrl-CS"/>
              </w:rPr>
              <w:t>Приход од продаје ЧИП картица</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RS"/>
              </w:rPr>
              <w:t>2.159,50</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CS"/>
              </w:rPr>
              <w:t>Претплатне карте</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RS"/>
              </w:rPr>
              <w:t>668.234,00</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CS"/>
              </w:rPr>
              <w:t>Гаража</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RS"/>
              </w:rPr>
              <w:t>4.403,00</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CS"/>
              </w:rPr>
              <w:t>Накнада за деблокирање возила</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176.049,00</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CS"/>
              </w:rPr>
              <w:t>Накнада за премјештање возила</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126.070,00</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rPr>
            </w:pPr>
            <w:r>
              <w:rPr>
                <w:rFonts w:eastAsia="Times New Roman" w:asciiTheme="minorHAnsi" w:hAnsiTheme="minorHAnsi"/>
                <w:bCs/>
                <w:kern w:val="32"/>
                <w:sz w:val="20"/>
                <w:szCs w:val="20"/>
                <w:lang w:val="sr-Cyrl-CS"/>
              </w:rPr>
              <w:t>Остало (терминал Малта, Тржница, закупи ПМ и др.)</w:t>
            </w:r>
          </w:p>
        </w:tc>
        <w:tc>
          <w:tcPr>
            <w:tcW w:w="2206"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sr-Cyrl-RS"/>
              </w:rPr>
              <w:t>51.833,90</w:t>
            </w:r>
          </w:p>
        </w:tc>
        <w:tc>
          <w:tcPr>
            <w:tcW w:w="1777"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Cs/>
                <w:kern w:val="32"/>
                <w:sz w:val="20"/>
                <w:szCs w:val="20"/>
                <w:lang w:val="en-US"/>
              </w:rPr>
            </w:pPr>
            <w:r>
              <w:rPr>
                <w:rFonts w:eastAsia="Times New Roman" w:asciiTheme="minorHAnsi" w:hAnsiTheme="minorHAnsi"/>
                <w:bCs/>
                <w:kern w:val="32"/>
                <w:sz w:val="20"/>
                <w:szCs w:val="20"/>
                <w:lang w:val="en-US"/>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43" w:type="dxa"/>
            <w:tcBorders>
              <w:top w:val="single" w:color="auto" w:sz="4" w:space="0"/>
              <w:left w:val="single" w:color="auto" w:sz="4" w:space="0"/>
              <w:bottom w:val="single" w:color="auto" w:sz="4" w:space="0"/>
              <w:right w:val="single" w:color="auto" w:sz="4" w:space="0"/>
            </w:tcBorders>
          </w:tcPr>
          <w:p>
            <w:pPr>
              <w:spacing w:before="40" w:after="40"/>
              <w:jc w:val="both"/>
              <w:rPr>
                <w:rFonts w:eastAsia="Times New Roman" w:asciiTheme="minorHAnsi" w:hAnsiTheme="minorHAnsi"/>
                <w:b/>
                <w:bCs/>
                <w:kern w:val="32"/>
                <w:sz w:val="20"/>
                <w:szCs w:val="20"/>
                <w:lang w:val="en-US"/>
              </w:rPr>
            </w:pPr>
            <w:r>
              <w:rPr>
                <w:rFonts w:eastAsia="Times New Roman" w:asciiTheme="minorHAnsi" w:hAnsiTheme="minorHAnsi"/>
                <w:b/>
                <w:bCs/>
                <w:kern w:val="32"/>
                <w:sz w:val="20"/>
                <w:szCs w:val="20"/>
                <w:lang w:val="en-US"/>
              </w:rPr>
              <w:t>Укупно</w:t>
            </w:r>
          </w:p>
        </w:tc>
        <w:tc>
          <w:tcPr>
            <w:tcW w:w="2206" w:type="dxa"/>
            <w:tcBorders>
              <w:top w:val="single" w:color="auto" w:sz="4" w:space="0"/>
              <w:left w:val="single" w:color="auto" w:sz="4" w:space="0"/>
              <w:bottom w:val="single" w:color="auto" w:sz="4" w:space="0"/>
              <w:right w:val="single" w:color="auto" w:sz="4" w:space="0"/>
            </w:tcBorders>
            <w:noWrap/>
          </w:tcPr>
          <w:p>
            <w:pPr>
              <w:spacing w:before="40" w:after="40"/>
              <w:jc w:val="both"/>
              <w:rPr>
                <w:rFonts w:eastAsia="Times New Roman" w:asciiTheme="minorHAnsi" w:hAnsiTheme="minorHAnsi"/>
                <w:b/>
                <w:bCs/>
                <w:kern w:val="32"/>
                <w:sz w:val="20"/>
                <w:szCs w:val="20"/>
                <w:lang w:val="en-US"/>
              </w:rPr>
            </w:pPr>
            <w:r>
              <w:rPr>
                <w:rFonts w:eastAsia="Times New Roman" w:asciiTheme="minorHAnsi" w:hAnsiTheme="minorHAnsi"/>
                <w:b/>
                <w:bCs/>
                <w:kern w:val="32"/>
                <w:sz w:val="20"/>
                <w:szCs w:val="20"/>
                <w:lang w:val="en-US"/>
              </w:rPr>
              <w:t>4.126.718,67</w:t>
            </w:r>
          </w:p>
        </w:tc>
        <w:tc>
          <w:tcPr>
            <w:tcW w:w="1777" w:type="dxa"/>
            <w:tcBorders>
              <w:top w:val="single" w:color="auto" w:sz="4" w:space="0"/>
              <w:left w:val="single" w:color="auto" w:sz="4" w:space="0"/>
              <w:bottom w:val="single" w:color="auto" w:sz="4" w:space="0"/>
              <w:right w:val="single" w:color="auto" w:sz="4" w:space="0"/>
            </w:tcBorders>
            <w:noWrap/>
          </w:tcPr>
          <w:p>
            <w:pPr>
              <w:spacing w:before="40" w:after="40"/>
              <w:jc w:val="both"/>
              <w:rPr>
                <w:rFonts w:eastAsia="Times New Roman" w:asciiTheme="minorHAnsi" w:hAnsiTheme="minorHAnsi"/>
                <w:b/>
                <w:bCs/>
                <w:kern w:val="32"/>
                <w:sz w:val="20"/>
                <w:szCs w:val="20"/>
                <w:lang w:val="en-US"/>
              </w:rPr>
            </w:pPr>
            <w:r>
              <w:rPr>
                <w:rFonts w:eastAsia="Times New Roman" w:asciiTheme="minorHAnsi" w:hAnsiTheme="minorHAnsi"/>
                <w:b/>
                <w:bCs/>
                <w:kern w:val="32"/>
                <w:sz w:val="20"/>
                <w:szCs w:val="20"/>
                <w:lang w:val="en-US"/>
              </w:rPr>
              <w:t>100,00</w:t>
            </w:r>
          </w:p>
        </w:tc>
      </w:tr>
    </w:tbl>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Проблем паркирања је изра</w:t>
      </w:r>
      <w:r>
        <w:rPr>
          <w:rFonts w:eastAsia="Times New Roman" w:asciiTheme="minorHAnsi" w:hAnsiTheme="minorHAnsi"/>
          <w:bCs/>
          <w:kern w:val="32"/>
          <w:lang w:val="sr-Cyrl-RS"/>
        </w:rPr>
        <w:t>ж</w:t>
      </w:r>
      <w:r>
        <w:rPr>
          <w:rFonts w:eastAsia="Times New Roman" w:asciiTheme="minorHAnsi" w:hAnsiTheme="minorHAnsi"/>
          <w:bCs/>
          <w:kern w:val="32"/>
        </w:rPr>
        <w:t xml:space="preserve">ен у ужем урбаном дијелу </w:t>
      </w:r>
      <w:r>
        <w:rPr>
          <w:rFonts w:eastAsia="Times New Roman" w:asciiTheme="minorHAnsi" w:hAnsiTheme="minorHAnsi"/>
          <w:bCs/>
          <w:kern w:val="32"/>
          <w:lang w:val="sr-Cyrl-RS"/>
        </w:rPr>
        <w:t xml:space="preserve">Града, који се </w:t>
      </w:r>
      <w:r>
        <w:rPr>
          <w:rFonts w:eastAsia="Times New Roman" w:asciiTheme="minorHAnsi" w:hAnsiTheme="minorHAnsi"/>
          <w:bCs/>
          <w:kern w:val="32"/>
        </w:rPr>
        <w:t xml:space="preserve">у наредном периоду </w:t>
      </w:r>
      <w:r>
        <w:rPr>
          <w:rFonts w:eastAsia="Times New Roman" w:asciiTheme="minorHAnsi" w:hAnsiTheme="minorHAnsi"/>
          <w:bCs/>
          <w:kern w:val="32"/>
          <w:lang w:val="sr-Cyrl-RS"/>
        </w:rPr>
        <w:t xml:space="preserve">планира </w:t>
      </w:r>
      <w:r>
        <w:rPr>
          <w:rFonts w:eastAsia="Times New Roman" w:asciiTheme="minorHAnsi" w:hAnsiTheme="minorHAnsi"/>
          <w:bCs/>
          <w:kern w:val="32"/>
        </w:rPr>
        <w:t>ријешити кроз изградњу нових паркинг простора.</w:t>
      </w:r>
      <w:r>
        <w:rPr>
          <w:rFonts w:eastAsia="Times New Roman" w:asciiTheme="minorHAnsi" w:hAnsiTheme="minorHAnsi"/>
          <w:bCs/>
          <w:kern w:val="32"/>
          <w:lang w:val="bs-Latn-BA"/>
        </w:rPr>
        <w:t xml:space="preserve"> </w:t>
      </w:r>
      <w:r>
        <w:rPr>
          <w:rFonts w:eastAsia="Times New Roman" w:asciiTheme="minorHAnsi" w:hAnsiTheme="minorHAnsi"/>
          <w:bCs/>
          <w:kern w:val="32"/>
        </w:rPr>
        <w:t>2012. године</w:t>
      </w:r>
      <w:r>
        <w:rPr>
          <w:rFonts w:eastAsia="Times New Roman" w:asciiTheme="minorHAnsi" w:hAnsiTheme="minorHAnsi"/>
          <w:bCs/>
          <w:kern w:val="32"/>
          <w:lang w:val="sr-Cyrl-RS"/>
        </w:rPr>
        <w:t>,</w:t>
      </w:r>
      <w:r>
        <w:rPr>
          <w:rFonts w:eastAsia="Times New Roman" w:asciiTheme="minorHAnsi" w:hAnsiTheme="minorHAnsi"/>
          <w:bCs/>
          <w:kern w:val="32"/>
        </w:rPr>
        <w:t xml:space="preserve"> израђена је „Студија гаражног и паркинг простора“, те се на основу Студије имплементирају мјере за повећање паркинг простора. У урбаном дијелу града је у 2016.г. евидентирано 4.700 паркинг мјеста која се наплаћују. У 2015. и 2016. години број паркинг мјеста се повећавао за цца. 600 мјеста годишње. У 2017.</w:t>
      </w:r>
      <w:r>
        <w:rPr>
          <w:rFonts w:eastAsia="Times New Roman" w:asciiTheme="minorHAnsi" w:hAnsiTheme="minorHAnsi"/>
          <w:bCs/>
          <w:kern w:val="32"/>
          <w:lang w:val="bs-Latn-BA"/>
        </w:rPr>
        <w:t xml:space="preserve"> </w:t>
      </w:r>
      <w:r>
        <w:rPr>
          <w:rFonts w:eastAsia="Times New Roman" w:asciiTheme="minorHAnsi" w:hAnsiTheme="minorHAnsi"/>
          <w:bCs/>
          <w:kern w:val="32"/>
        </w:rPr>
        <w:t>години број паркинг мјеста који се наплаћују је повећан на 5.000 паркинг мјеста. У току је измјена регулационог плана централног градског подручја, те је могуће дефинисање локација за изградњу подземних паркиралишта односно вишеетажних гаража.</w:t>
      </w:r>
    </w:p>
    <w:p>
      <w:pPr>
        <w:spacing w:before="120" w:after="120"/>
        <w:jc w:val="both"/>
        <w:rPr>
          <w:rFonts w:eastAsia="Times New Roman" w:asciiTheme="minorHAnsi" w:hAnsiTheme="minorHAnsi"/>
          <w:bCs/>
          <w:kern w:val="32"/>
          <w:lang w:val="sr-Cyrl-CS"/>
        </w:rPr>
      </w:pPr>
    </w:p>
    <w:tbl>
      <w:tblPr>
        <w:tblStyle w:val="37"/>
        <w:tblW w:w="9252"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25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rPr>
          <w:jc w:val="center"/>
        </w:trPr>
        <w:tc>
          <w:tcPr>
            <w:tcW w:w="9252" w:type="dxa"/>
            <w:shd w:val="clear" w:color="auto" w:fill="C5E0B3" w:themeFill="accent6" w:themeFillTint="66"/>
          </w:tcPr>
          <w:p>
            <w:pPr>
              <w:spacing w:before="120" w:after="120"/>
              <w:jc w:val="both"/>
              <w:rPr>
                <w:rFonts w:eastAsia="Times New Roman" w:asciiTheme="minorHAnsi" w:hAnsiTheme="minorHAnsi"/>
                <w:bCs/>
                <w:i/>
                <w:kern w:val="32"/>
                <w:lang w:val="sr-Cyrl-RS"/>
              </w:rPr>
            </w:pPr>
            <w:r>
              <w:rPr>
                <w:rFonts w:eastAsia="Times New Roman" w:asciiTheme="minorHAnsi" w:hAnsiTheme="minorHAnsi"/>
                <w:bCs/>
                <w:i/>
                <w:kern w:val="32"/>
              </w:rPr>
              <w:t>Стање јавне инфраструктуре је на задовољавајућем нивоу. Скоро све МЗ у граду су повезане асфалтираним путевима са урбаним дијелом Града. У току је велики пројекат санације дистрибутивне</w:t>
            </w:r>
            <w:r>
              <w:rPr>
                <w:rFonts w:eastAsia="Times New Roman" w:asciiTheme="minorHAnsi" w:hAnsiTheme="minorHAnsi"/>
                <w:bCs/>
                <w:i/>
                <w:kern w:val="32"/>
                <w:lang w:val="sr-Cyrl-CS"/>
              </w:rPr>
              <w:t xml:space="preserve"> </w:t>
            </w:r>
            <w:r>
              <w:rPr>
                <w:rFonts w:eastAsia="Times New Roman" w:asciiTheme="minorHAnsi" w:hAnsiTheme="minorHAnsi"/>
                <w:bCs/>
                <w:i/>
                <w:kern w:val="32"/>
              </w:rPr>
              <w:t>електроенергетске мреже чиме ће се побољшати снабдијевање електричном енергијом за око 30.000 купаца.</w:t>
            </w:r>
            <w:r>
              <w:rPr>
                <w:rFonts w:eastAsia="Times New Roman" w:asciiTheme="minorHAnsi" w:hAnsiTheme="minorHAnsi"/>
                <w:bCs/>
                <w:i/>
                <w:kern w:val="32"/>
                <w:lang w:val="sr-Cyrl-RS"/>
              </w:rPr>
              <w:t xml:space="preserve"> Д</w:t>
            </w:r>
            <w:r>
              <w:rPr>
                <w:rFonts w:eastAsia="Times New Roman" w:asciiTheme="minorHAnsi" w:hAnsiTheme="minorHAnsi"/>
                <w:bCs/>
                <w:i/>
                <w:kern w:val="32"/>
              </w:rPr>
              <w:t xml:space="preserve">аљинско гријање </w:t>
            </w:r>
            <w:r>
              <w:rPr>
                <w:rFonts w:eastAsia="Times New Roman" w:asciiTheme="minorHAnsi" w:hAnsiTheme="minorHAnsi"/>
                <w:bCs/>
                <w:i/>
                <w:kern w:val="32"/>
                <w:lang w:val="sr-Cyrl-RS"/>
              </w:rPr>
              <w:t xml:space="preserve">је </w:t>
            </w:r>
            <w:r>
              <w:rPr>
                <w:rFonts w:eastAsia="Times New Roman" w:asciiTheme="minorHAnsi" w:hAnsiTheme="minorHAnsi"/>
                <w:bCs/>
                <w:i/>
                <w:kern w:val="32"/>
              </w:rPr>
              <w:t xml:space="preserve">на биомасу, умјесто </w:t>
            </w:r>
            <w:r>
              <w:rPr>
                <w:rFonts w:eastAsia="Times New Roman" w:asciiTheme="minorHAnsi" w:hAnsiTheme="minorHAnsi"/>
                <w:bCs/>
                <w:i/>
                <w:kern w:val="32"/>
                <w:lang w:val="sr-Cyrl-RS"/>
              </w:rPr>
              <w:t>досадашњег</w:t>
            </w:r>
            <w:r>
              <w:rPr>
                <w:rFonts w:eastAsia="Times New Roman" w:asciiTheme="minorHAnsi" w:hAnsiTheme="minorHAnsi"/>
                <w:bCs/>
                <w:i/>
                <w:kern w:val="32"/>
              </w:rPr>
              <w:t xml:space="preserve"> гријања на мазут, што доприн</w:t>
            </w:r>
            <w:r>
              <w:rPr>
                <w:rFonts w:eastAsia="Times New Roman" w:asciiTheme="minorHAnsi" w:hAnsiTheme="minorHAnsi"/>
                <w:bCs/>
                <w:i/>
                <w:kern w:val="32"/>
                <w:lang w:val="sr-Cyrl-RS"/>
              </w:rPr>
              <w:t>оси</w:t>
            </w:r>
            <w:r>
              <w:rPr>
                <w:rFonts w:eastAsia="Times New Roman" w:asciiTheme="minorHAnsi" w:hAnsiTheme="minorHAnsi"/>
                <w:bCs/>
                <w:i/>
                <w:kern w:val="32"/>
              </w:rPr>
              <w:t xml:space="preserve"> смањењу загађења ваздуха. Покривеност Града водоводном мрежом је задовољавајућа, а реализован је пројекат </w:t>
            </w:r>
            <w:r>
              <w:rPr>
                <w:rFonts w:eastAsia="Times New Roman" w:asciiTheme="minorHAnsi" w:hAnsiTheme="minorHAnsi"/>
                <w:bCs/>
                <w:i/>
                <w:kern w:val="32"/>
                <w:lang w:val="sr-Cyrl-RS"/>
              </w:rPr>
              <w:t>р</w:t>
            </w:r>
            <w:r>
              <w:rPr>
                <w:rFonts w:eastAsia="Times New Roman" w:asciiTheme="minorHAnsi" w:hAnsiTheme="minorHAnsi"/>
                <w:bCs/>
                <w:i/>
                <w:kern w:val="32"/>
              </w:rPr>
              <w:t xml:space="preserve">еконструкције и проширења водоводне и канализационе мреже који је финансиран </w:t>
            </w:r>
            <w:r>
              <w:rPr>
                <w:rFonts w:eastAsia="Times New Roman" w:asciiTheme="minorHAnsi" w:hAnsiTheme="minorHAnsi"/>
                <w:bCs/>
                <w:i/>
                <w:kern w:val="32"/>
                <w:lang w:val="hr-HR"/>
              </w:rPr>
              <w:t xml:space="preserve">iz </w:t>
            </w:r>
            <w:r>
              <w:rPr>
                <w:rFonts w:eastAsia="Times New Roman" w:asciiTheme="minorHAnsi" w:hAnsiTheme="minorHAnsi"/>
                <w:bCs/>
                <w:i/>
                <w:kern w:val="32"/>
              </w:rPr>
              <w:t xml:space="preserve">средстава </w:t>
            </w:r>
            <w:r>
              <w:rPr>
                <w:rFonts w:eastAsia="Times New Roman" w:asciiTheme="minorHAnsi" w:hAnsiTheme="minorHAnsi"/>
                <w:bCs/>
                <w:i/>
                <w:kern w:val="32"/>
                <w:lang w:val="hr-HR"/>
              </w:rPr>
              <w:t>KfW</w:t>
            </w:r>
            <w:r>
              <w:rPr>
                <w:rFonts w:eastAsia="Times New Roman" w:asciiTheme="minorHAnsi" w:hAnsiTheme="minorHAnsi"/>
                <w:bCs/>
                <w:i/>
                <w:kern w:val="32"/>
              </w:rPr>
              <w:t xml:space="preserve"> кредита. Локални водоводи ће у наредне 2 године постепено прећи у надлежност ЈП „Водовод“ а.д. Бања Лука, чиме ће се обезбиједити сигурно снабдијевање водом за пиће и за рурално становништво. Највећи</w:t>
            </w:r>
            <w:r>
              <w:rPr>
                <w:rFonts w:eastAsia="Times New Roman" w:asciiTheme="minorHAnsi" w:hAnsiTheme="minorHAnsi"/>
                <w:bCs/>
                <w:i/>
                <w:kern w:val="32"/>
                <w:lang w:val="sr-Cyrl-CS"/>
              </w:rPr>
              <w:t xml:space="preserve"> </w:t>
            </w:r>
            <w:r>
              <w:rPr>
                <w:rFonts w:eastAsia="Times New Roman" w:asciiTheme="minorHAnsi" w:hAnsiTheme="minorHAnsi"/>
                <w:bCs/>
                <w:i/>
                <w:kern w:val="32"/>
              </w:rPr>
              <w:t>проблем тренутно представља непостојање ППОВ, али</w:t>
            </w:r>
            <w:r>
              <w:rPr>
                <w:rFonts w:eastAsia="Times New Roman" w:asciiTheme="minorHAnsi" w:hAnsiTheme="minorHAnsi"/>
                <w:bCs/>
                <w:i/>
                <w:kern w:val="32"/>
                <w:lang w:val="sr-Cyrl-CS"/>
              </w:rPr>
              <w:t>, иако</w:t>
            </w:r>
            <w:r>
              <w:rPr>
                <w:rFonts w:eastAsia="Times New Roman" w:asciiTheme="minorHAnsi" w:hAnsiTheme="minorHAnsi"/>
                <w:bCs/>
                <w:i/>
                <w:kern w:val="32"/>
              </w:rPr>
              <w:t xml:space="preserve"> је одабрана локација и израђен генерални пројекат канализационог система оборинских и употребљених вода становништва и индустрије града Бања Лука</w:t>
            </w:r>
            <w:r>
              <w:rPr>
                <w:rFonts w:eastAsia="Times New Roman" w:asciiTheme="minorHAnsi" w:hAnsiTheme="minorHAnsi"/>
                <w:bCs/>
                <w:i/>
                <w:kern w:val="32"/>
                <w:lang w:val="sr-Cyrl-RS"/>
              </w:rPr>
              <w:t>, биће потребне урадити додатне анализе.</w:t>
            </w:r>
          </w:p>
        </w:tc>
      </w:tr>
    </w:tbl>
    <w:p>
      <w:pPr>
        <w:spacing w:after="160" w:line="259" w:lineRule="auto"/>
        <w:rPr>
          <w:rFonts w:eastAsia="Times New Roman"/>
          <w:b/>
          <w:bCs/>
          <w:szCs w:val="26"/>
          <w:lang w:val="hr-HR"/>
        </w:rPr>
      </w:pPr>
      <w:bookmarkStart w:id="71" w:name="_Toc500506480"/>
    </w:p>
    <w:p>
      <w:pPr>
        <w:pStyle w:val="4"/>
        <w:rPr>
          <w:bCs w:val="0"/>
          <w:lang w:val="hr-HR"/>
        </w:rPr>
      </w:pPr>
      <w:bookmarkStart w:id="72" w:name="_Toc526761912"/>
      <w:r>
        <w:rPr>
          <w:bCs w:val="0"/>
          <w:lang w:val="hr-HR"/>
        </w:rPr>
        <w:t>IV.1.7. Стање</w:t>
      </w:r>
      <w:r>
        <w:rPr>
          <w:bCs w:val="0"/>
          <w:lang w:val="sr-Cyrl-RS"/>
        </w:rPr>
        <w:t xml:space="preserve"> </w:t>
      </w:r>
      <w:r>
        <w:rPr>
          <w:bCs w:val="0"/>
          <w:lang w:val="hr-HR"/>
        </w:rPr>
        <w:t>животне</w:t>
      </w:r>
      <w:r>
        <w:rPr>
          <w:bCs w:val="0"/>
          <w:lang w:val="sr-Cyrl-RS"/>
        </w:rPr>
        <w:t xml:space="preserve"> </w:t>
      </w:r>
      <w:r>
        <w:rPr>
          <w:bCs w:val="0"/>
          <w:lang w:val="hr-HR"/>
        </w:rPr>
        <w:t>средине</w:t>
      </w:r>
      <w:bookmarkEnd w:id="71"/>
      <w:bookmarkEnd w:id="72"/>
    </w:p>
    <w:p>
      <w:pPr>
        <w:keepNext/>
        <w:keepLines/>
        <w:spacing w:before="200"/>
        <w:ind w:left="426"/>
        <w:outlineLvl w:val="3"/>
        <w:rPr>
          <w:rFonts w:eastAsia="Times New Roman" w:asciiTheme="minorHAnsi" w:hAnsiTheme="minorHAnsi" w:cstheme="minorHAnsi"/>
          <w:b/>
          <w:bCs/>
          <w:i/>
          <w:iCs/>
          <w:lang w:val="hr-HR"/>
        </w:rPr>
      </w:pPr>
      <w:bookmarkStart w:id="73" w:name="_Toc500506481"/>
      <w:bookmarkStart w:id="74" w:name="_Toc526761913"/>
      <w:r>
        <w:rPr>
          <w:rFonts w:eastAsia="Times New Roman" w:asciiTheme="minorHAnsi" w:hAnsiTheme="minorHAnsi" w:cstheme="minorHAnsi"/>
          <w:b/>
          <w:bCs/>
          <w:i/>
          <w:iCs/>
          <w:lang w:val="hr-HR"/>
        </w:rPr>
        <w:t>IV.1.7.1. Ваздух</w:t>
      </w:r>
      <w:bookmarkEnd w:id="73"/>
      <w:bookmarkEnd w:id="74"/>
    </w:p>
    <w:p>
      <w:pPr>
        <w:spacing w:before="120" w:after="120"/>
        <w:jc w:val="both"/>
        <w:rPr>
          <w:rFonts w:eastAsia="Times New Roman" w:asciiTheme="minorHAnsi" w:hAnsiTheme="minorHAnsi"/>
          <w:bCs/>
          <w:kern w:val="32"/>
          <w:lang w:val="sr-Cyrl-CS"/>
        </w:rPr>
      </w:pPr>
    </w:p>
    <w:p>
      <w:pPr>
        <w:spacing w:before="120" w:after="120"/>
        <w:jc w:val="both"/>
        <w:rPr>
          <w:rFonts w:eastAsia="Times New Roman" w:asciiTheme="minorHAnsi" w:hAnsiTheme="minorHAnsi"/>
          <w:bCs/>
          <w:kern w:val="32"/>
        </w:rPr>
      </w:pPr>
      <w:r>
        <w:rPr>
          <w:rFonts w:eastAsia="Times New Roman" w:asciiTheme="minorHAnsi" w:hAnsiTheme="minorHAnsi"/>
          <w:bCs/>
          <w:kern w:val="32"/>
        </w:rPr>
        <w:t>Загађење ваздуха углавном је узроковано емисијом штетних гасова од сагоријевања конвенционалних горива у ложиштима индивидуалних и привредних објеката током сезоне гријања, те из моторних возила што је највише изражено у урбаним подручјима града.</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У Одсјеку за грађење Града Бања</w:t>
      </w:r>
      <w:r>
        <w:rPr>
          <w:rFonts w:eastAsia="Times New Roman" w:asciiTheme="minorHAnsi" w:hAnsiTheme="minorHAnsi"/>
          <w:bCs/>
          <w:kern w:val="32"/>
          <w:lang w:val="sr-Cyrl-RS"/>
        </w:rPr>
        <w:t xml:space="preserve"> Л</w:t>
      </w:r>
      <w:r>
        <w:rPr>
          <w:rFonts w:eastAsia="Times New Roman" w:asciiTheme="minorHAnsi" w:hAnsiTheme="minorHAnsi"/>
          <w:bCs/>
          <w:kern w:val="32"/>
        </w:rPr>
        <w:t>ука води се евиденција о свим издатим еколошким дозволама, у којој су наведени и подаци о дјелатности, па тако Град располаже с</w:t>
      </w:r>
      <w:r>
        <w:rPr>
          <w:rFonts w:eastAsia="Times New Roman" w:asciiTheme="minorHAnsi" w:hAnsiTheme="minorHAnsi"/>
          <w:bCs/>
          <w:kern w:val="32"/>
          <w:lang w:val="bs-Latn-BA"/>
        </w:rPr>
        <w:t>a</w:t>
      </w:r>
      <w:r>
        <w:rPr>
          <w:rFonts w:eastAsia="Times New Roman" w:asciiTheme="minorHAnsi" w:hAnsiTheme="minorHAnsi"/>
          <w:bCs/>
          <w:kern w:val="32"/>
        </w:rPr>
        <w:t xml:space="preserve"> евиденцијом о индивидуалним котловницама</w:t>
      </w:r>
      <w:r>
        <w:rPr>
          <w:rFonts w:eastAsia="Times New Roman" w:asciiTheme="minorHAnsi" w:hAnsiTheme="minorHAnsi"/>
          <w:bCs/>
          <w:kern w:val="32"/>
          <w:lang w:val="sr-Cyrl-CS"/>
        </w:rPr>
        <w:t xml:space="preserve"> </w:t>
      </w:r>
      <w:r>
        <w:rPr>
          <w:rFonts w:eastAsia="Times New Roman" w:asciiTheme="minorHAnsi" w:hAnsiTheme="minorHAnsi"/>
          <w:bCs/>
          <w:kern w:val="32"/>
        </w:rPr>
        <w:t>за период од 2007.-2017. године, које се углавном налазе у стамбено-пословним објектима. Еколошка дозвола за поменуте котловнице се издаје према Правилнику о постројењима која могу бити изграђена и пуштена у рад само уколико имају еколошку дозволу („Службени гласник РС“, бр. 124/12)</w:t>
      </w:r>
      <w:r>
        <w:rPr>
          <w:rFonts w:eastAsia="Times New Roman" w:asciiTheme="minorHAnsi" w:hAnsiTheme="minorHAnsi"/>
          <w:bCs/>
          <w:kern w:val="32"/>
          <w:lang w:val="sr-Cyrl-CS"/>
        </w:rPr>
        <w:t xml:space="preserve"> (</w:t>
      </w:r>
      <w:r>
        <w:rPr>
          <w:rFonts w:eastAsia="Times New Roman" w:asciiTheme="minorHAnsi" w:hAnsiTheme="minorHAnsi"/>
          <w:bCs/>
          <w:kern w:val="32"/>
        </w:rPr>
        <w:t>све котловнице чија је термална снага изнад 250 kW, захтјева прибављање еколошке дозволе</w:t>
      </w:r>
      <w:r>
        <w:rPr>
          <w:rFonts w:eastAsia="Times New Roman" w:asciiTheme="minorHAnsi" w:hAnsiTheme="minorHAnsi"/>
          <w:bCs/>
          <w:kern w:val="32"/>
          <w:lang w:val="sr-Cyrl-CS"/>
        </w:rPr>
        <w:t>)</w:t>
      </w:r>
      <w:r>
        <w:rPr>
          <w:rFonts w:eastAsia="Times New Roman" w:asciiTheme="minorHAnsi" w:hAnsiTheme="minorHAnsi"/>
          <w:bCs/>
          <w:kern w:val="32"/>
        </w:rPr>
        <w:t>. Еколошке дозволе се издају на период од 5 година, а по истеку су предмет обнове или ревизије.</w:t>
      </w:r>
      <w:r>
        <w:rPr>
          <w:rFonts w:eastAsia="Times New Roman" w:asciiTheme="minorHAnsi" w:hAnsiTheme="minorHAnsi"/>
          <w:bCs/>
          <w:kern w:val="32"/>
          <w:lang w:val="sr-Cyrl-RS"/>
        </w:rPr>
        <w:t xml:space="preserve"> </w:t>
      </w:r>
      <w:r>
        <w:rPr>
          <w:rFonts w:eastAsia="Times New Roman" w:asciiTheme="minorHAnsi" w:hAnsiTheme="minorHAnsi"/>
          <w:bCs/>
          <w:kern w:val="32"/>
        </w:rPr>
        <w:t>У периоду од 2007. до 2017. године издато је 28 еколошких дозвола за котловнице, распон снаге се кретао од 250 kW до 2 МW, са коришћењем пелета, дрвета, лож уље, биомасе, дрвн</w:t>
      </w:r>
      <w:r>
        <w:rPr>
          <w:rFonts w:eastAsia="Times New Roman" w:asciiTheme="minorHAnsi" w:hAnsiTheme="minorHAnsi"/>
          <w:bCs/>
          <w:kern w:val="32"/>
          <w:lang w:val="bs-Latn-BA"/>
        </w:rPr>
        <w:t>e</w:t>
      </w:r>
      <w:r>
        <w:rPr>
          <w:rFonts w:eastAsia="Times New Roman" w:asciiTheme="minorHAnsi" w:hAnsiTheme="minorHAnsi"/>
          <w:bCs/>
          <w:kern w:val="32"/>
        </w:rPr>
        <w:t xml:space="preserve"> сјечке, итд.</w:t>
      </w:r>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rPr>
        <w:t>Бања Лука спада у ријетке градове у Републици Српској, гдје се врши континуирано мјерење загађења ваздуха.</w:t>
      </w:r>
      <w:r>
        <w:rPr>
          <w:rFonts w:eastAsia="Times New Roman" w:asciiTheme="minorHAnsi" w:hAnsiTheme="minorHAnsi"/>
          <w:bCs/>
          <w:kern w:val="32"/>
          <w:lang w:val="sr-Cyrl-RS"/>
        </w:rPr>
        <w:t xml:space="preserve"> </w:t>
      </w:r>
      <w:r>
        <w:rPr>
          <w:rFonts w:eastAsia="Times New Roman" w:asciiTheme="minorHAnsi" w:hAnsiTheme="minorHAnsi"/>
          <w:bCs/>
          <w:kern w:val="32"/>
          <w:lang w:val="sr-Cyrl-CS"/>
        </w:rPr>
        <w:t>В</w:t>
      </w:r>
      <w:r>
        <w:rPr>
          <w:rFonts w:eastAsia="Times New Roman" w:asciiTheme="minorHAnsi" w:hAnsiTheme="minorHAnsi"/>
          <w:bCs/>
          <w:kern w:val="32"/>
        </w:rPr>
        <w:t>рши се мониторинг свих полутаната у складу са тачком 8. Закона о заштити ваздуха (</w:t>
      </w:r>
      <w:r>
        <w:rPr>
          <w:rFonts w:eastAsia="Times New Roman" w:asciiTheme="minorHAnsi" w:hAnsiTheme="minorHAnsi"/>
          <w:bCs/>
          <w:kern w:val="32"/>
          <w:lang w:val="bs-Latn-BA"/>
        </w:rPr>
        <w:t>„</w:t>
      </w:r>
      <w:r>
        <w:rPr>
          <w:rFonts w:eastAsia="Times New Roman" w:asciiTheme="minorHAnsi" w:hAnsiTheme="minorHAnsi"/>
          <w:bCs/>
          <w:kern w:val="32"/>
        </w:rPr>
        <w:t>Сл. гласник РС</w:t>
      </w:r>
      <w:r>
        <w:rPr>
          <w:rFonts w:eastAsia="Times New Roman" w:asciiTheme="minorHAnsi" w:hAnsiTheme="minorHAnsi"/>
          <w:bCs/>
          <w:kern w:val="32"/>
          <w:lang w:val="bs-Latn-BA"/>
        </w:rPr>
        <w:t xml:space="preserve">“, </w:t>
      </w:r>
      <w:r>
        <w:rPr>
          <w:rFonts w:eastAsia="Times New Roman" w:asciiTheme="minorHAnsi" w:hAnsiTheme="minorHAnsi"/>
          <w:bCs/>
          <w:kern w:val="32"/>
        </w:rPr>
        <w:t>бр.124/11). Покретне еколошке лабораторије за мјерење аерозагађења налазе се на три локације у граду, и то: Центар-код Поште, насеље Борик-код „Топлане“ и насеље Паприковац-код "Електропреноса". Измјерене вриједности концентрација сумпор-диоксида</w:t>
      </w:r>
      <w:r>
        <w:rPr>
          <w:rFonts w:eastAsia="Times New Roman" w:asciiTheme="minorHAnsi" w:hAnsiTheme="minorHAnsi"/>
          <w:bCs/>
          <w:kern w:val="32"/>
          <w:lang w:val="sr-Cyrl-RS"/>
        </w:rPr>
        <w:t xml:space="preserve"> </w:t>
      </w:r>
      <w:r>
        <w:rPr>
          <w:rFonts w:eastAsia="Times New Roman" w:asciiTheme="minorHAnsi" w:hAnsiTheme="minorHAnsi"/>
          <w:bCs/>
          <w:kern w:val="32"/>
          <w:lang w:val="hr-HR"/>
        </w:rPr>
        <w:t>(SO</w:t>
      </w:r>
      <w:r>
        <w:rPr>
          <w:rFonts w:eastAsia="Times New Roman" w:asciiTheme="minorHAnsi" w:hAnsiTheme="minorHAnsi"/>
          <w:bCs/>
          <w:kern w:val="32"/>
          <w:vertAlign w:val="subscript"/>
          <w:lang w:val="hr-HR"/>
        </w:rPr>
        <w:t>2</w:t>
      </w:r>
      <w:r>
        <w:rPr>
          <w:rFonts w:eastAsia="Times New Roman" w:asciiTheme="minorHAnsi" w:hAnsiTheme="minorHAnsi"/>
          <w:bCs/>
          <w:kern w:val="32"/>
          <w:lang w:val="hr-HR"/>
        </w:rPr>
        <w:t>)</w:t>
      </w:r>
      <w:r>
        <w:rPr>
          <w:rFonts w:eastAsia="Times New Roman" w:asciiTheme="minorHAnsi" w:hAnsiTheme="minorHAnsi"/>
          <w:bCs/>
          <w:kern w:val="32"/>
        </w:rPr>
        <w:t>, угљен-моноксида</w:t>
      </w:r>
      <w:r>
        <w:rPr>
          <w:rFonts w:eastAsia="Times New Roman" w:asciiTheme="minorHAnsi" w:hAnsiTheme="minorHAnsi"/>
          <w:bCs/>
          <w:kern w:val="32"/>
          <w:lang w:val="sr-Cyrl-RS"/>
        </w:rPr>
        <w:t xml:space="preserve"> </w:t>
      </w:r>
      <w:r>
        <w:rPr>
          <w:rFonts w:eastAsia="Times New Roman" w:asciiTheme="minorHAnsi" w:hAnsiTheme="minorHAnsi"/>
          <w:bCs/>
          <w:kern w:val="32"/>
          <w:lang w:val="hr-HR"/>
        </w:rPr>
        <w:t>(CO)</w:t>
      </w:r>
      <w:r>
        <w:rPr>
          <w:rFonts w:eastAsia="Times New Roman" w:asciiTheme="minorHAnsi" w:hAnsiTheme="minorHAnsi"/>
          <w:bCs/>
          <w:kern w:val="32"/>
        </w:rPr>
        <w:t>, азотних оксида</w:t>
      </w:r>
      <w:r>
        <w:rPr>
          <w:rFonts w:eastAsia="Times New Roman" w:asciiTheme="minorHAnsi" w:hAnsiTheme="minorHAnsi"/>
          <w:bCs/>
          <w:kern w:val="32"/>
          <w:lang w:val="sr-Cyrl-RS"/>
        </w:rPr>
        <w:t xml:space="preserve"> </w:t>
      </w:r>
      <w:r>
        <w:rPr>
          <w:rFonts w:eastAsia="Times New Roman" w:asciiTheme="minorHAnsi" w:hAnsiTheme="minorHAnsi"/>
          <w:bCs/>
          <w:kern w:val="32"/>
          <w:lang w:val="hr-HR"/>
        </w:rPr>
        <w:t>(NO</w:t>
      </w:r>
      <w:r>
        <w:rPr>
          <w:rFonts w:eastAsia="Times New Roman" w:asciiTheme="minorHAnsi" w:hAnsiTheme="minorHAnsi"/>
          <w:bCs/>
          <w:kern w:val="32"/>
          <w:vertAlign w:val="subscript"/>
          <w:lang w:val="hr-HR"/>
        </w:rPr>
        <w:t>x</w:t>
      </w:r>
      <w:r>
        <w:rPr>
          <w:rFonts w:eastAsia="Times New Roman" w:asciiTheme="minorHAnsi" w:hAnsiTheme="minorHAnsi"/>
          <w:bCs/>
          <w:kern w:val="32"/>
          <w:lang w:val="hr-HR"/>
        </w:rPr>
        <w:t>)</w:t>
      </w:r>
      <w:r>
        <w:rPr>
          <w:rFonts w:eastAsia="Times New Roman" w:asciiTheme="minorHAnsi" w:hAnsiTheme="minorHAnsi"/>
          <w:bCs/>
          <w:kern w:val="32"/>
        </w:rPr>
        <w:t>, олова, бензена, приземног озона</w:t>
      </w:r>
      <w:r>
        <w:rPr>
          <w:rFonts w:eastAsia="Times New Roman" w:asciiTheme="minorHAnsi" w:hAnsiTheme="minorHAnsi"/>
          <w:bCs/>
          <w:kern w:val="32"/>
          <w:lang w:val="sr-Cyrl-RS"/>
        </w:rPr>
        <w:t xml:space="preserve"> </w:t>
      </w:r>
      <w:r>
        <w:rPr>
          <w:rFonts w:eastAsia="Times New Roman" w:asciiTheme="minorHAnsi" w:hAnsiTheme="minorHAnsi"/>
          <w:bCs/>
          <w:kern w:val="32"/>
          <w:lang w:val="hr-HR"/>
        </w:rPr>
        <w:t>(O</w:t>
      </w:r>
      <w:r>
        <w:rPr>
          <w:rFonts w:eastAsia="Times New Roman" w:asciiTheme="minorHAnsi" w:hAnsiTheme="minorHAnsi"/>
          <w:bCs/>
          <w:kern w:val="32"/>
          <w:vertAlign w:val="subscript"/>
          <w:lang w:val="hr-HR"/>
        </w:rPr>
        <w:t>3</w:t>
      </w:r>
      <w:r>
        <w:rPr>
          <w:rFonts w:eastAsia="Times New Roman" w:asciiTheme="minorHAnsi" w:hAnsiTheme="minorHAnsi"/>
          <w:bCs/>
          <w:kern w:val="32"/>
          <w:lang w:val="hr-HR"/>
        </w:rPr>
        <w:t>)</w:t>
      </w:r>
      <w:r>
        <w:rPr>
          <w:rFonts w:eastAsia="Times New Roman" w:asciiTheme="minorHAnsi" w:hAnsiTheme="minorHAnsi"/>
          <w:bCs/>
          <w:kern w:val="32"/>
        </w:rPr>
        <w:t>, арсена, кадмија, никла, бензо(а)пирена и лебдећих честица</w:t>
      </w:r>
      <w:r>
        <w:rPr>
          <w:rFonts w:eastAsia="Times New Roman" w:asciiTheme="minorHAnsi" w:hAnsiTheme="minorHAnsi"/>
          <w:bCs/>
          <w:kern w:val="32"/>
          <w:lang w:val="sr-Cyrl-RS"/>
        </w:rPr>
        <w:t xml:space="preserve"> </w:t>
      </w:r>
      <w:r>
        <w:rPr>
          <w:rFonts w:eastAsia="Times New Roman" w:asciiTheme="minorHAnsi" w:hAnsiTheme="minorHAnsi"/>
          <w:bCs/>
          <w:kern w:val="32"/>
          <w:lang w:val="hr-HR"/>
        </w:rPr>
        <w:t>(PM</w:t>
      </w:r>
      <w:r>
        <w:rPr>
          <w:rFonts w:eastAsia="Times New Roman" w:asciiTheme="minorHAnsi" w:hAnsiTheme="minorHAnsi"/>
          <w:bCs/>
          <w:kern w:val="32"/>
          <w:vertAlign w:val="subscript"/>
          <w:lang w:val="hr-HR"/>
        </w:rPr>
        <w:t>10</w:t>
      </w:r>
      <w:r>
        <w:rPr>
          <w:rFonts w:eastAsia="Times New Roman" w:asciiTheme="minorHAnsi" w:hAnsiTheme="minorHAnsi"/>
          <w:bCs/>
          <w:kern w:val="32"/>
          <w:lang w:val="hr-HR"/>
        </w:rPr>
        <w:t xml:space="preserve"> i PM</w:t>
      </w:r>
      <w:r>
        <w:rPr>
          <w:rFonts w:eastAsia="Times New Roman" w:asciiTheme="minorHAnsi" w:hAnsiTheme="minorHAnsi"/>
          <w:bCs/>
          <w:kern w:val="32"/>
          <w:vertAlign w:val="subscript"/>
          <w:lang w:val="hr-HR"/>
        </w:rPr>
        <w:t>2,5</w:t>
      </w:r>
      <w:r>
        <w:rPr>
          <w:rFonts w:eastAsia="Times New Roman" w:asciiTheme="minorHAnsi" w:hAnsiTheme="minorHAnsi"/>
          <w:bCs/>
          <w:kern w:val="32"/>
          <w:lang w:val="hr-HR"/>
        </w:rPr>
        <w:t>)</w:t>
      </w:r>
      <w:r>
        <w:rPr>
          <w:rFonts w:eastAsia="Times New Roman" w:asciiTheme="minorHAnsi" w:hAnsiTheme="minorHAnsi"/>
          <w:bCs/>
          <w:kern w:val="32"/>
          <w:lang w:val="sr-Cyrl-CS"/>
        </w:rPr>
        <w:t xml:space="preserve">, </w:t>
      </w:r>
      <w:r>
        <w:rPr>
          <w:rFonts w:eastAsia="Times New Roman" w:asciiTheme="minorHAnsi" w:hAnsiTheme="minorHAnsi"/>
          <w:bCs/>
          <w:kern w:val="32"/>
        </w:rPr>
        <w:t>на све три локације већим дијелом године припадају првој категорији квалитета ваздуха. Прва категорија, према Закону о заштити ваздуха, подразумијева ваздух који је чист или незнатно загађен, односно ваздух у којем нису прекорачене граничне вриједности нивоа ни за једну загађујућу материју. Дугогодишњим праћењем раста и пада концентрација загађивача у ваздуху дошло се до спознаје да је гријна сезона период када је лошији квалитет ваздуха.</w:t>
      </w:r>
      <w:r>
        <w:rPr>
          <w:rFonts w:eastAsia="Times New Roman" w:asciiTheme="minorHAnsi" w:hAnsiTheme="minorHAnsi"/>
          <w:bCs/>
          <w:kern w:val="32"/>
          <w:lang w:val="sr-Cyrl-RS"/>
        </w:rPr>
        <w:t xml:space="preserve"> </w:t>
      </w:r>
      <w:r>
        <w:rPr>
          <w:rFonts w:eastAsia="Times New Roman" w:asciiTheme="minorHAnsi" w:hAnsiTheme="minorHAnsi"/>
          <w:bCs/>
          <w:kern w:val="32"/>
        </w:rPr>
        <w:t>Оно што треба напоменути да је присутан тренд погоршања квалитета ваздуха из године у годину, проузрокаван повећањем броја аутомобила, повећањем броја стамбених објеката и смањењем зелених површина.</w:t>
      </w:r>
      <w:r>
        <w:rPr>
          <w:rFonts w:eastAsia="Times New Roman" w:asciiTheme="minorHAnsi" w:hAnsiTheme="minorHAnsi"/>
          <w:bCs/>
          <w:kern w:val="32"/>
          <w:lang w:val="sr-Cyrl-RS"/>
        </w:rPr>
        <w:t xml:space="preserve"> </w:t>
      </w:r>
      <w:r>
        <w:rPr>
          <w:rFonts w:eastAsia="Times New Roman" w:asciiTheme="minorHAnsi" w:hAnsiTheme="minorHAnsi"/>
          <w:bCs/>
          <w:kern w:val="32"/>
        </w:rPr>
        <w:t>Подизањем свијести грађана о избору енергента за ложење настоји се, између осталог, поправити слика квалитета ваздуха у зимским мјесецима</w:t>
      </w:r>
      <w:r>
        <w:rPr>
          <w:rStyle w:val="31"/>
          <w:rFonts w:eastAsia="Times New Roman" w:asciiTheme="minorHAnsi" w:hAnsiTheme="minorHAnsi"/>
          <w:bCs/>
          <w:kern w:val="32"/>
        </w:rPr>
        <w:footnoteReference w:id="70"/>
      </w:r>
      <w:r>
        <w:rPr>
          <w:rFonts w:eastAsia="Times New Roman" w:asciiTheme="minorHAnsi" w:hAnsiTheme="minorHAnsi"/>
          <w:bCs/>
          <w:kern w:val="32"/>
        </w:rPr>
        <w:t>.</w:t>
      </w:r>
      <w:r>
        <w:rPr>
          <w:rFonts w:eastAsia="Times New Roman" w:asciiTheme="minorHAnsi" w:hAnsiTheme="minorHAnsi"/>
          <w:bCs/>
          <w:kern w:val="32"/>
          <w:lang w:val="sr-Cyrl-RS"/>
        </w:rPr>
        <w:t xml:space="preserve"> </w:t>
      </w:r>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rPr>
        <w:t>Основни проблеми очувања квалитета и заштите ваздуха на градском подручју су</w:t>
      </w:r>
      <w:r>
        <w:rPr>
          <w:rFonts w:eastAsia="Times New Roman" w:asciiTheme="minorHAnsi" w:hAnsiTheme="minorHAnsi"/>
          <w:bCs/>
          <w:kern w:val="32"/>
          <w:vertAlign w:val="superscript"/>
        </w:rPr>
        <w:footnoteReference w:id="71"/>
      </w:r>
      <w:r>
        <w:rPr>
          <w:rFonts w:eastAsia="Times New Roman" w:asciiTheme="minorHAnsi" w:hAnsiTheme="minorHAnsi"/>
          <w:bCs/>
          <w:kern w:val="32"/>
        </w:rPr>
        <w:t>:</w:t>
      </w:r>
      <w:r>
        <w:rPr>
          <w:rFonts w:eastAsia="Times New Roman" w:asciiTheme="minorHAnsi" w:hAnsiTheme="minorHAnsi"/>
          <w:bCs/>
          <w:kern w:val="32"/>
          <w:lang w:val="sr-Cyrl-RS"/>
        </w:rPr>
        <w:t xml:space="preserve"> н</w:t>
      </w:r>
      <w:r>
        <w:rPr>
          <w:rFonts w:eastAsia="Times New Roman" w:asciiTheme="minorHAnsi" w:hAnsiTheme="minorHAnsi"/>
          <w:bCs/>
          <w:kern w:val="32"/>
        </w:rPr>
        <w:t>едовољна покривеност градског подручја даљинским системом гријања што је условило постојање великог броја индивидуалних кућних ложишта,</w:t>
      </w:r>
      <w:r>
        <w:rPr>
          <w:rFonts w:eastAsia="Times New Roman" w:asciiTheme="minorHAnsi" w:hAnsiTheme="minorHAnsi"/>
          <w:bCs/>
          <w:kern w:val="32"/>
          <w:lang w:val="sr-Cyrl-RS"/>
        </w:rPr>
        <w:t xml:space="preserve"> </w:t>
      </w:r>
      <w:r>
        <w:rPr>
          <w:rFonts w:eastAsia="Times New Roman" w:asciiTheme="minorHAnsi" w:hAnsiTheme="minorHAnsi"/>
          <w:bCs/>
          <w:kern w:val="32"/>
        </w:rPr>
        <w:t>те застарјелост постојеће топлификационе инфраструктуре, што узрокује велике губитке на мрежи</w:t>
      </w:r>
      <w:r>
        <w:rPr>
          <w:rFonts w:eastAsia="Times New Roman" w:asciiTheme="minorHAnsi" w:hAnsiTheme="minorHAnsi"/>
          <w:bCs/>
          <w:kern w:val="32"/>
          <w:lang w:val="sr-Cyrl-RS"/>
        </w:rPr>
        <w:t>; к</w:t>
      </w:r>
      <w:r>
        <w:rPr>
          <w:rFonts w:eastAsia="Times New Roman" w:asciiTheme="minorHAnsi" w:hAnsiTheme="minorHAnsi"/>
          <w:bCs/>
          <w:kern w:val="32"/>
        </w:rPr>
        <w:t>ориштење неадекватних енергената у</w:t>
      </w:r>
      <w:r>
        <w:rPr>
          <w:rFonts w:eastAsia="Times New Roman" w:asciiTheme="minorHAnsi" w:hAnsiTheme="minorHAnsi"/>
          <w:bCs/>
          <w:kern w:val="32"/>
          <w:lang w:val="bs-Latn-BA"/>
        </w:rPr>
        <w:t xml:space="preserve"> </w:t>
      </w:r>
      <w:r>
        <w:rPr>
          <w:rFonts w:eastAsia="Times New Roman" w:asciiTheme="minorHAnsi" w:hAnsiTheme="minorHAnsi"/>
          <w:bCs/>
          <w:kern w:val="32"/>
        </w:rPr>
        <w:t>индивидуалним ложиштима (већином угаљ лошег квалитета и дрво)</w:t>
      </w:r>
      <w:r>
        <w:rPr>
          <w:rFonts w:eastAsia="Times New Roman" w:asciiTheme="minorHAnsi" w:hAnsiTheme="minorHAnsi"/>
          <w:bCs/>
          <w:kern w:val="32"/>
          <w:lang w:val="sr-Cyrl-RS"/>
        </w:rPr>
        <w:t>; н</w:t>
      </w:r>
      <w:r>
        <w:rPr>
          <w:rFonts w:eastAsia="Times New Roman" w:asciiTheme="minorHAnsi" w:hAnsiTheme="minorHAnsi"/>
          <w:bCs/>
          <w:kern w:val="32"/>
        </w:rPr>
        <w:t>епостојање система за пречишћавање отпадних емисија у индустријским постројењима</w:t>
      </w:r>
      <w:r>
        <w:rPr>
          <w:rFonts w:eastAsia="Times New Roman" w:asciiTheme="minorHAnsi" w:hAnsiTheme="minorHAnsi"/>
          <w:bCs/>
          <w:kern w:val="32"/>
          <w:lang w:val="sr-Cyrl-RS"/>
        </w:rPr>
        <w:t>; п</w:t>
      </w:r>
      <w:r>
        <w:rPr>
          <w:rFonts w:eastAsia="Times New Roman" w:asciiTheme="minorHAnsi" w:hAnsiTheme="minorHAnsi"/>
          <w:bCs/>
          <w:kern w:val="32"/>
        </w:rPr>
        <w:t>рекомјерно кориштење приватних аутомобила,</w:t>
      </w:r>
      <w:r>
        <w:rPr>
          <w:rFonts w:eastAsia="Times New Roman" w:asciiTheme="minorHAnsi" w:hAnsiTheme="minorHAnsi"/>
          <w:bCs/>
          <w:kern w:val="32"/>
          <w:lang w:val="sr-Cyrl-CS"/>
        </w:rPr>
        <w:t xml:space="preserve"> </w:t>
      </w:r>
      <w:r>
        <w:rPr>
          <w:rFonts w:eastAsia="Times New Roman" w:asciiTheme="minorHAnsi" w:hAnsiTheme="minorHAnsi"/>
          <w:bCs/>
          <w:kern w:val="32"/>
        </w:rPr>
        <w:t>технички неисправна возила, кориштење горива лошег квалитета</w:t>
      </w:r>
      <w:r>
        <w:rPr>
          <w:rFonts w:eastAsia="Times New Roman" w:asciiTheme="minorHAnsi" w:hAnsiTheme="minorHAnsi"/>
          <w:bCs/>
          <w:kern w:val="32"/>
          <w:lang w:val="sr-Cyrl-RS"/>
        </w:rPr>
        <w:t>; н</w:t>
      </w:r>
      <w:r>
        <w:rPr>
          <w:rFonts w:eastAsia="Times New Roman" w:asciiTheme="minorHAnsi" w:hAnsiTheme="minorHAnsi"/>
          <w:bCs/>
          <w:kern w:val="32"/>
        </w:rPr>
        <w:t xml:space="preserve">епостојање катастра загађивача гдје би се објединила база података о изворима загађења на подручју града </w:t>
      </w:r>
      <w:r>
        <w:rPr>
          <w:rFonts w:eastAsia="Times New Roman" w:asciiTheme="minorHAnsi" w:hAnsiTheme="minorHAnsi"/>
          <w:bCs/>
          <w:kern w:val="32"/>
          <w:lang w:val="sr-Cyrl-CS"/>
        </w:rPr>
        <w:t>Б</w:t>
      </w:r>
      <w:r>
        <w:rPr>
          <w:rFonts w:eastAsia="Times New Roman" w:asciiTheme="minorHAnsi" w:hAnsiTheme="minorHAnsi"/>
          <w:bCs/>
          <w:kern w:val="32"/>
        </w:rPr>
        <w:t xml:space="preserve">ања </w:t>
      </w:r>
      <w:r>
        <w:rPr>
          <w:rFonts w:eastAsia="Times New Roman" w:asciiTheme="minorHAnsi" w:hAnsiTheme="minorHAnsi"/>
          <w:bCs/>
          <w:kern w:val="32"/>
          <w:lang w:val="sr-Cyrl-CS"/>
        </w:rPr>
        <w:t>Л</w:t>
      </w:r>
      <w:r>
        <w:rPr>
          <w:rFonts w:eastAsia="Times New Roman" w:asciiTheme="minorHAnsi" w:hAnsiTheme="minorHAnsi"/>
          <w:bCs/>
          <w:kern w:val="32"/>
        </w:rPr>
        <w:t>ука, као и о врсти и количини загађења</w:t>
      </w:r>
      <w:r>
        <w:rPr>
          <w:rFonts w:eastAsia="Times New Roman" w:asciiTheme="minorHAnsi" w:hAnsiTheme="minorHAnsi"/>
          <w:bCs/>
          <w:kern w:val="32"/>
          <w:lang w:val="sr-Cyrl-RS"/>
        </w:rPr>
        <w:t>; з</w:t>
      </w:r>
      <w:r>
        <w:rPr>
          <w:rFonts w:eastAsia="Times New Roman" w:asciiTheme="minorHAnsi" w:hAnsiTheme="minorHAnsi"/>
          <w:bCs/>
          <w:kern w:val="32"/>
        </w:rPr>
        <w:t>аконска регулатива која не обрађује индивидуална ложишта као загађиваче</w:t>
      </w:r>
      <w:r>
        <w:rPr>
          <w:rFonts w:eastAsia="Times New Roman" w:asciiTheme="minorHAnsi" w:hAnsiTheme="minorHAnsi"/>
          <w:bCs/>
          <w:kern w:val="32"/>
          <w:lang w:val="sr-Cyrl-RS"/>
        </w:rPr>
        <w:t xml:space="preserve"> и н</w:t>
      </w:r>
      <w:r>
        <w:rPr>
          <w:rFonts w:eastAsia="Times New Roman" w:asciiTheme="minorHAnsi" w:hAnsiTheme="minorHAnsi"/>
          <w:bCs/>
          <w:kern w:val="32"/>
        </w:rPr>
        <w:t>иска свијест становника.</w:t>
      </w:r>
    </w:p>
    <w:p>
      <w:pPr>
        <w:keepNext/>
        <w:keepLines/>
        <w:spacing w:before="200"/>
        <w:ind w:left="426"/>
        <w:outlineLvl w:val="3"/>
        <w:rPr>
          <w:rFonts w:eastAsia="Times New Roman" w:asciiTheme="minorHAnsi" w:hAnsiTheme="minorHAnsi" w:cstheme="minorHAnsi"/>
          <w:b/>
          <w:bCs/>
          <w:i/>
          <w:iCs/>
          <w:lang w:val="hr-HR"/>
        </w:rPr>
      </w:pPr>
      <w:bookmarkStart w:id="75" w:name="_Toc526761914"/>
      <w:bookmarkStart w:id="76" w:name="_Toc500506482"/>
      <w:r>
        <w:rPr>
          <w:rFonts w:eastAsia="Times New Roman" w:asciiTheme="minorHAnsi" w:hAnsiTheme="minorHAnsi" w:cstheme="minorHAnsi"/>
          <w:b/>
          <w:bCs/>
          <w:i/>
          <w:iCs/>
          <w:lang w:val="hr-HR"/>
        </w:rPr>
        <w:t>IV.1.7.2. Водни</w:t>
      </w:r>
      <w:r>
        <w:rPr>
          <w:rFonts w:eastAsia="Times New Roman" w:asciiTheme="minorHAnsi" w:hAnsiTheme="minorHAnsi" w:cstheme="minorHAnsi"/>
          <w:b/>
          <w:bCs/>
          <w:i/>
          <w:iCs/>
          <w:lang w:val="sr-Cyrl-RS"/>
        </w:rPr>
        <w:t xml:space="preserve"> </w:t>
      </w:r>
      <w:r>
        <w:rPr>
          <w:rFonts w:eastAsia="Times New Roman" w:asciiTheme="minorHAnsi" w:hAnsiTheme="minorHAnsi" w:cstheme="minorHAnsi"/>
          <w:b/>
          <w:bCs/>
          <w:i/>
          <w:iCs/>
          <w:lang w:val="hr-HR"/>
        </w:rPr>
        <w:t>ресурси</w:t>
      </w:r>
      <w:bookmarkEnd w:id="75"/>
      <w:bookmarkEnd w:id="76"/>
    </w:p>
    <w:p>
      <w:pPr>
        <w:spacing w:before="120" w:after="120"/>
        <w:jc w:val="both"/>
        <w:rPr>
          <w:rFonts w:eastAsia="Times New Roman" w:asciiTheme="minorHAnsi" w:hAnsiTheme="minorHAnsi"/>
          <w:bCs/>
          <w:kern w:val="32"/>
          <w:lang w:val="sr-Cyrl-CS"/>
        </w:rPr>
      </w:pPr>
    </w:p>
    <w:p>
      <w:pPr>
        <w:spacing w:before="120" w:after="120"/>
        <w:jc w:val="both"/>
        <w:rPr>
          <w:rFonts w:eastAsia="Times New Roman" w:asciiTheme="minorHAnsi" w:hAnsiTheme="minorHAnsi"/>
          <w:bCs/>
          <w:kern w:val="32"/>
        </w:rPr>
      </w:pPr>
      <w:r>
        <w:rPr>
          <w:rFonts w:eastAsia="Times New Roman" w:asciiTheme="minorHAnsi" w:hAnsiTheme="minorHAnsi"/>
          <w:bCs/>
          <w:kern w:val="32"/>
        </w:rPr>
        <w:t>Већи дио града је смјештен у сливу ријеке Врбас (891 km²), а мањи дио припада сливу ријеке Сане (342 km²).</w:t>
      </w:r>
      <w:r>
        <w:rPr>
          <w:rFonts w:eastAsia="Times New Roman" w:asciiTheme="minorHAnsi" w:hAnsiTheme="minorHAnsi"/>
          <w:bCs/>
          <w:kern w:val="32"/>
          <w:lang w:val="sr-Cyrl-RS"/>
        </w:rPr>
        <w:t xml:space="preserve"> </w:t>
      </w:r>
      <w:r>
        <w:rPr>
          <w:rFonts w:eastAsia="Times New Roman" w:asciiTheme="minorHAnsi" w:hAnsiTheme="minorHAnsi"/>
          <w:bCs/>
          <w:kern w:val="32"/>
        </w:rPr>
        <w:t>На подручју града у Врбас се улијевају притоке: Врбања, Сутурлија, Крупа, Швракава, Широка ријека, Драгочајска ријека и Црквена. Сливу ријеке Сане припада подручје Бронзаног Мајдана, Вилуса и Павића са већим ријекама Козицом и Гомјеницом, те њиховим притокома Стратинска, Мелина, Бистрица и Пискавичка ријека.</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Надлежност над управљањем ријек</w:t>
      </w:r>
      <w:r>
        <w:rPr>
          <w:rFonts w:eastAsia="Times New Roman" w:asciiTheme="minorHAnsi" w:hAnsiTheme="minorHAnsi"/>
          <w:bCs/>
          <w:kern w:val="32"/>
          <w:lang w:val="bs-Latn-BA"/>
        </w:rPr>
        <w:t>a</w:t>
      </w:r>
      <w:r>
        <w:rPr>
          <w:rFonts w:eastAsia="Times New Roman" w:asciiTheme="minorHAnsi" w:hAnsiTheme="minorHAnsi"/>
          <w:bCs/>
          <w:kern w:val="32"/>
        </w:rPr>
        <w:t xml:space="preserve"> Врбас и Врбање имају Воде Српске, док су мање ријеке и потоци у надлежности Града. Уређених водотокова у цјелости на подручју Града нема. Регулација је од 2000.г. до данас</w:t>
      </w:r>
      <w:r>
        <w:rPr>
          <w:rFonts w:eastAsia="Times New Roman" w:asciiTheme="minorHAnsi" w:hAnsiTheme="minorHAnsi"/>
          <w:bCs/>
          <w:kern w:val="32"/>
          <w:lang w:val="sr-Cyrl-RS"/>
        </w:rPr>
        <w:t>,</w:t>
      </w:r>
      <w:r>
        <w:rPr>
          <w:rFonts w:eastAsia="Times New Roman" w:asciiTheme="minorHAnsi" w:hAnsiTheme="minorHAnsi"/>
          <w:bCs/>
          <w:kern w:val="32"/>
        </w:rPr>
        <w:t xml:space="preserve"> рађена на мањим дионицама водотокова, и то</w:t>
      </w:r>
      <w:r>
        <w:rPr>
          <w:rFonts w:eastAsia="Times New Roman" w:asciiTheme="minorHAnsi" w:hAnsiTheme="minorHAnsi"/>
          <w:bCs/>
          <w:kern w:val="32"/>
          <w:vertAlign w:val="superscript"/>
        </w:rPr>
        <w:footnoteReference w:id="72"/>
      </w:r>
      <w:r>
        <w:rPr>
          <w:rFonts w:eastAsia="Times New Roman" w:asciiTheme="minorHAnsi" w:hAnsiTheme="minorHAnsi"/>
          <w:bCs/>
          <w:kern w:val="32"/>
        </w:rPr>
        <w:t>:</w:t>
      </w:r>
    </w:p>
    <w:p>
      <w:pPr>
        <w:numPr>
          <w:ilvl w:val="0"/>
          <w:numId w:val="28"/>
        </w:numPr>
        <w:spacing w:before="60" w:after="60"/>
        <w:jc w:val="both"/>
        <w:rPr>
          <w:rFonts w:eastAsia="Times New Roman" w:asciiTheme="minorHAnsi" w:hAnsiTheme="minorHAnsi"/>
          <w:bCs/>
          <w:kern w:val="32"/>
        </w:rPr>
      </w:pPr>
      <w:r>
        <w:rPr>
          <w:rFonts w:eastAsia="Times New Roman" w:asciiTheme="minorHAnsi" w:hAnsiTheme="minorHAnsi"/>
          <w:bCs/>
          <w:kern w:val="32"/>
        </w:rPr>
        <w:t>Обалоутврда на ријеци Врбањи у зони насипа, дужине 1.090</w:t>
      </w:r>
      <w:r>
        <w:rPr>
          <w:rFonts w:eastAsia="Times New Roman" w:asciiTheme="minorHAnsi" w:hAnsiTheme="minorHAnsi"/>
          <w:bCs/>
          <w:kern w:val="32"/>
          <w:lang w:val="bs-Latn-BA"/>
        </w:rPr>
        <w:t xml:space="preserve"> </w:t>
      </w:r>
      <w:r>
        <w:rPr>
          <w:rFonts w:eastAsia="Times New Roman" w:asciiTheme="minorHAnsi" w:hAnsiTheme="minorHAnsi"/>
          <w:bCs/>
          <w:kern w:val="32"/>
        </w:rPr>
        <w:t>m,</w:t>
      </w:r>
    </w:p>
    <w:p>
      <w:pPr>
        <w:numPr>
          <w:ilvl w:val="0"/>
          <w:numId w:val="28"/>
        </w:numPr>
        <w:spacing w:before="60" w:after="60"/>
        <w:jc w:val="both"/>
        <w:rPr>
          <w:rFonts w:eastAsia="Times New Roman" w:asciiTheme="minorHAnsi" w:hAnsiTheme="minorHAnsi"/>
          <w:bCs/>
          <w:kern w:val="32"/>
        </w:rPr>
      </w:pPr>
      <w:r>
        <w:rPr>
          <w:rFonts w:eastAsia="Times New Roman" w:asciiTheme="minorHAnsi" w:hAnsiTheme="minorHAnsi"/>
          <w:bCs/>
          <w:kern w:val="32"/>
        </w:rPr>
        <w:t>Обалоутврда на десној обали Врбаса на дијелу Мађира, дужине 350</w:t>
      </w:r>
      <w:r>
        <w:rPr>
          <w:rFonts w:eastAsia="Times New Roman" w:asciiTheme="minorHAnsi" w:hAnsiTheme="minorHAnsi"/>
          <w:bCs/>
          <w:kern w:val="32"/>
          <w:lang w:val="bs-Latn-BA"/>
        </w:rPr>
        <w:t xml:space="preserve"> </w:t>
      </w:r>
      <w:r>
        <w:rPr>
          <w:rFonts w:eastAsia="Times New Roman" w:asciiTheme="minorHAnsi" w:hAnsiTheme="minorHAnsi"/>
          <w:bCs/>
          <w:kern w:val="32"/>
        </w:rPr>
        <w:t>m,</w:t>
      </w:r>
    </w:p>
    <w:p>
      <w:pPr>
        <w:numPr>
          <w:ilvl w:val="0"/>
          <w:numId w:val="28"/>
        </w:numPr>
        <w:spacing w:before="60" w:after="60"/>
        <w:jc w:val="both"/>
        <w:rPr>
          <w:rFonts w:eastAsia="Times New Roman" w:asciiTheme="minorHAnsi" w:hAnsiTheme="minorHAnsi"/>
          <w:bCs/>
          <w:kern w:val="32"/>
        </w:rPr>
      </w:pPr>
      <w:r>
        <w:rPr>
          <w:rFonts w:eastAsia="Times New Roman" w:asciiTheme="minorHAnsi" w:hAnsiTheme="minorHAnsi"/>
          <w:bCs/>
          <w:kern w:val="32"/>
        </w:rPr>
        <w:t>Обалоутврда на лијевој обали Врбаса на дијелу Липовачке улице</w:t>
      </w:r>
      <w:r>
        <w:rPr>
          <w:rFonts w:eastAsia="Times New Roman" w:asciiTheme="minorHAnsi" w:hAnsiTheme="minorHAnsi"/>
          <w:bCs/>
          <w:kern w:val="32"/>
          <w:lang w:val="bs-Latn-BA"/>
        </w:rPr>
        <w:t>,</w:t>
      </w:r>
      <w:r>
        <w:rPr>
          <w:rFonts w:eastAsia="Times New Roman" w:asciiTheme="minorHAnsi" w:hAnsiTheme="minorHAnsi"/>
          <w:bCs/>
          <w:kern w:val="32"/>
        </w:rPr>
        <w:t xml:space="preserve"> дужине 300</w:t>
      </w:r>
      <w:r>
        <w:rPr>
          <w:rFonts w:eastAsia="Times New Roman" w:asciiTheme="minorHAnsi" w:hAnsiTheme="minorHAnsi"/>
          <w:bCs/>
          <w:kern w:val="32"/>
          <w:lang w:val="bs-Latn-BA"/>
        </w:rPr>
        <w:t xml:space="preserve"> </w:t>
      </w:r>
      <w:r>
        <w:rPr>
          <w:rFonts w:eastAsia="Times New Roman" w:asciiTheme="minorHAnsi" w:hAnsiTheme="minorHAnsi"/>
          <w:bCs/>
          <w:kern w:val="32"/>
        </w:rPr>
        <w:t>m,</w:t>
      </w:r>
    </w:p>
    <w:p>
      <w:pPr>
        <w:numPr>
          <w:ilvl w:val="0"/>
          <w:numId w:val="28"/>
        </w:numPr>
        <w:spacing w:before="60" w:after="60"/>
        <w:jc w:val="both"/>
        <w:rPr>
          <w:rFonts w:eastAsia="Times New Roman" w:asciiTheme="minorHAnsi" w:hAnsiTheme="minorHAnsi"/>
          <w:bCs/>
          <w:kern w:val="32"/>
        </w:rPr>
      </w:pPr>
      <w:r>
        <w:rPr>
          <w:rFonts w:eastAsia="Times New Roman" w:asciiTheme="minorHAnsi" w:hAnsiTheme="minorHAnsi"/>
          <w:bCs/>
          <w:kern w:val="32"/>
        </w:rPr>
        <w:t>Регулација Широке ријеке, дужине 3.500</w:t>
      </w:r>
      <w:r>
        <w:rPr>
          <w:rFonts w:eastAsia="Times New Roman" w:asciiTheme="minorHAnsi" w:hAnsiTheme="minorHAnsi"/>
          <w:bCs/>
          <w:kern w:val="32"/>
          <w:lang w:val="bs-Latn-BA"/>
        </w:rPr>
        <w:t xml:space="preserve"> </w:t>
      </w:r>
      <w:r>
        <w:rPr>
          <w:rFonts w:eastAsia="Times New Roman" w:asciiTheme="minorHAnsi" w:hAnsiTheme="minorHAnsi"/>
          <w:bCs/>
          <w:kern w:val="32"/>
        </w:rPr>
        <w:t>m,</w:t>
      </w:r>
    </w:p>
    <w:p>
      <w:pPr>
        <w:numPr>
          <w:ilvl w:val="0"/>
          <w:numId w:val="28"/>
        </w:numPr>
        <w:spacing w:before="60" w:after="60"/>
        <w:jc w:val="both"/>
        <w:rPr>
          <w:rFonts w:eastAsia="Times New Roman" w:asciiTheme="minorHAnsi" w:hAnsiTheme="minorHAnsi"/>
          <w:bCs/>
          <w:kern w:val="32"/>
        </w:rPr>
      </w:pPr>
      <w:r>
        <w:rPr>
          <w:rFonts w:eastAsia="Times New Roman" w:asciiTheme="minorHAnsi" w:hAnsiTheme="minorHAnsi"/>
          <w:bCs/>
          <w:kern w:val="32"/>
        </w:rPr>
        <w:t>Регулација Талијановог потока, дужине 740</w:t>
      </w:r>
      <w:r>
        <w:rPr>
          <w:rFonts w:eastAsia="Times New Roman" w:asciiTheme="minorHAnsi" w:hAnsiTheme="minorHAnsi"/>
          <w:bCs/>
          <w:kern w:val="32"/>
          <w:lang w:val="bs-Latn-BA"/>
        </w:rPr>
        <w:t xml:space="preserve"> </w:t>
      </w:r>
      <w:r>
        <w:rPr>
          <w:rFonts w:eastAsia="Times New Roman" w:asciiTheme="minorHAnsi" w:hAnsiTheme="minorHAnsi"/>
          <w:bCs/>
          <w:kern w:val="32"/>
        </w:rPr>
        <w:t>m,</w:t>
      </w:r>
    </w:p>
    <w:p>
      <w:pPr>
        <w:numPr>
          <w:ilvl w:val="0"/>
          <w:numId w:val="28"/>
        </w:numPr>
        <w:spacing w:before="60" w:after="60"/>
        <w:jc w:val="both"/>
        <w:rPr>
          <w:rFonts w:eastAsia="Times New Roman" w:asciiTheme="minorHAnsi" w:hAnsiTheme="minorHAnsi"/>
          <w:bCs/>
          <w:kern w:val="32"/>
        </w:rPr>
      </w:pPr>
      <w:r>
        <w:rPr>
          <w:rFonts w:eastAsia="Times New Roman" w:asciiTheme="minorHAnsi" w:hAnsiTheme="minorHAnsi"/>
          <w:bCs/>
          <w:kern w:val="32"/>
        </w:rPr>
        <w:t>Регулација потока Плоче (Ченићев поток), дужине 652</w:t>
      </w:r>
      <w:r>
        <w:rPr>
          <w:rFonts w:eastAsia="Times New Roman" w:asciiTheme="minorHAnsi" w:hAnsiTheme="minorHAnsi"/>
          <w:bCs/>
          <w:kern w:val="32"/>
          <w:lang w:val="bs-Latn-BA"/>
        </w:rPr>
        <w:t xml:space="preserve"> </w:t>
      </w:r>
      <w:r>
        <w:rPr>
          <w:rFonts w:eastAsia="Times New Roman" w:asciiTheme="minorHAnsi" w:hAnsiTheme="minorHAnsi"/>
          <w:bCs/>
          <w:kern w:val="32"/>
        </w:rPr>
        <w:t>m,</w:t>
      </w:r>
    </w:p>
    <w:p>
      <w:pPr>
        <w:numPr>
          <w:ilvl w:val="0"/>
          <w:numId w:val="28"/>
        </w:numPr>
        <w:spacing w:before="60" w:after="60"/>
        <w:jc w:val="both"/>
        <w:rPr>
          <w:rFonts w:eastAsia="Times New Roman" w:asciiTheme="minorHAnsi" w:hAnsiTheme="minorHAnsi"/>
          <w:bCs/>
          <w:kern w:val="32"/>
        </w:rPr>
      </w:pPr>
      <w:r>
        <w:rPr>
          <w:rFonts w:eastAsia="Times New Roman" w:asciiTheme="minorHAnsi" w:hAnsiTheme="minorHAnsi"/>
          <w:bCs/>
          <w:kern w:val="32"/>
        </w:rPr>
        <w:t>Регулација дијела потока Јуларац, дужина 250</w:t>
      </w:r>
      <w:r>
        <w:rPr>
          <w:rFonts w:eastAsia="Times New Roman" w:asciiTheme="minorHAnsi" w:hAnsiTheme="minorHAnsi"/>
          <w:bCs/>
          <w:kern w:val="32"/>
          <w:lang w:val="bs-Latn-BA"/>
        </w:rPr>
        <w:t xml:space="preserve"> </w:t>
      </w:r>
      <w:r>
        <w:rPr>
          <w:rFonts w:eastAsia="Times New Roman" w:asciiTheme="minorHAnsi" w:hAnsiTheme="minorHAnsi"/>
          <w:bCs/>
          <w:kern w:val="32"/>
        </w:rPr>
        <w:t>m.</w:t>
      </w:r>
    </w:p>
    <w:p>
      <w:pPr>
        <w:spacing w:before="120" w:after="120"/>
        <w:jc w:val="both"/>
        <w:rPr>
          <w:rFonts w:eastAsia="Times New Roman"/>
          <w:bCs/>
          <w:kern w:val="32"/>
        </w:rPr>
      </w:pPr>
      <w:r>
        <w:rPr>
          <w:rFonts w:eastAsia="Times New Roman" w:asciiTheme="minorHAnsi" w:hAnsiTheme="minorHAnsi"/>
          <w:bCs/>
          <w:kern w:val="32"/>
        </w:rPr>
        <w:t xml:space="preserve">Када је у питању квалитета површинских вода, важно је нагласити да Град Бања Лука </w:t>
      </w:r>
      <w:r>
        <w:rPr>
          <w:rFonts w:eastAsia="Times New Roman"/>
          <w:bCs/>
          <w:kern w:val="32"/>
        </w:rPr>
        <w:t>нема постројење за пречишћавање отпадних вода</w:t>
      </w:r>
      <w:r>
        <w:rPr>
          <w:rFonts w:eastAsia="Times New Roman"/>
          <w:bCs/>
          <w:kern w:val="32"/>
          <w:lang w:val="sr-Cyrl-RS"/>
        </w:rPr>
        <w:t>,</w:t>
      </w:r>
      <w:r>
        <w:rPr>
          <w:rFonts w:eastAsia="Times New Roman"/>
          <w:bCs/>
          <w:kern w:val="32"/>
        </w:rPr>
        <w:t xml:space="preserve"> те се отпадне воде директно испуштају у ријеку Врбас.</w:t>
      </w:r>
      <w:r>
        <w:rPr>
          <w:rFonts w:eastAsia="Times New Roman"/>
          <w:bCs/>
          <w:kern w:val="32"/>
          <w:lang w:val="sr-Cyrl-RS"/>
        </w:rPr>
        <w:t xml:space="preserve"> </w:t>
      </w:r>
      <w:r>
        <w:rPr>
          <w:rFonts w:eastAsia="Times New Roman"/>
          <w:bCs/>
          <w:kern w:val="32"/>
        </w:rPr>
        <w:t>Ниједна индустријска производња нема адекватно ријешен систем пречишћавања отпадних вода.</w:t>
      </w:r>
    </w:p>
    <w:p>
      <w:pPr>
        <w:spacing w:before="120" w:after="120"/>
        <w:jc w:val="both"/>
        <w:rPr>
          <w:rFonts w:eastAsia="Times New Roman" w:asciiTheme="minorHAnsi" w:hAnsiTheme="minorHAnsi"/>
          <w:bCs/>
          <w:kern w:val="32"/>
        </w:rPr>
      </w:pPr>
      <w:r>
        <w:rPr>
          <w:rFonts w:eastAsia="Times New Roman"/>
          <w:bCs/>
          <w:kern w:val="32"/>
        </w:rPr>
        <w:t xml:space="preserve">Јавна установа “Воде Српске” из Бијељине надлежна је за контролу квалитета површинских вода у РС. </w:t>
      </w:r>
      <w:r>
        <w:rPr>
          <w:rFonts w:eastAsia="Times New Roman" w:asciiTheme="minorHAnsi" w:hAnsiTheme="minorHAnsi"/>
          <w:bCs/>
          <w:kern w:val="32"/>
        </w:rPr>
        <w:t xml:space="preserve">На основу своје сврхе и степена загађења, ријека Врбас се класификује као класа </w:t>
      </w:r>
      <w:r>
        <w:rPr>
          <w:rFonts w:eastAsia="Times New Roman" w:asciiTheme="minorHAnsi" w:hAnsiTheme="minorHAnsi"/>
          <w:bCs/>
          <w:kern w:val="32"/>
          <w:lang w:val="hr-HR"/>
        </w:rPr>
        <w:t>II</w:t>
      </w:r>
      <w:r>
        <w:rPr>
          <w:rFonts w:eastAsia="Times New Roman" w:asciiTheme="minorHAnsi" w:hAnsiTheme="minorHAnsi"/>
          <w:bCs/>
          <w:kern w:val="32"/>
        </w:rPr>
        <w:t xml:space="preserve">, тј. вода која се може користити као вода за пиће након адекватног третмана, и вода која се може користити у свом природном стању за купање и рекреацију, спортове на води, узгој рибе. </w:t>
      </w:r>
    </w:p>
    <w:p>
      <w:pPr>
        <w:spacing w:before="120" w:after="120"/>
        <w:jc w:val="both"/>
        <w:rPr>
          <w:rFonts w:eastAsia="Times New Roman" w:asciiTheme="minorHAnsi" w:hAnsiTheme="minorHAnsi"/>
          <w:bCs/>
          <w:kern w:val="32"/>
        </w:rPr>
      </w:pPr>
      <w:r>
        <w:rPr>
          <w:rFonts w:eastAsia="Times New Roman" w:asciiTheme="minorHAnsi" w:hAnsiTheme="minorHAnsi"/>
          <w:bCs/>
          <w:kern w:val="32"/>
        </w:rPr>
        <w:t>Посљедних неколико година већа пажња је посвећена уређењу и одржавању водотока на подручју града, посебно ријеке Врбас, њених притока, те већег броја регулисаних и нерегулисаних потока. Редовно се врше одређене активности на уређењу са посебним акцентом у љетном периоду да би обале и корито ријеке биле безбједније за купање, разне облике рекреације, а посебно и за одржавање разних манифестација.</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Основни проблеми очувања квалитета и заштите вода на градском подручју су</w:t>
      </w:r>
      <w:r>
        <w:rPr>
          <w:rFonts w:eastAsia="Times New Roman" w:asciiTheme="minorHAnsi" w:hAnsiTheme="minorHAnsi"/>
          <w:bCs/>
          <w:kern w:val="32"/>
          <w:vertAlign w:val="superscript"/>
        </w:rPr>
        <w:footnoteReference w:id="73"/>
      </w:r>
      <w:r>
        <w:rPr>
          <w:rFonts w:eastAsia="Times New Roman" w:asciiTheme="minorHAnsi" w:hAnsiTheme="minorHAnsi"/>
          <w:bCs/>
          <w:kern w:val="32"/>
        </w:rPr>
        <w:t>:</w:t>
      </w:r>
      <w:r>
        <w:rPr>
          <w:rFonts w:eastAsia="Times New Roman" w:asciiTheme="minorHAnsi" w:hAnsiTheme="minorHAnsi"/>
          <w:bCs/>
          <w:kern w:val="32"/>
          <w:lang w:val="sr-Cyrl-RS"/>
        </w:rPr>
        <w:t xml:space="preserve"> н</w:t>
      </w:r>
      <w:r>
        <w:rPr>
          <w:rFonts w:eastAsia="Times New Roman" w:asciiTheme="minorHAnsi" w:hAnsiTheme="minorHAnsi"/>
          <w:bCs/>
          <w:kern w:val="32"/>
        </w:rPr>
        <w:t>епостојање постројењ</w:t>
      </w:r>
      <w:r>
        <w:rPr>
          <w:rFonts w:eastAsia="Times New Roman" w:asciiTheme="minorHAnsi" w:hAnsiTheme="minorHAnsi"/>
          <w:bCs/>
          <w:kern w:val="32"/>
          <w:lang w:val="bs-Latn-BA"/>
        </w:rPr>
        <w:t>a</w:t>
      </w:r>
      <w:r>
        <w:rPr>
          <w:rFonts w:eastAsia="Times New Roman" w:asciiTheme="minorHAnsi" w:hAnsiTheme="minorHAnsi"/>
          <w:bCs/>
          <w:kern w:val="32"/>
        </w:rPr>
        <w:t xml:space="preserve"> за пречишћавање отпадних вода,</w:t>
      </w:r>
      <w:r>
        <w:rPr>
          <w:rFonts w:eastAsia="Times New Roman" w:asciiTheme="minorHAnsi" w:hAnsiTheme="minorHAnsi"/>
          <w:bCs/>
          <w:kern w:val="32"/>
          <w:lang w:val="bs-Latn-BA"/>
        </w:rPr>
        <w:t xml:space="preserve"> </w:t>
      </w:r>
      <w:r>
        <w:rPr>
          <w:rFonts w:eastAsia="Times New Roman" w:asciiTheme="minorHAnsi" w:hAnsiTheme="minorHAnsi"/>
          <w:bCs/>
          <w:kern w:val="32"/>
        </w:rPr>
        <w:t>испуштање градских отпадних комуналних вода директно у водотоке без третмана</w:t>
      </w:r>
      <w:r>
        <w:rPr>
          <w:rFonts w:eastAsia="Times New Roman" w:asciiTheme="minorHAnsi" w:hAnsiTheme="minorHAnsi"/>
          <w:bCs/>
          <w:kern w:val="32"/>
          <w:lang w:val="sr-Cyrl-RS"/>
        </w:rPr>
        <w:t>; н</w:t>
      </w:r>
      <w:r>
        <w:rPr>
          <w:rFonts w:eastAsia="Times New Roman" w:asciiTheme="minorHAnsi" w:hAnsiTheme="minorHAnsi"/>
          <w:bCs/>
          <w:kern w:val="32"/>
        </w:rPr>
        <w:t>епокривеност урбаног подручја канализационом мрежом,</w:t>
      </w:r>
      <w:r>
        <w:rPr>
          <w:rFonts w:eastAsia="Times New Roman" w:asciiTheme="minorHAnsi" w:hAnsiTheme="minorHAnsi"/>
          <w:bCs/>
          <w:kern w:val="32"/>
          <w:lang w:val="sr-Cyrl-RS"/>
        </w:rPr>
        <w:t xml:space="preserve"> н</w:t>
      </w:r>
      <w:r>
        <w:rPr>
          <w:rFonts w:eastAsia="Times New Roman" w:asciiTheme="minorHAnsi" w:hAnsiTheme="minorHAnsi"/>
          <w:bCs/>
          <w:kern w:val="32"/>
        </w:rPr>
        <w:t>епрописно изграђене септичке јаме,</w:t>
      </w:r>
      <w:r>
        <w:rPr>
          <w:rFonts w:eastAsia="Times New Roman" w:asciiTheme="minorHAnsi" w:hAnsiTheme="minorHAnsi"/>
          <w:bCs/>
          <w:kern w:val="32"/>
          <w:lang w:val="sr-Cyrl-RS"/>
        </w:rPr>
        <w:t xml:space="preserve"> и</w:t>
      </w:r>
      <w:r>
        <w:rPr>
          <w:rFonts w:eastAsia="Times New Roman" w:asciiTheme="minorHAnsi" w:hAnsiTheme="minorHAnsi"/>
          <w:bCs/>
          <w:kern w:val="32"/>
        </w:rPr>
        <w:t>спуштање индустријских отпадних вода у површинске водоотоке без третмана и у канализациони систем без предтретмана</w:t>
      </w:r>
      <w:r>
        <w:rPr>
          <w:rFonts w:eastAsia="Times New Roman" w:asciiTheme="minorHAnsi" w:hAnsiTheme="minorHAnsi"/>
          <w:bCs/>
          <w:kern w:val="32"/>
          <w:lang w:val="sr-Cyrl-RS"/>
        </w:rPr>
        <w:t>; н</w:t>
      </w:r>
      <w:r>
        <w:rPr>
          <w:rFonts w:eastAsia="Times New Roman" w:asciiTheme="minorHAnsi" w:hAnsiTheme="minorHAnsi"/>
          <w:bCs/>
          <w:kern w:val="32"/>
        </w:rPr>
        <w:t>еадекватан инспекцијски надзор</w:t>
      </w:r>
      <w:r>
        <w:rPr>
          <w:rFonts w:eastAsia="Times New Roman" w:asciiTheme="minorHAnsi" w:hAnsiTheme="minorHAnsi"/>
          <w:bCs/>
          <w:kern w:val="32"/>
          <w:lang w:val="sr-Cyrl-RS"/>
        </w:rPr>
        <w:t>; н</w:t>
      </w:r>
      <w:r>
        <w:rPr>
          <w:rFonts w:eastAsia="Times New Roman" w:asciiTheme="minorHAnsi" w:hAnsiTheme="minorHAnsi"/>
          <w:bCs/>
          <w:kern w:val="32"/>
        </w:rPr>
        <w:t>еуређеност корита водотока</w:t>
      </w:r>
      <w:r>
        <w:rPr>
          <w:rFonts w:eastAsia="Times New Roman" w:asciiTheme="minorHAnsi" w:hAnsiTheme="minorHAnsi"/>
          <w:bCs/>
          <w:kern w:val="32"/>
          <w:lang w:val="sr-Cyrl-RS"/>
        </w:rPr>
        <w:t>; н</w:t>
      </w:r>
      <w:r>
        <w:rPr>
          <w:rFonts w:eastAsia="Times New Roman" w:asciiTheme="minorHAnsi" w:hAnsiTheme="minorHAnsi"/>
          <w:bCs/>
          <w:kern w:val="32"/>
        </w:rPr>
        <w:t>еразвијена еколошка свијест грађана.</w:t>
      </w:r>
    </w:p>
    <w:p>
      <w:pPr>
        <w:spacing w:before="120" w:after="120"/>
        <w:jc w:val="both"/>
        <w:rPr>
          <w:rFonts w:eastAsia="Times New Roman" w:asciiTheme="minorHAnsi" w:hAnsiTheme="minorHAnsi"/>
          <w:bCs/>
          <w:kern w:val="32"/>
          <w:lang w:val="sr-Cyrl-CS"/>
        </w:rPr>
      </w:pPr>
    </w:p>
    <w:p>
      <w:pPr>
        <w:keepNext/>
        <w:keepLines/>
        <w:spacing w:before="200"/>
        <w:ind w:left="426"/>
        <w:outlineLvl w:val="3"/>
        <w:rPr>
          <w:rFonts w:eastAsia="Times New Roman" w:asciiTheme="minorHAnsi" w:hAnsiTheme="minorHAnsi" w:cstheme="minorHAnsi"/>
          <w:b/>
          <w:bCs/>
          <w:i/>
          <w:iCs/>
          <w:lang w:val="sr-Cyrl-CS"/>
        </w:rPr>
      </w:pPr>
      <w:bookmarkStart w:id="77" w:name="_Toc500506483"/>
      <w:bookmarkStart w:id="78" w:name="_Toc526761915"/>
      <w:r>
        <w:rPr>
          <w:rFonts w:eastAsia="Times New Roman" w:asciiTheme="minorHAnsi" w:hAnsiTheme="minorHAnsi" w:cstheme="minorHAnsi"/>
          <w:b/>
          <w:bCs/>
          <w:i/>
          <w:iCs/>
          <w:lang w:val="hr-HR"/>
        </w:rPr>
        <w:t>IV.1.7.</w:t>
      </w:r>
      <w:r>
        <w:rPr>
          <w:rFonts w:eastAsia="Times New Roman" w:asciiTheme="minorHAnsi" w:hAnsiTheme="minorHAnsi" w:cstheme="minorHAnsi"/>
          <w:b/>
          <w:bCs/>
          <w:i/>
          <w:iCs/>
        </w:rPr>
        <w:t>3</w:t>
      </w:r>
      <w:r>
        <w:rPr>
          <w:rFonts w:eastAsia="Times New Roman" w:asciiTheme="minorHAnsi" w:hAnsiTheme="minorHAnsi" w:cstheme="minorHAnsi"/>
          <w:b/>
          <w:bCs/>
          <w:i/>
          <w:iCs/>
          <w:lang w:val="hr-HR"/>
        </w:rPr>
        <w:t>. Земљиште</w:t>
      </w:r>
      <w:bookmarkEnd w:id="77"/>
      <w:bookmarkEnd w:id="78"/>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rPr>
        <w:t>На подручју Града Бања Лука не постоји контуинуиран мониторинг земљишта. Одређена истраживања су вршена у склопу реализације разних пројеката. Најобнимније истраживање квалитета пољопривредног земљишта на подручју града, урађено је у склопу израде монографије</w:t>
      </w:r>
      <w:r>
        <w:rPr>
          <w:rFonts w:eastAsia="Times New Roman" w:asciiTheme="minorHAnsi" w:hAnsiTheme="minorHAnsi"/>
          <w:bCs/>
          <w:kern w:val="32"/>
          <w:lang w:val="sr-Cyrl-RS"/>
        </w:rPr>
        <w:t xml:space="preserve"> </w:t>
      </w:r>
      <w:r>
        <w:rPr>
          <w:rFonts w:eastAsia="Times New Roman" w:asciiTheme="minorHAnsi" w:hAnsiTheme="minorHAnsi"/>
          <w:bCs/>
          <w:kern w:val="32"/>
        </w:rPr>
        <w:t>„</w:t>
      </w:r>
      <w:r>
        <w:rPr>
          <w:rFonts w:eastAsia="Times New Roman" w:asciiTheme="minorHAnsi" w:hAnsiTheme="minorHAnsi"/>
          <w:bCs/>
          <w:i/>
          <w:kern w:val="32"/>
        </w:rPr>
        <w:t>Основа заштите, коришћења и уређења пољопривредног земљишта града Бања Лука</w:t>
      </w:r>
      <w:r>
        <w:rPr>
          <w:rFonts w:eastAsia="Times New Roman" w:asciiTheme="minorHAnsi" w:hAnsiTheme="minorHAnsi"/>
          <w:bCs/>
          <w:kern w:val="32"/>
        </w:rPr>
        <w:t>“. Ако се погледају основна хемијска својства испитиваних земљишта на подручју града Бања Лука (која су презентована у оквиру ове монографије) може се запазити велика</w:t>
      </w:r>
      <w:r>
        <w:rPr>
          <w:rFonts w:eastAsia="Times New Roman" w:asciiTheme="minorHAnsi" w:hAnsiTheme="minorHAnsi"/>
          <w:bCs/>
          <w:kern w:val="32"/>
          <w:lang w:val="sr-Cyrl-RS"/>
        </w:rPr>
        <w:t xml:space="preserve"> </w:t>
      </w:r>
      <w:r>
        <w:rPr>
          <w:rFonts w:eastAsia="Times New Roman" w:asciiTheme="minorHAnsi" w:hAnsiTheme="minorHAnsi"/>
          <w:bCs/>
          <w:kern w:val="32"/>
        </w:rPr>
        <w:t>варијабилност у погледу како pH-вриједности тако и садржају калцијум карбоната, хумуса, укупног азота, те лако</w:t>
      </w:r>
      <w:r>
        <w:rPr>
          <w:rFonts w:eastAsia="Times New Roman" w:asciiTheme="minorHAnsi" w:hAnsiTheme="minorHAnsi"/>
          <w:bCs/>
          <w:kern w:val="32"/>
          <w:lang w:val="sr-Cyrl-RS"/>
        </w:rPr>
        <w:t xml:space="preserve"> </w:t>
      </w:r>
      <w:r>
        <w:rPr>
          <w:rFonts w:eastAsia="Times New Roman" w:asciiTheme="minorHAnsi" w:hAnsiTheme="minorHAnsi"/>
          <w:bCs/>
          <w:kern w:val="32"/>
        </w:rPr>
        <w:t>приступачног фосфора и калијума. Земљишта града Бања Лука спадају у највећем проценту у бескарбонатна (преко 80 %) или се класификују у слабо карбонатна земљишта. Када је у питању садржај органске материје (хумуса), један од битних састојака земљишта који је носилац плодности и фактор који утиче на низ других особина земљишта (физичких, хемијских и биолошких) он је незадовољавајући.</w:t>
      </w:r>
      <w:r>
        <w:rPr>
          <w:rFonts w:eastAsia="Times New Roman" w:asciiTheme="minorHAnsi" w:hAnsiTheme="minorHAnsi"/>
          <w:bCs/>
          <w:kern w:val="32"/>
          <w:vertAlign w:val="superscript"/>
        </w:rPr>
        <w:footnoteReference w:id="74"/>
      </w:r>
    </w:p>
    <w:p>
      <w:pPr>
        <w:spacing w:before="120" w:after="120"/>
        <w:jc w:val="both"/>
        <w:rPr>
          <w:rFonts w:eastAsia="Times New Roman" w:asciiTheme="minorHAnsi" w:hAnsiTheme="minorHAnsi"/>
          <w:bCs/>
          <w:kern w:val="32"/>
        </w:rPr>
      </w:pPr>
      <w:r>
        <w:rPr>
          <w:rFonts w:eastAsia="Times New Roman" w:asciiTheme="minorHAnsi" w:hAnsiTheme="minorHAnsi"/>
          <w:bCs/>
          <w:kern w:val="32"/>
        </w:rPr>
        <w:t>Од укупне површине града Бања Луке у износу од 123.900 ha, пољопривредно земљиште заузима површину од 48.300 ha (39%).</w:t>
      </w:r>
      <w:r>
        <w:rPr>
          <w:rFonts w:eastAsia="Times New Roman" w:asciiTheme="minorHAnsi" w:hAnsiTheme="minorHAnsi"/>
          <w:bCs/>
          <w:kern w:val="32"/>
          <w:lang w:val="sr-Cyrl-RS"/>
        </w:rPr>
        <w:t xml:space="preserve"> </w:t>
      </w:r>
      <w:r>
        <w:rPr>
          <w:rFonts w:eastAsia="Times New Roman" w:asciiTheme="minorHAnsi" w:hAnsiTheme="minorHAnsi"/>
          <w:bCs/>
          <w:kern w:val="32"/>
        </w:rPr>
        <w:t>На сваког становника Бања Луке долази 0,26 ha пољопривредног земљишта. Категоризација и површине пољопривредног земљишта дата је у табели испод.</w:t>
      </w:r>
    </w:p>
    <w:p>
      <w:pPr>
        <w:spacing w:after="200"/>
        <w:ind w:left="426"/>
        <w:rPr>
          <w:rFonts w:eastAsia="Times New Roman" w:asciiTheme="minorHAnsi" w:hAnsiTheme="minorHAnsi"/>
          <w:b/>
          <w:kern w:val="32"/>
        </w:rPr>
      </w:pPr>
      <w:r>
        <w:rPr>
          <w:b/>
          <w:bCs/>
          <w:sz w:val="18"/>
          <w:szCs w:val="18"/>
        </w:rPr>
        <w:t>Табела</w:t>
      </w:r>
      <w:r>
        <w:rPr>
          <w:b/>
          <w:bCs/>
          <w:sz w:val="18"/>
          <w:szCs w:val="18"/>
          <w:lang w:val="sr-Cyrl-RS"/>
        </w:rPr>
        <w:t xml:space="preserve"> </w:t>
      </w:r>
      <w:r>
        <w:rPr>
          <w:b/>
          <w:bCs/>
          <w:sz w:val="18"/>
          <w:szCs w:val="18"/>
        </w:rPr>
        <w:fldChar w:fldCharType="begin"/>
      </w:r>
      <w:r>
        <w:rPr>
          <w:b/>
          <w:bCs/>
          <w:sz w:val="18"/>
          <w:szCs w:val="18"/>
        </w:rPr>
        <w:instrText xml:space="preserve"> SEQ Tabela \* ARABIC </w:instrText>
      </w:r>
      <w:r>
        <w:rPr>
          <w:b/>
          <w:bCs/>
          <w:sz w:val="18"/>
          <w:szCs w:val="18"/>
        </w:rPr>
        <w:fldChar w:fldCharType="separate"/>
      </w:r>
      <w:r>
        <w:rPr>
          <w:b/>
          <w:bCs/>
          <w:sz w:val="18"/>
          <w:szCs w:val="18"/>
        </w:rPr>
        <w:t>1</w:t>
      </w:r>
      <w:r>
        <w:rPr>
          <w:b/>
          <w:bCs/>
          <w:sz w:val="18"/>
          <w:szCs w:val="18"/>
        </w:rPr>
        <w:fldChar w:fldCharType="end"/>
      </w:r>
      <w:r>
        <w:rPr>
          <w:b/>
          <w:bCs/>
          <w:sz w:val="18"/>
          <w:szCs w:val="18"/>
          <w:lang w:val="sr-Cyrl-RS"/>
        </w:rPr>
        <w:t xml:space="preserve">. </w:t>
      </w:r>
      <w:r>
        <w:rPr>
          <w:b/>
          <w:bCs/>
          <w:sz w:val="18"/>
          <w:szCs w:val="18"/>
        </w:rPr>
        <w:t>Структура пољопривредног земљишта према бонитетним класама</w:t>
      </w:r>
      <w:r>
        <w:rPr>
          <w:b/>
          <w:bCs/>
          <w:sz w:val="18"/>
          <w:szCs w:val="18"/>
          <w:vertAlign w:val="superscript"/>
        </w:rPr>
        <w:footnoteReference w:id="75"/>
      </w:r>
    </w:p>
    <w:tbl>
      <w:tblPr>
        <w:tblStyle w:val="37"/>
        <w:tblW w:w="8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858"/>
        <w:gridCol w:w="659"/>
        <w:gridCol w:w="850"/>
        <w:gridCol w:w="651"/>
        <w:gridCol w:w="851"/>
        <w:gridCol w:w="651"/>
        <w:gridCol w:w="850"/>
        <w:gridCol w:w="651"/>
        <w:gridCol w:w="993"/>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268" w:type="dxa"/>
            <w:vMerge w:val="restart"/>
            <w:vAlign w:val="center"/>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Укупно пољоприв. земљиште</w:t>
            </w:r>
          </w:p>
        </w:tc>
        <w:tc>
          <w:tcPr>
            <w:tcW w:w="7666" w:type="dxa"/>
            <w:gridSpan w:val="10"/>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Бонитетна категорија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268" w:type="dxa"/>
            <w:vMerge w:val="continue"/>
          </w:tcPr>
          <w:p>
            <w:pPr>
              <w:spacing w:before="40" w:after="40"/>
              <w:jc w:val="both"/>
              <w:rPr>
                <w:rFonts w:eastAsia="Times New Roman" w:asciiTheme="minorHAnsi" w:hAnsiTheme="minorHAnsi"/>
                <w:bCs/>
                <w:kern w:val="32"/>
                <w:sz w:val="20"/>
                <w:szCs w:val="20"/>
              </w:rPr>
            </w:pPr>
          </w:p>
        </w:tc>
        <w:tc>
          <w:tcPr>
            <w:tcW w:w="1517" w:type="dxa"/>
            <w:gridSpan w:val="2"/>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I</w:t>
            </w:r>
          </w:p>
        </w:tc>
        <w:tc>
          <w:tcPr>
            <w:tcW w:w="1501" w:type="dxa"/>
            <w:gridSpan w:val="2"/>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II</w:t>
            </w:r>
          </w:p>
        </w:tc>
        <w:tc>
          <w:tcPr>
            <w:tcW w:w="1502" w:type="dxa"/>
            <w:gridSpan w:val="2"/>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III</w:t>
            </w:r>
          </w:p>
        </w:tc>
        <w:tc>
          <w:tcPr>
            <w:tcW w:w="1501" w:type="dxa"/>
            <w:gridSpan w:val="2"/>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IV</w:t>
            </w:r>
          </w:p>
        </w:tc>
        <w:tc>
          <w:tcPr>
            <w:tcW w:w="1645" w:type="dxa"/>
            <w:gridSpan w:val="2"/>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8"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ha</w:t>
            </w:r>
          </w:p>
        </w:tc>
        <w:tc>
          <w:tcPr>
            <w:tcW w:w="858"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ha</w:t>
            </w:r>
          </w:p>
        </w:tc>
        <w:tc>
          <w:tcPr>
            <w:tcW w:w="659"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w:t>
            </w:r>
          </w:p>
        </w:tc>
        <w:tc>
          <w:tcPr>
            <w:tcW w:w="850"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ha</w:t>
            </w:r>
          </w:p>
        </w:tc>
        <w:tc>
          <w:tcPr>
            <w:tcW w:w="651"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w:t>
            </w:r>
          </w:p>
        </w:tc>
        <w:tc>
          <w:tcPr>
            <w:tcW w:w="851"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ha</w:t>
            </w:r>
          </w:p>
        </w:tc>
        <w:tc>
          <w:tcPr>
            <w:tcW w:w="651"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w:t>
            </w:r>
          </w:p>
        </w:tc>
        <w:tc>
          <w:tcPr>
            <w:tcW w:w="850"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ha</w:t>
            </w:r>
          </w:p>
        </w:tc>
        <w:tc>
          <w:tcPr>
            <w:tcW w:w="651"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w:t>
            </w:r>
          </w:p>
        </w:tc>
        <w:tc>
          <w:tcPr>
            <w:tcW w:w="993"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ha</w:t>
            </w:r>
          </w:p>
        </w:tc>
        <w:tc>
          <w:tcPr>
            <w:tcW w:w="652"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8" w:type="dxa"/>
            <w:vAlign w:val="center"/>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48</w:t>
            </w:r>
            <w:r>
              <w:rPr>
                <w:rFonts w:eastAsia="Times New Roman" w:asciiTheme="minorHAnsi" w:hAnsiTheme="minorHAnsi"/>
                <w:bCs/>
                <w:kern w:val="32"/>
                <w:sz w:val="20"/>
                <w:szCs w:val="20"/>
                <w:lang w:val="hr-HR"/>
              </w:rPr>
              <w:t>.</w:t>
            </w:r>
            <w:r>
              <w:rPr>
                <w:rFonts w:eastAsia="Times New Roman" w:asciiTheme="minorHAnsi" w:hAnsiTheme="minorHAnsi"/>
                <w:bCs/>
                <w:kern w:val="32"/>
                <w:sz w:val="20"/>
                <w:szCs w:val="20"/>
              </w:rPr>
              <w:t>300</w:t>
            </w:r>
          </w:p>
        </w:tc>
        <w:tc>
          <w:tcPr>
            <w:tcW w:w="858" w:type="dxa"/>
            <w:vAlign w:val="center"/>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772,8</w:t>
            </w:r>
          </w:p>
        </w:tc>
        <w:tc>
          <w:tcPr>
            <w:tcW w:w="659"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1,6</w:t>
            </w:r>
          </w:p>
        </w:tc>
        <w:tc>
          <w:tcPr>
            <w:tcW w:w="850" w:type="dxa"/>
            <w:vAlign w:val="center"/>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869,4</w:t>
            </w:r>
          </w:p>
        </w:tc>
        <w:tc>
          <w:tcPr>
            <w:tcW w:w="651"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1,8</w:t>
            </w:r>
          </w:p>
        </w:tc>
        <w:tc>
          <w:tcPr>
            <w:tcW w:w="851" w:type="dxa"/>
            <w:vAlign w:val="center"/>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6</w:t>
            </w:r>
            <w:r>
              <w:rPr>
                <w:rFonts w:eastAsia="Times New Roman" w:asciiTheme="minorHAnsi" w:hAnsiTheme="minorHAnsi"/>
                <w:bCs/>
                <w:kern w:val="32"/>
                <w:sz w:val="20"/>
                <w:szCs w:val="20"/>
                <w:lang w:val="hr-HR"/>
              </w:rPr>
              <w:t>.</w:t>
            </w:r>
            <w:r>
              <w:rPr>
                <w:rFonts w:eastAsia="Times New Roman" w:asciiTheme="minorHAnsi" w:hAnsiTheme="minorHAnsi"/>
                <w:bCs/>
                <w:kern w:val="32"/>
                <w:sz w:val="20"/>
                <w:szCs w:val="20"/>
              </w:rPr>
              <w:t>520,5</w:t>
            </w:r>
          </w:p>
        </w:tc>
        <w:tc>
          <w:tcPr>
            <w:tcW w:w="651"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13,5</w:t>
            </w:r>
          </w:p>
        </w:tc>
        <w:tc>
          <w:tcPr>
            <w:tcW w:w="850" w:type="dxa"/>
            <w:vAlign w:val="center"/>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8</w:t>
            </w:r>
            <w:r>
              <w:rPr>
                <w:rFonts w:eastAsia="Times New Roman" w:asciiTheme="minorHAnsi" w:hAnsiTheme="minorHAnsi"/>
                <w:bCs/>
                <w:kern w:val="32"/>
                <w:sz w:val="20"/>
                <w:szCs w:val="20"/>
                <w:lang w:val="hr-HR"/>
              </w:rPr>
              <w:t>.</w:t>
            </w:r>
            <w:r>
              <w:rPr>
                <w:rFonts w:eastAsia="Times New Roman" w:asciiTheme="minorHAnsi" w:hAnsiTheme="minorHAnsi"/>
                <w:bCs/>
                <w:kern w:val="32"/>
                <w:sz w:val="20"/>
                <w:szCs w:val="20"/>
              </w:rPr>
              <w:t>887,2</w:t>
            </w:r>
          </w:p>
        </w:tc>
        <w:tc>
          <w:tcPr>
            <w:tcW w:w="651"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18,4</w:t>
            </w:r>
          </w:p>
        </w:tc>
        <w:tc>
          <w:tcPr>
            <w:tcW w:w="993" w:type="dxa"/>
            <w:vAlign w:val="center"/>
          </w:tcPr>
          <w:p>
            <w:pPr>
              <w:spacing w:before="40" w:after="40"/>
              <w:jc w:val="center"/>
              <w:rPr>
                <w:rFonts w:eastAsia="Times New Roman" w:asciiTheme="minorHAnsi" w:hAnsiTheme="minorHAnsi"/>
                <w:bCs/>
                <w:kern w:val="32"/>
                <w:sz w:val="20"/>
                <w:szCs w:val="20"/>
              </w:rPr>
            </w:pPr>
            <w:r>
              <w:rPr>
                <w:rFonts w:eastAsia="Times New Roman" w:asciiTheme="minorHAnsi" w:hAnsiTheme="minorHAnsi"/>
                <w:bCs/>
                <w:kern w:val="32"/>
                <w:sz w:val="20"/>
                <w:szCs w:val="20"/>
              </w:rPr>
              <w:t>31</w:t>
            </w:r>
            <w:r>
              <w:rPr>
                <w:rFonts w:eastAsia="Times New Roman" w:asciiTheme="minorHAnsi" w:hAnsiTheme="minorHAnsi"/>
                <w:bCs/>
                <w:kern w:val="32"/>
                <w:sz w:val="20"/>
                <w:szCs w:val="20"/>
                <w:lang w:val="hr-HR"/>
              </w:rPr>
              <w:t>.</w:t>
            </w:r>
            <w:r>
              <w:rPr>
                <w:rFonts w:eastAsia="Times New Roman" w:asciiTheme="minorHAnsi" w:hAnsiTheme="minorHAnsi"/>
                <w:bCs/>
                <w:kern w:val="32"/>
                <w:sz w:val="20"/>
                <w:szCs w:val="20"/>
              </w:rPr>
              <w:t>250,1</w:t>
            </w:r>
          </w:p>
        </w:tc>
        <w:tc>
          <w:tcPr>
            <w:tcW w:w="652" w:type="dxa"/>
            <w:vAlign w:val="center"/>
          </w:tcPr>
          <w:p>
            <w:pPr>
              <w:spacing w:before="40" w:after="40"/>
              <w:jc w:val="center"/>
              <w:rPr>
                <w:rFonts w:eastAsia="Times New Roman" w:asciiTheme="minorHAnsi" w:hAnsiTheme="minorHAnsi"/>
                <w:bCs/>
                <w:kern w:val="32"/>
                <w:sz w:val="20"/>
                <w:szCs w:val="20"/>
                <w:lang w:val="hr-HR"/>
              </w:rPr>
            </w:pPr>
            <w:r>
              <w:rPr>
                <w:rFonts w:eastAsia="Times New Roman" w:asciiTheme="minorHAnsi" w:hAnsiTheme="minorHAnsi"/>
                <w:bCs/>
                <w:kern w:val="32"/>
                <w:sz w:val="20"/>
                <w:szCs w:val="20"/>
                <w:lang w:val="hr-HR"/>
              </w:rPr>
              <w:t>64,7</w:t>
            </w:r>
          </w:p>
        </w:tc>
      </w:tr>
    </w:tbl>
    <w:p>
      <w:pPr>
        <w:spacing w:before="120" w:after="120"/>
        <w:jc w:val="both"/>
        <w:rPr>
          <w:rFonts w:eastAsia="Times New Roman" w:asciiTheme="minorHAnsi" w:hAnsiTheme="minorHAnsi"/>
          <w:bCs/>
          <w:kern w:val="32"/>
        </w:rPr>
      </w:pPr>
      <w:r>
        <w:rPr>
          <w:rFonts w:eastAsia="Times New Roman" w:asciiTheme="minorHAnsi" w:hAnsiTheme="minorHAnsi"/>
          <w:bCs/>
          <w:kern w:val="32"/>
        </w:rPr>
        <w:t>Промјена намјене пољопривредног земљишта I до IV бонитетне класе у</w:t>
      </w:r>
      <w:r>
        <w:rPr>
          <w:rFonts w:eastAsia="Times New Roman" w:asciiTheme="minorHAnsi" w:hAnsiTheme="minorHAnsi"/>
          <w:bCs/>
          <w:kern w:val="32"/>
          <w:lang w:val="bs-Latn-BA"/>
        </w:rPr>
        <w:t xml:space="preserve"> </w:t>
      </w:r>
      <w:r>
        <w:rPr>
          <w:rFonts w:eastAsia="Times New Roman" w:asciiTheme="minorHAnsi" w:hAnsiTheme="minorHAnsi"/>
          <w:bCs/>
          <w:kern w:val="32"/>
        </w:rPr>
        <w:t>непољопривредне сврхе врши се на основу спроведбених докумената просторног уређења и</w:t>
      </w:r>
      <w:r>
        <w:rPr>
          <w:rFonts w:eastAsia="Times New Roman" w:asciiTheme="minorHAnsi" w:hAnsiTheme="minorHAnsi"/>
          <w:bCs/>
          <w:kern w:val="32"/>
          <w:lang w:val="bs-Latn-BA"/>
        </w:rPr>
        <w:t xml:space="preserve"> </w:t>
      </w:r>
      <w:r>
        <w:rPr>
          <w:rFonts w:eastAsia="Times New Roman" w:asciiTheme="minorHAnsi" w:hAnsiTheme="minorHAnsi"/>
          <w:bCs/>
          <w:kern w:val="32"/>
        </w:rPr>
        <w:t>локацијских услова. Обзиром да је присутан тренд контину</w:t>
      </w:r>
      <w:r>
        <w:rPr>
          <w:rFonts w:eastAsia="Times New Roman" w:asciiTheme="minorHAnsi" w:hAnsiTheme="minorHAnsi"/>
          <w:bCs/>
          <w:kern w:val="32"/>
          <w:lang w:val="sr-Cyrl-CS"/>
        </w:rPr>
        <w:t>ираног</w:t>
      </w:r>
      <w:r>
        <w:rPr>
          <w:rFonts w:eastAsia="Times New Roman" w:asciiTheme="minorHAnsi" w:hAnsiTheme="minorHAnsi"/>
          <w:bCs/>
          <w:kern w:val="32"/>
        </w:rPr>
        <w:t xml:space="preserve"> смањења површина под пољопривредним земљиштем</w:t>
      </w:r>
      <w:r>
        <w:rPr>
          <w:rFonts w:eastAsia="Times New Roman" w:asciiTheme="minorHAnsi" w:hAnsiTheme="minorHAnsi"/>
          <w:bCs/>
          <w:kern w:val="32"/>
          <w:lang w:val="bs-Latn-BA"/>
        </w:rPr>
        <w:t xml:space="preserve"> </w:t>
      </w:r>
      <w:r>
        <w:rPr>
          <w:rFonts w:eastAsia="Times New Roman" w:asciiTheme="minorHAnsi" w:hAnsiTheme="minorHAnsi"/>
          <w:bCs/>
          <w:kern w:val="32"/>
        </w:rPr>
        <w:t>усљед интензивног превођења у непољопривредно (грађевинско) земљиште</w:t>
      </w:r>
      <w:r>
        <w:rPr>
          <w:rFonts w:eastAsia="Times New Roman" w:asciiTheme="minorHAnsi" w:hAnsiTheme="minorHAnsi"/>
          <w:bCs/>
          <w:kern w:val="32"/>
          <w:lang w:val="sr-Cyrl-CS"/>
        </w:rPr>
        <w:t>,</w:t>
      </w:r>
      <w:r>
        <w:rPr>
          <w:rFonts w:eastAsia="Times New Roman" w:asciiTheme="minorHAnsi" w:hAnsiTheme="minorHAnsi"/>
          <w:bCs/>
          <w:kern w:val="32"/>
        </w:rPr>
        <w:t xml:space="preserve"> потребно је предузети</w:t>
      </w:r>
      <w:r>
        <w:rPr>
          <w:rFonts w:eastAsia="Times New Roman" w:asciiTheme="minorHAnsi" w:hAnsiTheme="minorHAnsi"/>
          <w:bCs/>
          <w:kern w:val="32"/>
          <w:lang w:val="bs-Latn-BA"/>
        </w:rPr>
        <w:t xml:space="preserve"> </w:t>
      </w:r>
      <w:r>
        <w:rPr>
          <w:rFonts w:eastAsia="Times New Roman" w:asciiTheme="minorHAnsi" w:hAnsiTheme="minorHAnsi"/>
          <w:bCs/>
          <w:kern w:val="32"/>
        </w:rPr>
        <w:t>све мјере како би се исте очувале.</w:t>
      </w:r>
      <w:r>
        <w:rPr>
          <w:rFonts w:eastAsia="Times New Roman" w:asciiTheme="minorHAnsi" w:hAnsiTheme="minorHAnsi"/>
          <w:bCs/>
          <w:kern w:val="32"/>
          <w:vertAlign w:val="superscript"/>
        </w:rPr>
        <w:footnoteReference w:id="76"/>
      </w:r>
    </w:p>
    <w:p>
      <w:pPr>
        <w:spacing w:before="120" w:after="120"/>
        <w:jc w:val="both"/>
        <w:rPr>
          <w:rFonts w:asciiTheme="minorHAnsi" w:hAnsiTheme="minorHAnsi"/>
          <w:bCs/>
          <w:kern w:val="32"/>
          <w:lang w:val="sr-Cyrl-CS"/>
        </w:rPr>
      </w:pPr>
      <w:r>
        <w:rPr>
          <w:rFonts w:eastAsia="Times New Roman" w:asciiTheme="minorHAnsi" w:hAnsiTheme="minorHAnsi"/>
          <w:bCs/>
          <w:kern w:val="32"/>
        </w:rPr>
        <w:t>Основни проблеми очувања квалитета и заштите земљишта</w:t>
      </w:r>
      <w:r>
        <w:rPr>
          <w:rFonts w:eastAsia="Times New Roman" w:asciiTheme="minorHAnsi" w:hAnsiTheme="minorHAnsi"/>
          <w:bCs/>
          <w:kern w:val="32"/>
          <w:lang w:val="bs-Latn-BA"/>
        </w:rPr>
        <w:t xml:space="preserve"> </w:t>
      </w:r>
      <w:r>
        <w:rPr>
          <w:rFonts w:eastAsia="Times New Roman" w:asciiTheme="minorHAnsi" w:hAnsiTheme="minorHAnsi"/>
          <w:bCs/>
          <w:kern w:val="32"/>
        </w:rPr>
        <w:t>су</w:t>
      </w:r>
      <w:r>
        <w:rPr>
          <w:rFonts w:eastAsia="Times New Roman" w:asciiTheme="minorHAnsi" w:hAnsiTheme="minorHAnsi"/>
          <w:bCs/>
          <w:kern w:val="32"/>
          <w:vertAlign w:val="superscript"/>
        </w:rPr>
        <w:footnoteReference w:id="77"/>
      </w:r>
      <w:r>
        <w:rPr>
          <w:rFonts w:eastAsia="Times New Roman" w:asciiTheme="minorHAnsi" w:hAnsiTheme="minorHAnsi"/>
          <w:bCs/>
          <w:kern w:val="32"/>
        </w:rPr>
        <w:t>:</w:t>
      </w:r>
      <w:r>
        <w:rPr>
          <w:rFonts w:eastAsia="Times New Roman" w:asciiTheme="minorHAnsi" w:hAnsiTheme="minorHAnsi"/>
          <w:bCs/>
          <w:kern w:val="32"/>
          <w:lang w:val="sr-Cyrl-RS"/>
        </w:rPr>
        <w:t xml:space="preserve"> у</w:t>
      </w:r>
      <w:r>
        <w:rPr>
          <w:rFonts w:asciiTheme="minorHAnsi" w:hAnsiTheme="minorHAnsi"/>
          <w:bCs/>
          <w:kern w:val="32"/>
        </w:rPr>
        <w:t>брзано ширење градског подручја чиме се квалитетно пољопривредно земљиште претвара у грађевинско, што доводи до деградације и загађења земљишта</w:t>
      </w:r>
      <w:r>
        <w:rPr>
          <w:rFonts w:asciiTheme="minorHAnsi" w:hAnsiTheme="minorHAnsi"/>
          <w:bCs/>
          <w:kern w:val="32"/>
          <w:lang w:val="sr-Cyrl-RS"/>
        </w:rPr>
        <w:t>; повећано</w:t>
      </w:r>
      <w:r>
        <w:rPr>
          <w:rFonts w:asciiTheme="minorHAnsi" w:hAnsiTheme="minorHAnsi"/>
          <w:bCs/>
          <w:kern w:val="32"/>
        </w:rPr>
        <w:t xml:space="preserve"> </w:t>
      </w:r>
      <w:r>
        <w:rPr>
          <w:rFonts w:asciiTheme="minorHAnsi" w:hAnsiTheme="minorHAnsi"/>
          <w:bCs/>
          <w:kern w:val="32"/>
          <w:lang w:val="sr-Cyrl-RS"/>
        </w:rPr>
        <w:t>коришћење</w:t>
      </w:r>
      <w:r>
        <w:rPr>
          <w:rFonts w:asciiTheme="minorHAnsi" w:hAnsiTheme="minorHAnsi"/>
          <w:bCs/>
          <w:kern w:val="32"/>
        </w:rPr>
        <w:t xml:space="preserve"> </w:t>
      </w:r>
      <w:r>
        <w:rPr>
          <w:rFonts w:asciiTheme="minorHAnsi" w:hAnsiTheme="minorHAnsi"/>
          <w:bCs/>
          <w:kern w:val="32"/>
          <w:lang w:val="sr-Cyrl-RS"/>
        </w:rPr>
        <w:t>хемијских</w:t>
      </w:r>
      <w:r>
        <w:rPr>
          <w:rFonts w:asciiTheme="minorHAnsi" w:hAnsiTheme="minorHAnsi"/>
          <w:bCs/>
          <w:kern w:val="32"/>
        </w:rPr>
        <w:t xml:space="preserve"> </w:t>
      </w:r>
      <w:r>
        <w:rPr>
          <w:rFonts w:asciiTheme="minorHAnsi" w:hAnsiTheme="minorHAnsi"/>
          <w:bCs/>
          <w:kern w:val="32"/>
          <w:lang w:val="sr-Cyrl-RS"/>
        </w:rPr>
        <w:t>средстава</w:t>
      </w:r>
      <w:r>
        <w:rPr>
          <w:rFonts w:asciiTheme="minorHAnsi" w:hAnsiTheme="minorHAnsi"/>
          <w:bCs/>
          <w:kern w:val="32"/>
        </w:rPr>
        <w:t xml:space="preserve"> </w:t>
      </w:r>
      <w:r>
        <w:rPr>
          <w:rFonts w:asciiTheme="minorHAnsi" w:hAnsiTheme="minorHAnsi"/>
          <w:bCs/>
          <w:kern w:val="32"/>
          <w:lang w:val="sr-Cyrl-RS"/>
        </w:rPr>
        <w:t>у</w:t>
      </w:r>
      <w:r>
        <w:rPr>
          <w:rFonts w:asciiTheme="minorHAnsi" w:hAnsiTheme="minorHAnsi"/>
          <w:bCs/>
          <w:kern w:val="32"/>
        </w:rPr>
        <w:t xml:space="preserve"> </w:t>
      </w:r>
      <w:r>
        <w:rPr>
          <w:rFonts w:asciiTheme="minorHAnsi" w:hAnsiTheme="minorHAnsi"/>
          <w:bCs/>
          <w:kern w:val="32"/>
          <w:lang w:val="sr-Cyrl-RS"/>
        </w:rPr>
        <w:t>пољопривредној</w:t>
      </w:r>
      <w:r>
        <w:rPr>
          <w:rFonts w:asciiTheme="minorHAnsi" w:hAnsiTheme="minorHAnsi"/>
          <w:bCs/>
          <w:kern w:val="32"/>
        </w:rPr>
        <w:t xml:space="preserve"> </w:t>
      </w:r>
      <w:r>
        <w:rPr>
          <w:rFonts w:asciiTheme="minorHAnsi" w:hAnsiTheme="minorHAnsi"/>
          <w:bCs/>
          <w:kern w:val="32"/>
          <w:lang w:val="sr-Cyrl-RS"/>
        </w:rPr>
        <w:t>производњи; н</w:t>
      </w:r>
      <w:r>
        <w:rPr>
          <w:rFonts w:asciiTheme="minorHAnsi" w:hAnsiTheme="minorHAnsi"/>
          <w:bCs/>
          <w:kern w:val="32"/>
        </w:rPr>
        <w:t>едостатак средстава за правилну гнојидбу у пољопривреди, недостатак стручне примјене</w:t>
      </w:r>
      <w:r>
        <w:rPr>
          <w:rFonts w:asciiTheme="minorHAnsi" w:hAnsiTheme="minorHAnsi"/>
          <w:bCs/>
          <w:kern w:val="32"/>
          <w:lang w:val="sr-Cyrl-CS"/>
        </w:rPr>
        <w:t xml:space="preserve"> </w:t>
      </w:r>
      <w:r>
        <w:rPr>
          <w:rFonts w:asciiTheme="minorHAnsi" w:hAnsiTheme="minorHAnsi"/>
          <w:bCs/>
          <w:kern w:val="32"/>
        </w:rPr>
        <w:t>пестицида на приватним пољопривредним парцелама</w:t>
      </w:r>
      <w:r>
        <w:rPr>
          <w:rFonts w:asciiTheme="minorHAnsi" w:hAnsiTheme="minorHAnsi"/>
          <w:bCs/>
          <w:kern w:val="32"/>
          <w:lang w:val="sr-Cyrl-RS"/>
        </w:rPr>
        <w:t>; органски</w:t>
      </w:r>
      <w:r>
        <w:rPr>
          <w:rFonts w:asciiTheme="minorHAnsi" w:hAnsiTheme="minorHAnsi"/>
          <w:bCs/>
          <w:kern w:val="32"/>
        </w:rPr>
        <w:t xml:space="preserve"> </w:t>
      </w:r>
      <w:r>
        <w:rPr>
          <w:rFonts w:asciiTheme="minorHAnsi" w:hAnsiTheme="minorHAnsi"/>
          <w:bCs/>
          <w:kern w:val="32"/>
          <w:lang w:val="sr-Cyrl-RS"/>
        </w:rPr>
        <w:t>спојеви</w:t>
      </w:r>
      <w:r>
        <w:rPr>
          <w:rFonts w:asciiTheme="minorHAnsi" w:hAnsiTheme="minorHAnsi"/>
          <w:bCs/>
          <w:kern w:val="32"/>
        </w:rPr>
        <w:t xml:space="preserve"> </w:t>
      </w:r>
      <w:r>
        <w:rPr>
          <w:rFonts w:asciiTheme="minorHAnsi" w:hAnsiTheme="minorHAnsi"/>
          <w:bCs/>
          <w:kern w:val="32"/>
          <w:lang w:val="sr-Cyrl-RS"/>
        </w:rPr>
        <w:t>из</w:t>
      </w:r>
      <w:r>
        <w:rPr>
          <w:rFonts w:asciiTheme="minorHAnsi" w:hAnsiTheme="minorHAnsi"/>
          <w:bCs/>
          <w:kern w:val="32"/>
        </w:rPr>
        <w:t xml:space="preserve"> </w:t>
      </w:r>
      <w:r>
        <w:rPr>
          <w:rFonts w:asciiTheme="minorHAnsi" w:hAnsiTheme="minorHAnsi"/>
          <w:bCs/>
          <w:kern w:val="32"/>
          <w:lang w:val="sr-Cyrl-RS"/>
        </w:rPr>
        <w:t>пољопривреде</w:t>
      </w:r>
      <w:r>
        <w:rPr>
          <w:rFonts w:asciiTheme="minorHAnsi" w:hAnsiTheme="minorHAnsi"/>
          <w:bCs/>
          <w:kern w:val="32"/>
        </w:rPr>
        <w:t xml:space="preserve">, </w:t>
      </w:r>
      <w:r>
        <w:rPr>
          <w:rFonts w:asciiTheme="minorHAnsi" w:hAnsiTheme="minorHAnsi"/>
          <w:bCs/>
          <w:kern w:val="32"/>
          <w:lang w:val="sr-Cyrl-RS"/>
        </w:rPr>
        <w:t>пољопривредне</w:t>
      </w:r>
      <w:r>
        <w:rPr>
          <w:rFonts w:asciiTheme="minorHAnsi" w:hAnsiTheme="minorHAnsi"/>
          <w:bCs/>
          <w:kern w:val="32"/>
        </w:rPr>
        <w:t xml:space="preserve"> </w:t>
      </w:r>
      <w:r>
        <w:rPr>
          <w:rFonts w:asciiTheme="minorHAnsi" w:hAnsiTheme="minorHAnsi"/>
          <w:bCs/>
          <w:kern w:val="32"/>
          <w:lang w:val="sr-Cyrl-RS"/>
        </w:rPr>
        <w:t>индустрије</w:t>
      </w:r>
      <w:r>
        <w:rPr>
          <w:rFonts w:asciiTheme="minorHAnsi" w:hAnsiTheme="minorHAnsi"/>
          <w:bCs/>
          <w:kern w:val="32"/>
        </w:rPr>
        <w:t xml:space="preserve"> </w:t>
      </w:r>
      <w:r>
        <w:rPr>
          <w:rFonts w:asciiTheme="minorHAnsi" w:hAnsiTheme="minorHAnsi"/>
          <w:bCs/>
          <w:kern w:val="32"/>
          <w:lang w:val="sr-Cyrl-RS"/>
        </w:rPr>
        <w:t>и</w:t>
      </w:r>
      <w:r>
        <w:rPr>
          <w:rFonts w:asciiTheme="minorHAnsi" w:hAnsiTheme="minorHAnsi"/>
          <w:bCs/>
          <w:kern w:val="32"/>
        </w:rPr>
        <w:t xml:space="preserve"> </w:t>
      </w:r>
      <w:r>
        <w:rPr>
          <w:rFonts w:asciiTheme="minorHAnsi" w:hAnsiTheme="minorHAnsi"/>
          <w:bCs/>
          <w:kern w:val="32"/>
          <w:lang w:val="sr-Cyrl-RS"/>
        </w:rPr>
        <w:t>индустрије</w:t>
      </w:r>
      <w:r>
        <w:rPr>
          <w:rFonts w:asciiTheme="minorHAnsi" w:hAnsiTheme="minorHAnsi"/>
          <w:bCs/>
          <w:kern w:val="32"/>
        </w:rPr>
        <w:t xml:space="preserve"> </w:t>
      </w:r>
      <w:r>
        <w:rPr>
          <w:rFonts w:asciiTheme="minorHAnsi" w:hAnsiTheme="minorHAnsi"/>
          <w:bCs/>
          <w:kern w:val="32"/>
          <w:lang w:val="sr-Cyrl-RS"/>
        </w:rPr>
        <w:t>органских</w:t>
      </w:r>
      <w:r>
        <w:rPr>
          <w:rFonts w:asciiTheme="minorHAnsi" w:hAnsiTheme="minorHAnsi"/>
          <w:bCs/>
          <w:kern w:val="32"/>
          <w:lang w:val="bs-Latn-BA"/>
        </w:rPr>
        <w:t xml:space="preserve"> </w:t>
      </w:r>
      <w:r>
        <w:rPr>
          <w:rFonts w:asciiTheme="minorHAnsi" w:hAnsiTheme="minorHAnsi"/>
          <w:bCs/>
          <w:kern w:val="32"/>
          <w:lang w:val="sr-Cyrl-RS"/>
        </w:rPr>
        <w:t>производа</w:t>
      </w:r>
      <w:r>
        <w:rPr>
          <w:rFonts w:asciiTheme="minorHAnsi" w:hAnsiTheme="minorHAnsi"/>
          <w:bCs/>
          <w:kern w:val="32"/>
        </w:rPr>
        <w:t>,</w:t>
      </w:r>
      <w:r>
        <w:rPr>
          <w:rFonts w:asciiTheme="minorHAnsi" w:hAnsiTheme="minorHAnsi"/>
          <w:bCs/>
          <w:kern w:val="32"/>
          <w:lang w:val="sr-Cyrl-RS"/>
        </w:rPr>
        <w:t xml:space="preserve"> н</w:t>
      </w:r>
      <w:r>
        <w:rPr>
          <w:rFonts w:asciiTheme="minorHAnsi" w:hAnsiTheme="minorHAnsi"/>
          <w:bCs/>
          <w:kern w:val="32"/>
        </w:rPr>
        <w:t>еуређени водотоци и каналска инфраструктура, плављење тла,</w:t>
      </w:r>
      <w:r>
        <w:rPr>
          <w:rFonts w:asciiTheme="minorHAnsi" w:hAnsiTheme="minorHAnsi"/>
          <w:bCs/>
          <w:kern w:val="32"/>
          <w:lang w:val="sr-Cyrl-RS"/>
        </w:rPr>
        <w:t xml:space="preserve"> н</w:t>
      </w:r>
      <w:r>
        <w:rPr>
          <w:rFonts w:asciiTheme="minorHAnsi" w:hAnsiTheme="minorHAnsi"/>
          <w:bCs/>
          <w:kern w:val="32"/>
        </w:rPr>
        <w:t xml:space="preserve">епостојање континуираног и системског мониторинга земљишта на територији града </w:t>
      </w:r>
      <w:r>
        <w:rPr>
          <w:rFonts w:asciiTheme="minorHAnsi" w:hAnsiTheme="minorHAnsi"/>
          <w:bCs/>
          <w:kern w:val="32"/>
          <w:lang w:val="sr-Cyrl-RS"/>
        </w:rPr>
        <w:t>Б</w:t>
      </w:r>
      <w:r>
        <w:rPr>
          <w:rFonts w:asciiTheme="minorHAnsi" w:hAnsiTheme="minorHAnsi"/>
          <w:bCs/>
          <w:kern w:val="32"/>
        </w:rPr>
        <w:t xml:space="preserve">ања </w:t>
      </w:r>
      <w:r>
        <w:rPr>
          <w:rFonts w:asciiTheme="minorHAnsi" w:hAnsiTheme="minorHAnsi"/>
          <w:bCs/>
          <w:kern w:val="32"/>
          <w:lang w:val="sr-Cyrl-RS"/>
        </w:rPr>
        <w:t>Л</w:t>
      </w:r>
      <w:r>
        <w:rPr>
          <w:rFonts w:asciiTheme="minorHAnsi" w:hAnsiTheme="minorHAnsi"/>
          <w:bCs/>
          <w:kern w:val="32"/>
        </w:rPr>
        <w:t>ука</w:t>
      </w:r>
      <w:r>
        <w:rPr>
          <w:rFonts w:asciiTheme="minorHAnsi" w:hAnsiTheme="minorHAnsi"/>
          <w:bCs/>
          <w:kern w:val="32"/>
          <w:lang w:val="sr-Cyrl-RS"/>
        </w:rPr>
        <w:t xml:space="preserve"> и н</w:t>
      </w:r>
      <w:bookmarkStart w:id="79" w:name="_Toc526761916"/>
      <w:bookmarkStart w:id="80" w:name="_Toc500506484"/>
      <w:r>
        <w:rPr>
          <w:rFonts w:asciiTheme="minorHAnsi" w:hAnsiTheme="minorHAnsi"/>
          <w:bCs/>
          <w:kern w:val="32"/>
        </w:rPr>
        <w:t>епровођење закона.</w:t>
      </w:r>
    </w:p>
    <w:p>
      <w:pPr>
        <w:spacing w:before="120" w:after="120"/>
        <w:jc w:val="both"/>
        <w:rPr>
          <w:rFonts w:asciiTheme="minorHAnsi" w:hAnsiTheme="minorHAnsi"/>
          <w:bCs/>
          <w:kern w:val="32"/>
          <w:lang w:val="sr-Cyrl-CS"/>
        </w:rPr>
      </w:pPr>
    </w:p>
    <w:p>
      <w:pPr>
        <w:keepNext/>
        <w:keepLines/>
        <w:spacing w:before="200"/>
        <w:ind w:left="426"/>
        <w:outlineLvl w:val="3"/>
        <w:rPr>
          <w:rFonts w:eastAsia="Times New Roman" w:asciiTheme="minorHAnsi" w:hAnsiTheme="minorHAnsi" w:cstheme="minorHAnsi"/>
          <w:b/>
          <w:bCs/>
          <w:i/>
          <w:iCs/>
          <w:lang w:val="sr-Cyrl-CS"/>
        </w:rPr>
      </w:pPr>
      <w:r>
        <w:rPr>
          <w:rFonts w:eastAsia="Times New Roman" w:asciiTheme="minorHAnsi" w:hAnsiTheme="minorHAnsi" w:cstheme="minorHAnsi"/>
          <w:b/>
          <w:bCs/>
          <w:i/>
          <w:iCs/>
          <w:lang w:val="hr-HR"/>
        </w:rPr>
        <w:t>IV.1.7.4. Стање шумских екосистема</w:t>
      </w:r>
      <w:bookmarkEnd w:id="79"/>
      <w:bookmarkEnd w:id="80"/>
    </w:p>
    <w:p>
      <w:pPr>
        <w:spacing w:before="120" w:after="120"/>
        <w:jc w:val="both"/>
        <w:rPr>
          <w:rFonts w:eastAsia="Times New Roman"/>
          <w:bCs/>
          <w:kern w:val="32"/>
        </w:rPr>
      </w:pPr>
      <w:r>
        <w:rPr>
          <w:rFonts w:eastAsia="Times New Roman"/>
          <w:bCs/>
          <w:kern w:val="32"/>
        </w:rPr>
        <w:t xml:space="preserve">Град Бања Лука је изузетно богата квалитетним шумама, које заузимају површине </w:t>
      </w:r>
      <w:r>
        <w:rPr>
          <w:rFonts w:eastAsia="Times New Roman"/>
          <w:bCs/>
          <w:kern w:val="32"/>
          <w:lang w:val="sr-Cyrl-RS"/>
        </w:rPr>
        <w:t>од</w:t>
      </w:r>
      <w:r>
        <w:rPr>
          <w:rFonts w:eastAsia="Times New Roman"/>
          <w:bCs/>
          <w:kern w:val="32"/>
        </w:rPr>
        <w:t xml:space="preserve"> </w:t>
      </w:r>
      <w:r>
        <w:rPr>
          <w:rFonts w:eastAsia="Times New Roman"/>
          <w:bCs/>
          <w:kern w:val="32"/>
          <w:lang w:val="sr-Cyrl-RS"/>
        </w:rPr>
        <w:t>62</w:t>
      </w:r>
      <w:r>
        <w:rPr>
          <w:rFonts w:eastAsia="Times New Roman"/>
          <w:bCs/>
          <w:kern w:val="32"/>
        </w:rPr>
        <w:t>.</w:t>
      </w:r>
      <w:r>
        <w:rPr>
          <w:rFonts w:eastAsia="Times New Roman"/>
          <w:bCs/>
          <w:kern w:val="32"/>
          <w:lang w:val="sr-Cyrl-RS"/>
        </w:rPr>
        <w:t>799,15</w:t>
      </w:r>
      <w:r>
        <w:rPr>
          <w:rFonts w:eastAsia="Times New Roman"/>
          <w:bCs/>
          <w:kern w:val="32"/>
        </w:rPr>
        <w:t xml:space="preserve"> ha. У структури</w:t>
      </w:r>
      <w:r>
        <w:rPr>
          <w:rFonts w:eastAsia="Times New Roman"/>
          <w:bCs/>
          <w:kern w:val="32"/>
          <w:lang w:val="sr-Cyrl-RS"/>
        </w:rPr>
        <w:t xml:space="preserve"> </w:t>
      </w:r>
      <w:r>
        <w:rPr>
          <w:rFonts w:eastAsia="Times New Roman"/>
          <w:bCs/>
          <w:kern w:val="32"/>
        </w:rPr>
        <w:t>власништва,</w:t>
      </w:r>
      <w:r>
        <w:rPr>
          <w:rFonts w:eastAsia="Times New Roman"/>
          <w:bCs/>
          <w:kern w:val="32"/>
          <w:lang w:val="sr-Cyrl-RS"/>
        </w:rPr>
        <w:t xml:space="preserve"> </w:t>
      </w:r>
      <w:r>
        <w:rPr>
          <w:rFonts w:eastAsia="Times New Roman"/>
          <w:bCs/>
          <w:kern w:val="32"/>
        </w:rPr>
        <w:t xml:space="preserve">шумски фонд у државном власништву доминира са </w:t>
      </w:r>
      <w:r>
        <w:rPr>
          <w:rFonts w:eastAsia="Times New Roman"/>
          <w:bCs/>
          <w:kern w:val="32"/>
          <w:lang w:val="sr-Cyrl-RS"/>
        </w:rPr>
        <w:t>72</w:t>
      </w:r>
      <w:r>
        <w:rPr>
          <w:rFonts w:eastAsia="Times New Roman"/>
          <w:bCs/>
          <w:kern w:val="32"/>
        </w:rPr>
        <w:t>% (</w:t>
      </w:r>
      <w:r>
        <w:rPr>
          <w:rFonts w:eastAsia="Times New Roman"/>
          <w:bCs/>
          <w:kern w:val="32"/>
          <w:lang w:val="sr-Cyrl-RS"/>
        </w:rPr>
        <w:t>45.521,95</w:t>
      </w:r>
      <w:r>
        <w:rPr>
          <w:rFonts w:eastAsia="Times New Roman"/>
          <w:bCs/>
          <w:kern w:val="32"/>
          <w:lang w:val="bs-Latn-BA"/>
        </w:rPr>
        <w:t xml:space="preserve"> </w:t>
      </w:r>
      <w:r>
        <w:rPr>
          <w:rFonts w:eastAsia="Times New Roman"/>
          <w:bCs/>
          <w:kern w:val="32"/>
        </w:rPr>
        <w:t>ha)</w:t>
      </w:r>
      <w:r>
        <w:rPr>
          <w:rFonts w:eastAsia="Times New Roman"/>
          <w:bCs/>
          <w:kern w:val="32"/>
          <w:lang w:val="sr-Cyrl-RS"/>
        </w:rPr>
        <w:t xml:space="preserve"> </w:t>
      </w:r>
      <w:r>
        <w:rPr>
          <w:rFonts w:eastAsia="Times New Roman"/>
          <w:bCs/>
          <w:kern w:val="32"/>
        </w:rPr>
        <w:t xml:space="preserve">док приватне шуме заузимају </w:t>
      </w:r>
      <w:r>
        <w:rPr>
          <w:rFonts w:eastAsia="Times New Roman"/>
          <w:bCs/>
          <w:kern w:val="32"/>
          <w:lang w:val="sr-Cyrl-RS"/>
        </w:rPr>
        <w:t>ок 28</w:t>
      </w:r>
      <w:r>
        <w:rPr>
          <w:rFonts w:eastAsia="Times New Roman"/>
          <w:bCs/>
          <w:kern w:val="32"/>
        </w:rPr>
        <w:t>% (</w:t>
      </w:r>
      <w:r>
        <w:rPr>
          <w:rFonts w:eastAsia="Times New Roman"/>
          <w:bCs/>
          <w:kern w:val="32"/>
          <w:lang w:val="sr-Cyrl-RS"/>
        </w:rPr>
        <w:t>17.277</w:t>
      </w:r>
      <w:r>
        <w:rPr>
          <w:rFonts w:eastAsia="Times New Roman"/>
          <w:bCs/>
          <w:kern w:val="32"/>
        </w:rPr>
        <w:t>ha) укупног шумског фонда.</w:t>
      </w:r>
      <w:r>
        <w:rPr>
          <w:rFonts w:eastAsia="Times New Roman"/>
          <w:bCs/>
          <w:kern w:val="32"/>
          <w:vertAlign w:val="superscript"/>
        </w:rPr>
        <w:footnoteReference w:id="78"/>
      </w:r>
    </w:p>
    <w:p>
      <w:pPr>
        <w:spacing w:before="120" w:after="120"/>
        <w:jc w:val="both"/>
        <w:rPr>
          <w:rFonts w:eastAsia="Times New Roman"/>
          <w:bCs/>
          <w:kern w:val="32"/>
        </w:rPr>
      </w:pPr>
      <w:r>
        <w:rPr>
          <w:rFonts w:eastAsia="Times New Roman"/>
          <w:bCs/>
          <w:kern w:val="32"/>
        </w:rPr>
        <w:t>Шумама и шумским земљиштем у државном власништву газдује ЈП „Шуме Републике</w:t>
      </w:r>
      <w:r>
        <w:rPr>
          <w:rFonts w:eastAsia="Times New Roman"/>
          <w:bCs/>
          <w:kern w:val="32"/>
          <w:lang w:val="bs-Latn-BA"/>
        </w:rPr>
        <w:t xml:space="preserve"> </w:t>
      </w:r>
      <w:r>
        <w:rPr>
          <w:rFonts w:eastAsia="Times New Roman"/>
          <w:bCs/>
          <w:kern w:val="32"/>
        </w:rPr>
        <w:t>Српске“ преко ШГ “Бања Лука“, а на темељу Закона о шумама, док са приватним</w:t>
      </w:r>
      <w:r>
        <w:rPr>
          <w:rFonts w:eastAsia="Times New Roman"/>
          <w:bCs/>
          <w:kern w:val="32"/>
          <w:lang w:val="bs-Latn-BA"/>
        </w:rPr>
        <w:t xml:space="preserve"> </w:t>
      </w:r>
      <w:r>
        <w:rPr>
          <w:rFonts w:eastAsia="Times New Roman"/>
          <w:bCs/>
          <w:kern w:val="32"/>
        </w:rPr>
        <w:t>шумама газдују њихови власници. Стручне и управне послове у приватним шумама</w:t>
      </w:r>
      <w:r>
        <w:rPr>
          <w:rFonts w:eastAsia="Times New Roman"/>
          <w:bCs/>
          <w:kern w:val="32"/>
          <w:lang w:val="bs-Latn-BA"/>
        </w:rPr>
        <w:t xml:space="preserve"> </w:t>
      </w:r>
      <w:r>
        <w:rPr>
          <w:rFonts w:eastAsia="Times New Roman"/>
          <w:bCs/>
          <w:kern w:val="32"/>
        </w:rPr>
        <w:t>такође врши ЈП „Шуме Републике Српске“.</w:t>
      </w:r>
    </w:p>
    <w:p>
      <w:pPr>
        <w:spacing w:before="120" w:after="120"/>
        <w:jc w:val="both"/>
        <w:rPr>
          <w:rFonts w:eastAsia="Times New Roman"/>
          <w:bCs/>
          <w:kern w:val="32"/>
        </w:rPr>
      </w:pPr>
      <w:r>
        <w:rPr>
          <w:rFonts w:eastAsia="Times New Roman"/>
          <w:bCs/>
          <w:kern w:val="32"/>
        </w:rPr>
        <w:t>Широко бањалучко подручје припада зони храста китњака и обичног граба (</w:t>
      </w:r>
      <w:r>
        <w:rPr>
          <w:rFonts w:eastAsia="Times New Roman"/>
          <w:bCs/>
          <w:i/>
          <w:kern w:val="32"/>
        </w:rPr>
        <w:t>Querco-Carpinetum illiricum</w:t>
      </w:r>
      <w:r>
        <w:rPr>
          <w:rFonts w:eastAsia="Times New Roman"/>
          <w:bCs/>
          <w:kern w:val="32"/>
        </w:rPr>
        <w:t>), а изнад овог појаса надовезује се појас мезофилних састојина букве (</w:t>
      </w:r>
      <w:r>
        <w:rPr>
          <w:rFonts w:eastAsia="Times New Roman"/>
          <w:bCs/>
          <w:i/>
          <w:kern w:val="32"/>
        </w:rPr>
        <w:t>Fagetum montanum</w:t>
      </w:r>
      <w:r>
        <w:rPr>
          <w:rFonts w:eastAsia="Times New Roman"/>
          <w:bCs/>
          <w:kern w:val="32"/>
        </w:rPr>
        <w:t>). Појас букових шума је нарочито присутан у јужном дијелу града, с обје стране Врбаса (планине Осмача, Тисовац, Чемерница, Мањача), гдје се у вишим зонама јављају шуме букве и јеле (</w:t>
      </w:r>
      <w:r>
        <w:rPr>
          <w:rFonts w:eastAsia="Times New Roman"/>
          <w:bCs/>
          <w:i/>
          <w:kern w:val="32"/>
        </w:rPr>
        <w:t>Abieti-Fagetum</w:t>
      </w:r>
      <w:r>
        <w:rPr>
          <w:rFonts w:eastAsia="Times New Roman"/>
          <w:bCs/>
          <w:kern w:val="32"/>
        </w:rPr>
        <w:t>; Чемерница и Мањача) односно мјешовите шуме букве, јеле и смрче (</w:t>
      </w:r>
      <w:r>
        <w:rPr>
          <w:rFonts w:eastAsia="Times New Roman"/>
          <w:bCs/>
          <w:i/>
          <w:kern w:val="32"/>
        </w:rPr>
        <w:t>Piceo-Abieti-Fagetum</w:t>
      </w:r>
      <w:r>
        <w:rPr>
          <w:rFonts w:eastAsia="Times New Roman"/>
          <w:bCs/>
          <w:kern w:val="32"/>
        </w:rPr>
        <w:t>; подручје Мањаче). Уз уске појасеве ријечних токова развијена је вегетација поплавних шума са структуром дендрофона коју чине бијела топола, црна топола, бијела врба, јавор, крта врба, јасен.</w:t>
      </w:r>
    </w:p>
    <w:p>
      <w:pPr>
        <w:spacing w:before="120" w:after="120"/>
        <w:jc w:val="both"/>
        <w:rPr>
          <w:rFonts w:eastAsia="Times New Roman"/>
          <w:bCs/>
          <w:kern w:val="32"/>
        </w:rPr>
      </w:pPr>
      <w:r>
        <w:rPr>
          <w:rFonts w:eastAsia="Times New Roman"/>
          <w:bCs/>
          <w:kern w:val="32"/>
        </w:rPr>
        <w:t xml:space="preserve">Структура шумског земљишта </w:t>
      </w:r>
      <w:r>
        <w:rPr>
          <w:rFonts w:eastAsia="Times New Roman"/>
          <w:bCs/>
          <w:kern w:val="32"/>
          <w:lang w:val="sr-Cyrl-RS"/>
        </w:rPr>
        <w:t>је сљљедећа:</w:t>
      </w:r>
    </w:p>
    <w:tbl>
      <w:tblPr>
        <w:tblStyle w:val="37"/>
        <w:tblW w:w="912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126" w:type="dxa"/>
          </w:tcPr>
          <w:p>
            <w:pPr>
              <w:jc w:val="center"/>
              <w:rPr>
                <w:rFonts w:eastAsia="Times New Roman"/>
                <w:bCs/>
                <w:kern w:val="32"/>
              </w:rPr>
            </w:pPr>
            <w:r>
              <w:rPr>
                <w:sz w:val="20"/>
                <w:szCs w:val="20"/>
                <w:lang w:val="sr-Latn-CS" w:eastAsia="sr-Latn-CS"/>
              </w:rPr>
              <w:drawing>
                <wp:inline distT="0" distB="0" distL="0" distR="0">
                  <wp:extent cx="3879850" cy="1979295"/>
                  <wp:effectExtent l="0" t="0" r="6350" b="190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126" w:type="dxa"/>
          </w:tcPr>
          <w:p>
            <w:pPr>
              <w:jc w:val="center"/>
              <w:rPr>
                <w:rFonts w:eastAsia="Times New Roman"/>
                <w:bCs/>
                <w:i/>
                <w:kern w:val="32"/>
                <w:sz w:val="18"/>
                <w:szCs w:val="18"/>
                <w:lang w:val="sr-Cyrl-CS"/>
              </w:rPr>
            </w:pPr>
          </w:p>
          <w:p>
            <w:pPr>
              <w:rPr>
                <w:rFonts w:eastAsia="Times New Roman"/>
                <w:bCs/>
                <w:i/>
                <w:kern w:val="32"/>
                <w:sz w:val="18"/>
                <w:szCs w:val="18"/>
              </w:rPr>
            </w:pPr>
            <w:r>
              <w:rPr>
                <w:rFonts w:eastAsia="Times New Roman"/>
                <w:bCs/>
                <w:i/>
                <w:kern w:val="32"/>
                <w:sz w:val="18"/>
                <w:szCs w:val="18"/>
                <w:lang w:val="sr-Cyrl-CS"/>
              </w:rPr>
              <w:t xml:space="preserve">                                       </w:t>
            </w:r>
            <w:r>
              <w:rPr>
                <w:rFonts w:eastAsia="Times New Roman"/>
                <w:bCs/>
                <w:i/>
                <w:kern w:val="32"/>
                <w:sz w:val="18"/>
                <w:szCs w:val="18"/>
              </w:rPr>
              <w:t>Извор података:</w:t>
            </w:r>
            <w:r>
              <w:rPr>
                <w:rFonts w:eastAsia="Times New Roman"/>
                <w:bCs/>
                <w:i/>
                <w:kern w:val="32"/>
                <w:sz w:val="18"/>
                <w:szCs w:val="18"/>
                <w:lang w:val="sr-Cyrl-RS"/>
              </w:rPr>
              <w:t xml:space="preserve"> </w:t>
            </w:r>
            <w:r>
              <w:rPr>
                <w:rFonts w:eastAsia="Times New Roman"/>
                <w:bCs/>
                <w:i/>
                <w:kern w:val="32"/>
                <w:sz w:val="18"/>
                <w:szCs w:val="18"/>
              </w:rPr>
              <w:t>Одјељење за привреду, Град Бања Лука, новембар 2017.г.</w:t>
            </w:r>
          </w:p>
        </w:tc>
      </w:tr>
    </w:tbl>
    <w:p>
      <w:pPr>
        <w:spacing w:before="120" w:after="120"/>
        <w:jc w:val="both"/>
        <w:rPr>
          <w:rFonts w:eastAsia="Times New Roman"/>
          <w:bCs/>
          <w:kern w:val="32"/>
          <w:lang w:val="sr-Cyrl-CS"/>
        </w:rPr>
      </w:pPr>
    </w:p>
    <w:p>
      <w:pPr>
        <w:spacing w:before="120" w:after="120"/>
        <w:jc w:val="both"/>
        <w:rPr>
          <w:rFonts w:eastAsia="Times New Roman"/>
          <w:bCs/>
          <w:kern w:val="32"/>
        </w:rPr>
      </w:pPr>
      <w:r>
        <w:rPr>
          <w:rFonts w:eastAsia="Times New Roman"/>
          <w:bCs/>
          <w:kern w:val="32"/>
        </w:rPr>
        <w:t>Просторним планом града Бања Лука утврђене су четири зоне шумског земљишта, и то:</w:t>
      </w:r>
    </w:p>
    <w:p>
      <w:pPr>
        <w:numPr>
          <w:ilvl w:val="0"/>
          <w:numId w:val="29"/>
        </w:numPr>
        <w:spacing w:before="120" w:after="120"/>
        <w:jc w:val="both"/>
        <w:rPr>
          <w:rFonts w:eastAsia="Times New Roman"/>
          <w:bCs/>
          <w:kern w:val="32"/>
        </w:rPr>
      </w:pPr>
      <w:r>
        <w:rPr>
          <w:rFonts w:eastAsia="Times New Roman"/>
          <w:b/>
          <w:bCs/>
          <w:kern w:val="32"/>
        </w:rPr>
        <w:t>Прва зона</w:t>
      </w:r>
      <w:r>
        <w:rPr>
          <w:rFonts w:eastAsia="Times New Roman"/>
          <w:bCs/>
          <w:kern w:val="32"/>
        </w:rPr>
        <w:t xml:space="preserve"> - Градске шуме, зона блиске рекреације, обухвата све шуме у оквиру урбаног</w:t>
      </w:r>
      <w:r>
        <w:rPr>
          <w:rFonts w:eastAsia="Times New Roman"/>
          <w:bCs/>
          <w:kern w:val="32"/>
          <w:lang w:val="sr-Cyrl-RS"/>
        </w:rPr>
        <w:t xml:space="preserve"> </w:t>
      </w:r>
      <w:r>
        <w:rPr>
          <w:rFonts w:eastAsia="Times New Roman"/>
          <w:bCs/>
          <w:kern w:val="32"/>
        </w:rPr>
        <w:t>подручја Града.</w:t>
      </w:r>
      <w:r>
        <w:rPr>
          <w:rFonts w:eastAsia="Times New Roman"/>
          <w:bCs/>
          <w:kern w:val="32"/>
          <w:lang w:val="sr-Cyrl-RS"/>
        </w:rPr>
        <w:t xml:space="preserve"> </w:t>
      </w:r>
      <w:r>
        <w:rPr>
          <w:rFonts w:eastAsia="Times New Roman"/>
          <w:bCs/>
          <w:kern w:val="32"/>
        </w:rPr>
        <w:t>Укупна површина под шумама у овој зони износи 2.462,46 ha.</w:t>
      </w:r>
      <w:r>
        <w:rPr>
          <w:rFonts w:eastAsia="Times New Roman"/>
          <w:bCs/>
          <w:kern w:val="32"/>
          <w:lang w:val="sr-Cyrl-RS"/>
        </w:rPr>
        <w:t xml:space="preserve"> </w:t>
      </w:r>
      <w:r>
        <w:rPr>
          <w:rFonts w:eastAsia="Times New Roman"/>
          <w:bCs/>
          <w:kern w:val="32"/>
        </w:rPr>
        <w:t>У ову зону су укључене и парк шуме Старчевица и Траписти.</w:t>
      </w:r>
    </w:p>
    <w:p>
      <w:pPr>
        <w:numPr>
          <w:ilvl w:val="0"/>
          <w:numId w:val="29"/>
        </w:numPr>
        <w:spacing w:before="120" w:after="120"/>
        <w:jc w:val="both"/>
        <w:rPr>
          <w:rFonts w:eastAsia="Times New Roman"/>
          <w:bCs/>
          <w:kern w:val="32"/>
        </w:rPr>
      </w:pPr>
      <w:r>
        <w:rPr>
          <w:rFonts w:eastAsia="Times New Roman"/>
          <w:b/>
          <w:bCs/>
          <w:kern w:val="32"/>
        </w:rPr>
        <w:t>Друга зона</w:t>
      </w:r>
      <w:r>
        <w:rPr>
          <w:rFonts w:eastAsia="Times New Roman"/>
          <w:bCs/>
          <w:kern w:val="32"/>
        </w:rPr>
        <w:t xml:space="preserve"> - Приградске шуме, зона дневне рекреације, обухвата све шуме у појасу од 3 км,</w:t>
      </w:r>
      <w:r>
        <w:rPr>
          <w:rFonts w:eastAsia="Times New Roman"/>
          <w:bCs/>
          <w:kern w:val="32"/>
          <w:lang w:val="sr-Cyrl-CS"/>
        </w:rPr>
        <w:t xml:space="preserve"> </w:t>
      </w:r>
      <w:r>
        <w:rPr>
          <w:rFonts w:eastAsia="Times New Roman"/>
          <w:bCs/>
          <w:kern w:val="32"/>
        </w:rPr>
        <w:t xml:space="preserve">од ивице урбаног подручја Града, ова зона представља Зелени прстен Града. Укупна површина шума у овој зони износи 6.612,86 ha. </w:t>
      </w:r>
    </w:p>
    <w:p>
      <w:pPr>
        <w:numPr>
          <w:ilvl w:val="0"/>
          <w:numId w:val="29"/>
        </w:numPr>
        <w:spacing w:before="120" w:after="120"/>
        <w:jc w:val="both"/>
        <w:rPr>
          <w:rFonts w:eastAsia="Times New Roman"/>
          <w:bCs/>
          <w:kern w:val="32"/>
        </w:rPr>
      </w:pPr>
      <w:r>
        <w:rPr>
          <w:rFonts w:eastAsia="Times New Roman"/>
          <w:b/>
          <w:bCs/>
          <w:kern w:val="32"/>
        </w:rPr>
        <w:t>Трећа зона</w:t>
      </w:r>
      <w:r>
        <w:rPr>
          <w:rFonts w:eastAsia="Times New Roman"/>
          <w:bCs/>
          <w:kern w:val="32"/>
        </w:rPr>
        <w:t xml:space="preserve"> - Привредне шуме са израженом рекреативном функцијом, зона викенд рекреације, обухвата све шуме које се налазе у радијусу од 18 км од центра Града</w:t>
      </w:r>
      <w:r>
        <w:rPr>
          <w:rFonts w:eastAsia="Times New Roman"/>
          <w:bCs/>
          <w:kern w:val="32"/>
          <w:lang w:val="sr-Cyrl-CS"/>
        </w:rPr>
        <w:t>,</w:t>
      </w:r>
      <w:r>
        <w:rPr>
          <w:rFonts w:eastAsia="Times New Roman"/>
          <w:bCs/>
          <w:kern w:val="32"/>
        </w:rPr>
        <w:t xml:space="preserve"> а изван прве и друге зоне. Укупна површина шума у овој зони износи 21.473,75 ha. У ову зону улазе и дијелови очуваних већих шумских комплекса високих шума на Осмачи, Водичком вису, Пискавичкој планини и Поткозарју који се налазе у државном власништву. Остале шуме у овој зони су у приватном власништву и исте су уситњене и углавном изданачког поријекла.</w:t>
      </w:r>
    </w:p>
    <w:p>
      <w:pPr>
        <w:numPr>
          <w:ilvl w:val="0"/>
          <w:numId w:val="29"/>
        </w:numPr>
        <w:spacing w:before="120" w:after="120"/>
        <w:jc w:val="both"/>
        <w:rPr>
          <w:rFonts w:eastAsia="Times New Roman"/>
          <w:bCs/>
          <w:kern w:val="32"/>
        </w:rPr>
      </w:pPr>
      <w:r>
        <w:rPr>
          <w:rFonts w:eastAsia="Times New Roman"/>
          <w:b/>
          <w:bCs/>
          <w:kern w:val="32"/>
        </w:rPr>
        <w:t>Четврта зона</w:t>
      </w:r>
      <w:r>
        <w:rPr>
          <w:rFonts w:eastAsia="Times New Roman"/>
          <w:bCs/>
          <w:kern w:val="32"/>
        </w:rPr>
        <w:t xml:space="preserve"> - Привредне шуме, зона привредног коришћења шума, обухвата све шуме изван прве три зоне.</w:t>
      </w:r>
      <w:r>
        <w:rPr>
          <w:rFonts w:eastAsia="Times New Roman"/>
          <w:bCs/>
          <w:kern w:val="32"/>
          <w:lang w:val="sr-Cyrl-CS"/>
        </w:rPr>
        <w:t xml:space="preserve"> </w:t>
      </w:r>
      <w:r>
        <w:rPr>
          <w:rFonts w:eastAsia="Times New Roman"/>
          <w:bCs/>
          <w:kern w:val="32"/>
        </w:rPr>
        <w:t>У ову зону су укључени најзначајнији шумски комплекси у погледу шумарске привреде. То су комплекси државних шума на подручју Чемернице, Тисовца и Мањаче, а затим и привредни шумски комплекси на ширем подручју Бронзаног Мајдана и Шимића.</w:t>
      </w:r>
    </w:p>
    <w:p>
      <w:pPr>
        <w:spacing w:before="120" w:after="120"/>
        <w:jc w:val="both"/>
        <w:rPr>
          <w:rFonts w:eastAsia="Times New Roman"/>
          <w:bCs/>
          <w:kern w:val="32"/>
        </w:rPr>
      </w:pPr>
      <w:r>
        <w:rPr>
          <w:rFonts w:eastAsia="Times New Roman"/>
          <w:bCs/>
          <w:kern w:val="32"/>
        </w:rPr>
        <w:t>Шумски екосистеми на подручју Града Бања Лука углавном су угрожени од: биљних болести, штеточина, пожара, бесправног заузимања земљишта, бесправне сјече.</w:t>
      </w:r>
      <w:r>
        <w:rPr>
          <w:rFonts w:eastAsia="Times New Roman"/>
          <w:bCs/>
          <w:kern w:val="32"/>
          <w:vertAlign w:val="superscript"/>
        </w:rPr>
        <w:footnoteReference w:id="79"/>
      </w:r>
    </w:p>
    <w:p>
      <w:pPr>
        <w:keepNext/>
        <w:keepLines/>
        <w:spacing w:before="200"/>
        <w:ind w:left="426"/>
        <w:outlineLvl w:val="3"/>
        <w:rPr>
          <w:rFonts w:eastAsia="Times New Roman" w:asciiTheme="majorHAnsi" w:hAnsiTheme="majorHAnsi" w:cstheme="majorBidi"/>
          <w:b/>
          <w:bCs/>
          <w:i/>
          <w:iCs/>
          <w:lang w:val="sr-Cyrl-CS"/>
        </w:rPr>
      </w:pPr>
      <w:bookmarkStart w:id="81" w:name="_Toc500506485"/>
      <w:bookmarkStart w:id="82" w:name="_Toc526761917"/>
    </w:p>
    <w:p>
      <w:pPr>
        <w:keepNext/>
        <w:keepLines/>
        <w:spacing w:before="200"/>
        <w:ind w:left="426"/>
        <w:outlineLvl w:val="3"/>
        <w:rPr>
          <w:rFonts w:eastAsia="Times New Roman" w:asciiTheme="minorHAnsi" w:hAnsiTheme="minorHAnsi" w:cstheme="minorHAnsi"/>
          <w:b/>
          <w:bCs/>
          <w:i/>
          <w:iCs/>
          <w:lang w:val="hr-HR"/>
        </w:rPr>
      </w:pPr>
      <w:r>
        <w:rPr>
          <w:rFonts w:eastAsia="Times New Roman" w:asciiTheme="minorHAnsi" w:hAnsiTheme="minorHAnsi" w:cstheme="minorHAnsi"/>
          <w:b/>
          <w:bCs/>
          <w:i/>
          <w:iCs/>
          <w:lang w:val="hr-HR"/>
        </w:rPr>
        <w:t>IV.1.7.5. Биолошка</w:t>
      </w:r>
      <w:r>
        <w:rPr>
          <w:rFonts w:eastAsia="Times New Roman" w:asciiTheme="minorHAnsi" w:hAnsiTheme="minorHAnsi" w:cstheme="minorHAnsi"/>
          <w:b/>
          <w:bCs/>
          <w:i/>
          <w:iCs/>
          <w:lang w:val="sr-Cyrl-RS"/>
        </w:rPr>
        <w:t xml:space="preserve"> </w:t>
      </w:r>
      <w:r>
        <w:rPr>
          <w:rFonts w:eastAsia="Times New Roman" w:asciiTheme="minorHAnsi" w:hAnsiTheme="minorHAnsi" w:cstheme="minorHAnsi"/>
          <w:b/>
          <w:bCs/>
          <w:i/>
          <w:iCs/>
          <w:lang w:val="hr-HR"/>
        </w:rPr>
        <w:t>разноликост</w:t>
      </w:r>
      <w:bookmarkEnd w:id="81"/>
      <w:bookmarkEnd w:id="82"/>
    </w:p>
    <w:p>
      <w:pPr>
        <w:spacing w:before="120" w:after="120"/>
        <w:jc w:val="both"/>
        <w:rPr>
          <w:rFonts w:eastAsia="Times New Roman"/>
          <w:bCs/>
          <w:kern w:val="32"/>
        </w:rPr>
      </w:pPr>
      <w:r>
        <w:rPr>
          <w:rFonts w:eastAsia="Times New Roman"/>
          <w:bCs/>
          <w:kern w:val="32"/>
        </w:rPr>
        <w:t>У току је</w:t>
      </w:r>
      <w:r>
        <w:rPr>
          <w:rFonts w:eastAsia="Times New Roman"/>
          <w:bCs/>
          <w:kern w:val="32"/>
          <w:lang w:val="sr-Cyrl-RS"/>
        </w:rPr>
        <w:t xml:space="preserve"> пројекат</w:t>
      </w:r>
      <w:r>
        <w:rPr>
          <w:rFonts w:eastAsia="Times New Roman"/>
          <w:bCs/>
          <w:kern w:val="32"/>
        </w:rPr>
        <w:t xml:space="preserve"> </w:t>
      </w:r>
      <w:r>
        <w:rPr>
          <w:rFonts w:eastAsia="Times New Roman"/>
          <w:bCs/>
          <w:i/>
          <w:kern w:val="32"/>
        </w:rPr>
        <w:t>Инвентаризација и евалуација биљних, животињских, шумских и водних генетичких ресурса на подручју града Бања</w:t>
      </w:r>
      <w:r>
        <w:rPr>
          <w:rFonts w:eastAsia="Times New Roman"/>
          <w:bCs/>
          <w:i/>
          <w:kern w:val="32"/>
          <w:lang w:val="sr-Cyrl-RS"/>
        </w:rPr>
        <w:t xml:space="preserve"> Л</w:t>
      </w:r>
      <w:r>
        <w:rPr>
          <w:rFonts w:eastAsia="Times New Roman"/>
          <w:bCs/>
          <w:i/>
          <w:kern w:val="32"/>
        </w:rPr>
        <w:t>ука  - прва фаза</w:t>
      </w:r>
      <w:r>
        <w:rPr>
          <w:rFonts w:eastAsia="Times New Roman"/>
          <w:bCs/>
          <w:kern w:val="32"/>
        </w:rPr>
        <w:t>.</w:t>
      </w:r>
    </w:p>
    <w:p>
      <w:pPr>
        <w:spacing w:before="120" w:after="120"/>
        <w:jc w:val="both"/>
        <w:rPr>
          <w:rFonts w:eastAsia="Times New Roman"/>
          <w:bCs/>
          <w:kern w:val="32"/>
        </w:rPr>
      </w:pPr>
      <w:r>
        <w:rPr>
          <w:rFonts w:eastAsia="Times New Roman"/>
          <w:bCs/>
          <w:kern w:val="32"/>
        </w:rPr>
        <w:t>Ријека Врбас и њене притоке су богате бројним врстама риба, међу којима су најзаступљеније: поточна пастрмка, калифорнијска пастрмка, младица, липљен, плотица, клен, скобаљ, ријечна мрена и лињак.</w:t>
      </w:r>
    </w:p>
    <w:p>
      <w:pPr>
        <w:spacing w:before="120" w:after="120"/>
        <w:jc w:val="both"/>
        <w:rPr>
          <w:rFonts w:eastAsia="Times New Roman"/>
          <w:bCs/>
          <w:kern w:val="32"/>
        </w:rPr>
      </w:pPr>
      <w:r>
        <w:rPr>
          <w:rFonts w:eastAsia="Times New Roman"/>
          <w:bCs/>
          <w:kern w:val="32"/>
        </w:rPr>
        <w:t>Равничарски и брдски предјели стварају повољне биоеколошке услове за развој великог броја ловне и неловне фауне: дивља свиња, срнећа дивљач, фазан, пољска јаребица, зец, лисица, јазавац, птице селице.</w:t>
      </w:r>
      <w:r>
        <w:rPr>
          <w:rFonts w:eastAsia="Times New Roman"/>
          <w:bCs/>
          <w:kern w:val="32"/>
          <w:lang w:val="sr-Cyrl-CS"/>
        </w:rPr>
        <w:t xml:space="preserve"> </w:t>
      </w:r>
      <w:r>
        <w:rPr>
          <w:rFonts w:eastAsia="Times New Roman"/>
          <w:bCs/>
          <w:kern w:val="32"/>
        </w:rPr>
        <w:t>У кањону Врбаса је заступљена ендемична и реликтна кањонска вегетација у којој су идентификоване чак 32 врсте са приједлога Црвене листе БиХ</w:t>
      </w:r>
      <w:r>
        <w:rPr>
          <w:rFonts w:eastAsia="Times New Roman"/>
          <w:bCs/>
          <w:kern w:val="32"/>
          <w:lang w:val="hr-HR"/>
        </w:rPr>
        <w:t>.</w:t>
      </w:r>
      <w:r>
        <w:rPr>
          <w:rFonts w:eastAsia="Times New Roman"/>
          <w:bCs/>
          <w:kern w:val="32"/>
          <w:vertAlign w:val="superscript"/>
          <w:lang w:val="hr-HR"/>
        </w:rPr>
        <w:footnoteReference w:id="80"/>
      </w:r>
    </w:p>
    <w:p>
      <w:pPr>
        <w:spacing w:before="120" w:after="120"/>
        <w:jc w:val="both"/>
        <w:rPr>
          <w:rFonts w:eastAsia="Times New Roman"/>
          <w:bCs/>
          <w:kern w:val="32"/>
          <w:lang w:val="hr-HR"/>
        </w:rPr>
      </w:pPr>
      <w:r>
        <w:rPr>
          <w:rFonts w:eastAsia="Times New Roman"/>
          <w:bCs/>
          <w:kern w:val="32"/>
        </w:rPr>
        <w:t>Рурална подручја града карактеришу и разноврсне љековите биљке и шумско воће попут медвеђег лука, лазаркиње, глога, дивље јагоде, дивље јабуке, плућњака, зове, дријена, слатке папрати, јагорчевине, а у зависности од станишта и временских прилика, могуће је пронаћи и неке цијењене врсте јестивих гљива попут благве, вргања, сунчанице, лисичарке и пољског шампињона.</w:t>
      </w:r>
    </w:p>
    <w:p>
      <w:pPr>
        <w:spacing w:before="120" w:after="120"/>
        <w:jc w:val="both"/>
        <w:rPr>
          <w:rFonts w:eastAsia="Times New Roman"/>
          <w:bCs/>
          <w:kern w:val="32"/>
        </w:rPr>
      </w:pPr>
      <w:r>
        <w:rPr>
          <w:rFonts w:eastAsia="Times New Roman"/>
          <w:bCs/>
          <w:kern w:val="32"/>
        </w:rPr>
        <w:t>На простору Града мало је заштићених подручја,</w:t>
      </w:r>
      <w:r>
        <w:rPr>
          <w:rFonts w:eastAsia="Times New Roman"/>
          <w:bCs/>
          <w:kern w:val="32"/>
          <w:lang w:val="sr-Cyrl-RS"/>
        </w:rPr>
        <w:t xml:space="preserve"> </w:t>
      </w:r>
      <w:r>
        <w:rPr>
          <w:rFonts w:eastAsia="Times New Roman"/>
          <w:bCs/>
          <w:kern w:val="32"/>
        </w:rPr>
        <w:t>иако за то постоје реалне основе у</w:t>
      </w:r>
      <w:r>
        <w:rPr>
          <w:rFonts w:eastAsia="Times New Roman"/>
          <w:bCs/>
          <w:kern w:val="32"/>
          <w:lang w:val="bs-Latn-BA"/>
        </w:rPr>
        <w:t xml:space="preserve"> </w:t>
      </w:r>
      <w:r>
        <w:rPr>
          <w:rFonts w:eastAsia="Times New Roman"/>
          <w:bCs/>
          <w:kern w:val="32"/>
        </w:rPr>
        <w:t>руралном дијелу. Потребно је такве зоне ставити под заштиту што је у складу са</w:t>
      </w:r>
      <w:r>
        <w:rPr>
          <w:rFonts w:eastAsia="Times New Roman"/>
          <w:bCs/>
          <w:kern w:val="32"/>
          <w:lang w:val="sr-Cyrl-RS"/>
        </w:rPr>
        <w:t xml:space="preserve"> </w:t>
      </w:r>
      <w:r>
        <w:rPr>
          <w:rFonts w:eastAsia="Times New Roman"/>
          <w:bCs/>
          <w:kern w:val="32"/>
        </w:rPr>
        <w:t>Националном стратегијом заштите биодиверзитета (НБС) и Националним планом</w:t>
      </w:r>
      <w:r>
        <w:rPr>
          <w:rFonts w:eastAsia="Times New Roman"/>
          <w:bCs/>
          <w:kern w:val="32"/>
          <w:lang w:val="sr-Cyrl-RS"/>
        </w:rPr>
        <w:t xml:space="preserve"> </w:t>
      </w:r>
      <w:r>
        <w:rPr>
          <w:rFonts w:eastAsia="Times New Roman"/>
          <w:bCs/>
          <w:kern w:val="32"/>
        </w:rPr>
        <w:t>за заштићена подручја.</w:t>
      </w:r>
      <w:r>
        <w:rPr>
          <w:rFonts w:eastAsia="Times New Roman"/>
          <w:bCs/>
          <w:kern w:val="32"/>
          <w:lang w:val="sr-Cyrl-RS"/>
        </w:rPr>
        <w:t xml:space="preserve"> </w:t>
      </w:r>
      <w:r>
        <w:rPr>
          <w:rFonts w:eastAsia="Times New Roman"/>
          <w:bCs/>
          <w:kern w:val="32"/>
        </w:rPr>
        <w:t>Полазећи од приједлога Црвене листе БиХ, израдила би се листа биљних таксона</w:t>
      </w:r>
      <w:r>
        <w:rPr>
          <w:rFonts w:eastAsia="Times New Roman"/>
          <w:bCs/>
          <w:kern w:val="32"/>
          <w:lang w:val="sr-Cyrl-RS"/>
        </w:rPr>
        <w:t xml:space="preserve"> </w:t>
      </w:r>
      <w:r>
        <w:rPr>
          <w:rFonts w:eastAsia="Times New Roman"/>
          <w:bCs/>
          <w:kern w:val="32"/>
        </w:rPr>
        <w:t>према типу угрожености (IUCN),</w:t>
      </w:r>
      <w:r>
        <w:rPr>
          <w:rFonts w:eastAsia="Times New Roman"/>
          <w:bCs/>
          <w:kern w:val="32"/>
          <w:lang w:val="sr-Cyrl-RS"/>
        </w:rPr>
        <w:t xml:space="preserve"> </w:t>
      </w:r>
      <w:r>
        <w:rPr>
          <w:rFonts w:eastAsia="Times New Roman"/>
          <w:bCs/>
          <w:kern w:val="32"/>
        </w:rPr>
        <w:t>у складу са стањем на подручју Града.</w:t>
      </w:r>
      <w:r>
        <w:rPr>
          <w:rFonts w:eastAsia="Times New Roman"/>
          <w:bCs/>
          <w:kern w:val="32"/>
          <w:lang w:val="bs-Latn-BA"/>
        </w:rPr>
        <w:t xml:space="preserve"> </w:t>
      </w:r>
      <w:r>
        <w:rPr>
          <w:rFonts w:eastAsia="Times New Roman"/>
          <w:bCs/>
          <w:kern w:val="32"/>
        </w:rPr>
        <w:t>Анализом законске регулативе дефинисао би се неопходни пакет докумената који био</w:t>
      </w:r>
      <w:r>
        <w:rPr>
          <w:rFonts w:eastAsia="Times New Roman"/>
          <w:bCs/>
          <w:kern w:val="32"/>
          <w:lang w:val="sr-Cyrl-RS"/>
        </w:rPr>
        <w:t xml:space="preserve"> </w:t>
      </w:r>
      <w:r>
        <w:rPr>
          <w:rFonts w:eastAsia="Times New Roman"/>
          <w:bCs/>
          <w:kern w:val="32"/>
          <w:lang w:val="bs-Latn-BA"/>
        </w:rPr>
        <w:t>o</w:t>
      </w:r>
      <w:r>
        <w:rPr>
          <w:rFonts w:eastAsia="Times New Roman"/>
          <w:bCs/>
          <w:kern w:val="32"/>
        </w:rPr>
        <w:t>могућио локални ниво заштите угрожених врста биљака.</w:t>
      </w:r>
      <w:r>
        <w:rPr>
          <w:rFonts w:eastAsia="Times New Roman"/>
          <w:bCs/>
          <w:kern w:val="32"/>
          <w:vertAlign w:val="superscript"/>
        </w:rPr>
        <w:footnoteReference w:id="81"/>
      </w:r>
    </w:p>
    <w:p>
      <w:pPr>
        <w:keepNext/>
        <w:keepLines/>
        <w:spacing w:before="200"/>
        <w:ind w:left="426"/>
        <w:outlineLvl w:val="3"/>
        <w:rPr>
          <w:rFonts w:eastAsia="Times New Roman" w:asciiTheme="minorHAnsi" w:hAnsiTheme="minorHAnsi" w:cstheme="minorHAnsi"/>
          <w:b/>
          <w:bCs/>
          <w:i/>
          <w:iCs/>
          <w:lang w:val="hr-HR"/>
        </w:rPr>
      </w:pPr>
      <w:bookmarkStart w:id="83" w:name="_Toc500506486"/>
      <w:bookmarkStart w:id="84" w:name="_Toc526761918"/>
      <w:r>
        <w:rPr>
          <w:rFonts w:eastAsia="Times New Roman" w:asciiTheme="minorHAnsi" w:hAnsiTheme="minorHAnsi" w:cstheme="minorHAnsi"/>
          <w:b/>
          <w:bCs/>
          <w:i/>
          <w:iCs/>
          <w:lang w:val="hr-HR"/>
        </w:rPr>
        <w:t>IV.1.7.6. Управљање отпадом</w:t>
      </w:r>
      <w:bookmarkEnd w:id="83"/>
      <w:bookmarkEnd w:id="84"/>
    </w:p>
    <w:p>
      <w:pPr>
        <w:spacing w:before="120" w:after="120"/>
        <w:jc w:val="both"/>
        <w:rPr>
          <w:rFonts w:eastAsia="Times New Roman"/>
          <w:bCs/>
          <w:kern w:val="32"/>
        </w:rPr>
      </w:pPr>
      <w:r>
        <w:rPr>
          <w:rFonts w:eastAsia="Times New Roman"/>
          <w:bCs/>
          <w:kern w:val="32"/>
        </w:rPr>
        <w:t xml:space="preserve">Предузеће одговорно за пружање услуга прикупљања и одвоза отпада на подручју </w:t>
      </w:r>
      <w:r>
        <w:rPr>
          <w:rFonts w:eastAsia="Times New Roman"/>
          <w:bCs/>
          <w:kern w:val="32"/>
          <w:lang w:val="sr-Cyrl-RS"/>
        </w:rPr>
        <w:t>Г</w:t>
      </w:r>
      <w:r>
        <w:rPr>
          <w:rFonts w:eastAsia="Times New Roman"/>
          <w:bCs/>
          <w:kern w:val="32"/>
        </w:rPr>
        <w:t>рада је привредно друштво за комуналне услуге „Чистоћа“ а.д. Бања</w:t>
      </w:r>
      <w:r>
        <w:rPr>
          <w:rFonts w:eastAsia="Times New Roman"/>
          <w:bCs/>
          <w:kern w:val="32"/>
          <w:lang w:val="sr-Cyrl-RS"/>
        </w:rPr>
        <w:t xml:space="preserve"> Л</w:t>
      </w:r>
      <w:r>
        <w:rPr>
          <w:rFonts w:eastAsia="Times New Roman"/>
          <w:bCs/>
          <w:kern w:val="32"/>
        </w:rPr>
        <w:t>ука.</w:t>
      </w:r>
      <w:r>
        <w:rPr>
          <w:rFonts w:eastAsia="Times New Roman"/>
          <w:bCs/>
          <w:kern w:val="32"/>
          <w:lang w:val="sr-Cyrl-RS"/>
        </w:rPr>
        <w:t xml:space="preserve"> </w:t>
      </w:r>
      <w:r>
        <w:rPr>
          <w:rFonts w:eastAsia="Times New Roman"/>
          <w:bCs/>
          <w:kern w:val="32"/>
        </w:rPr>
        <w:t>Организованим одвозом отпада обухваћена су сва насеља на тероторији града (100% становништва). Број корисника услуга одвоза отпада у 2016.г. је био 53.220. Укупан број контејнера са прикупљање мјешовитог комуналног отпада у 2016.г. је 2.332, док је 83 контејнера било намијењено за селективно прикупљање отпада.</w:t>
      </w:r>
      <w:r>
        <w:rPr>
          <w:rFonts w:eastAsia="Times New Roman"/>
          <w:bCs/>
          <w:kern w:val="32"/>
          <w:lang w:val="sr-Cyrl-RS"/>
        </w:rPr>
        <w:t xml:space="preserve"> </w:t>
      </w:r>
      <w:r>
        <w:rPr>
          <w:rFonts w:eastAsia="Times New Roman"/>
          <w:bCs/>
          <w:kern w:val="32"/>
        </w:rPr>
        <w:t>На подручју града постављени су и контејнери од 2,0 m</w:t>
      </w:r>
      <w:r>
        <w:rPr>
          <w:rFonts w:eastAsia="Times New Roman"/>
          <w:bCs/>
          <w:kern w:val="32"/>
          <w:vertAlign w:val="superscript"/>
        </w:rPr>
        <w:t>3</w:t>
      </w:r>
      <w:r>
        <w:rPr>
          <w:rFonts w:eastAsia="Times New Roman"/>
          <w:bCs/>
          <w:kern w:val="32"/>
        </w:rPr>
        <w:t xml:space="preserve"> груписани у зелена острва за одвојено сакупљање искористивих материја из комуналног отпада (PЕТ, МЕТ, стакло и папир).</w:t>
      </w:r>
      <w:r>
        <w:rPr>
          <w:rFonts w:eastAsia="Times New Roman"/>
          <w:bCs/>
          <w:kern w:val="32"/>
          <w:lang w:val="sr-Cyrl-RS"/>
        </w:rPr>
        <w:t xml:space="preserve"> </w:t>
      </w:r>
      <w:r>
        <w:rPr>
          <w:rFonts w:eastAsia="Times New Roman"/>
          <w:bCs/>
          <w:kern w:val="32"/>
        </w:rPr>
        <w:t>Стање ове опреме је релативно задовољавајуће</w:t>
      </w:r>
      <w:r>
        <w:rPr>
          <w:rFonts w:eastAsia="Times New Roman"/>
          <w:bCs/>
          <w:kern w:val="32"/>
          <w:lang w:val="sr-Cyrl-RS"/>
        </w:rPr>
        <w:t>,</w:t>
      </w:r>
      <w:r>
        <w:rPr>
          <w:rFonts w:eastAsia="Times New Roman"/>
          <w:bCs/>
          <w:kern w:val="32"/>
        </w:rPr>
        <w:t xml:space="preserve"> јер је већина контејнера у добром стању и добро одржавана.</w:t>
      </w:r>
      <w:r>
        <w:rPr>
          <w:rFonts w:eastAsia="Times New Roman"/>
          <w:bCs/>
          <w:kern w:val="32"/>
          <w:lang w:val="sr-Cyrl-RS"/>
        </w:rPr>
        <w:t xml:space="preserve"> </w:t>
      </w:r>
      <w:r>
        <w:rPr>
          <w:rFonts w:eastAsia="Times New Roman"/>
          <w:bCs/>
          <w:kern w:val="32"/>
        </w:rPr>
        <w:t>Број постављених контејнера није довољан за постојећи број становника, тако да га треба повећавати да би се достигло оптимално стање.</w:t>
      </w:r>
      <w:r>
        <w:rPr>
          <w:rFonts w:eastAsia="Times New Roman"/>
          <w:bCs/>
          <w:kern w:val="32"/>
          <w:lang w:val="sr-Cyrl-RS"/>
        </w:rPr>
        <w:t xml:space="preserve"> </w:t>
      </w:r>
      <w:r>
        <w:rPr>
          <w:rFonts w:eastAsia="Times New Roman"/>
          <w:bCs/>
          <w:kern w:val="32"/>
        </w:rPr>
        <w:t>У 2016.г. количина селективно прикупљеног отпада је износила 1,84% укупне количине отпада.</w:t>
      </w:r>
    </w:p>
    <w:p>
      <w:pPr>
        <w:spacing w:before="120" w:after="120"/>
        <w:jc w:val="both"/>
        <w:rPr>
          <w:rFonts w:eastAsia="Times New Roman"/>
          <w:bCs/>
          <w:kern w:val="32"/>
        </w:rPr>
      </w:pPr>
      <w:r>
        <w:rPr>
          <w:rFonts w:eastAsia="Times New Roman"/>
          <w:bCs/>
          <w:kern w:val="32"/>
        </w:rPr>
        <w:t xml:space="preserve"> „Чистоћа“ а.д. Бањалука располаже са 19 возила за сакупљање отпада, задовољавајуће старосне структуре и у довољном броју за садашњи обим послова. Одвоз отпада се врши у складу са Правилником о начину и условима одвоза и одлагања отпада (</w:t>
      </w:r>
      <w:r>
        <w:rPr>
          <w:rFonts w:eastAsia="Times New Roman"/>
          <w:bCs/>
          <w:kern w:val="32"/>
          <w:lang w:val="bs-Latn-BA"/>
        </w:rPr>
        <w:t>„</w:t>
      </w:r>
      <w:r>
        <w:rPr>
          <w:rFonts w:eastAsia="Times New Roman"/>
          <w:bCs/>
          <w:kern w:val="32"/>
        </w:rPr>
        <w:t>Сл. гл. Града Бања Луке</w:t>
      </w:r>
      <w:r>
        <w:rPr>
          <w:rFonts w:eastAsia="Times New Roman"/>
          <w:bCs/>
          <w:kern w:val="32"/>
          <w:lang w:val="bs-Latn-BA"/>
        </w:rPr>
        <w:t>“,</w:t>
      </w:r>
      <w:r>
        <w:rPr>
          <w:rFonts w:eastAsia="Times New Roman"/>
          <w:bCs/>
          <w:kern w:val="32"/>
        </w:rPr>
        <w:t xml:space="preserve"> бр. 31/08), према коме је дефинисано пет подручја према интезитету одвоза отпада.</w:t>
      </w:r>
    </w:p>
    <w:p>
      <w:pPr>
        <w:spacing w:before="120" w:after="120"/>
        <w:jc w:val="both"/>
        <w:rPr>
          <w:rFonts w:eastAsia="Times New Roman"/>
          <w:bCs/>
          <w:kern w:val="32"/>
          <w:lang w:val="sr-Cyrl-RS"/>
        </w:rPr>
      </w:pPr>
      <w:r>
        <w:rPr>
          <w:rFonts w:eastAsia="Times New Roman"/>
          <w:bCs/>
          <w:kern w:val="32"/>
        </w:rPr>
        <w:t>Јавно предузеће „Д</w:t>
      </w:r>
      <w:r>
        <w:rPr>
          <w:rFonts w:eastAsia="Times New Roman"/>
          <w:bCs/>
          <w:kern w:val="32"/>
          <w:lang w:val="sr-Cyrl-RS"/>
        </w:rPr>
        <w:t>ЕП</w:t>
      </w:r>
      <w:r>
        <w:rPr>
          <w:rFonts w:eastAsia="Times New Roman"/>
          <w:bCs/>
          <w:kern w:val="32"/>
        </w:rPr>
        <w:t>-</w:t>
      </w:r>
      <w:r>
        <w:rPr>
          <w:rFonts w:eastAsia="Times New Roman"/>
          <w:bCs/>
          <w:kern w:val="32"/>
          <w:lang w:val="sr-Cyrl-RS"/>
        </w:rPr>
        <w:t>ОТ</w:t>
      </w:r>
      <w:r>
        <w:rPr>
          <w:rFonts w:eastAsia="Times New Roman"/>
          <w:bCs/>
          <w:kern w:val="32"/>
        </w:rPr>
        <w:t>“ Бањалука</w:t>
      </w:r>
      <w:r>
        <w:rPr>
          <w:rFonts w:eastAsia="Times New Roman"/>
          <w:bCs/>
          <w:kern w:val="32"/>
          <w:lang w:val="bs-Latn-BA"/>
        </w:rPr>
        <w:t xml:space="preserve"> </w:t>
      </w:r>
      <w:r>
        <w:rPr>
          <w:rFonts w:eastAsia="Times New Roman"/>
          <w:bCs/>
          <w:kern w:val="32"/>
        </w:rPr>
        <w:t>задужено је за управљање Регионалом депонијом у Рамићима од 2004. године. На депонију се одлаже отпад града Бања Лука и 7 општина регије (Градишка, Лакташи, Србац, Прњавор, Челинац, Котор Варош и Кнежево).</w:t>
      </w:r>
      <w:r>
        <w:rPr>
          <w:rFonts w:eastAsia="Times New Roman"/>
          <w:bCs/>
          <w:kern w:val="32"/>
          <w:lang w:val="sr-Cyrl-CS"/>
        </w:rPr>
        <w:t xml:space="preserve"> </w:t>
      </w:r>
      <w:r>
        <w:rPr>
          <w:rFonts w:eastAsia="Times New Roman"/>
          <w:bCs/>
          <w:kern w:val="32"/>
        </w:rPr>
        <w:t>На улазу у круг депоније инсталиране су двије мосне ваге као и видеонадзор како би се вршила контрола количина и састава отпада који се довози на депонију. Стари дио депоније на којем је завршено одлагање отпада саниран је и урађена је његова дегасификација. Депонијски гас који настаје на овом старом дијелу депоније сакупља се системом за дегасификацију и врши се његово спаљивање на бакљи. Бакља је инсталирана 2016. године када су изведени и радови санације старог дијела депоније. Новопристигли отпад одлаже се у санитарну касету која се користи од 2014. године. У плану је да до краја 2018. године буде изграђена рециклажна хала.</w:t>
      </w:r>
      <w:r>
        <w:rPr>
          <w:rFonts w:eastAsia="Times New Roman"/>
          <w:bCs/>
          <w:kern w:val="32"/>
          <w:lang w:val="bs-Latn-BA"/>
        </w:rPr>
        <w:t xml:space="preserve"> </w:t>
      </w:r>
      <w:r>
        <w:rPr>
          <w:rFonts w:eastAsia="Times New Roman"/>
          <w:bCs/>
          <w:kern w:val="32"/>
        </w:rPr>
        <w:t>Износ инвестиција у регионалну депонију у периоду 2014-2016.г. износи</w:t>
      </w:r>
      <w:r>
        <w:rPr>
          <w:rFonts w:eastAsia="Times New Roman"/>
          <w:bCs/>
          <w:kern w:val="32"/>
          <w:lang w:val="bs-Latn-BA"/>
        </w:rPr>
        <w:t xml:space="preserve">o je </w:t>
      </w:r>
      <w:r>
        <w:rPr>
          <w:rFonts w:eastAsia="Times New Roman"/>
          <w:bCs/>
          <w:kern w:val="32"/>
        </w:rPr>
        <w:t>7.725.088 КМ</w:t>
      </w:r>
      <w:r>
        <w:rPr>
          <w:rFonts w:eastAsia="Times New Roman"/>
          <w:bCs/>
          <w:kern w:val="32"/>
          <w:lang w:val="sr-Cyrl-RS"/>
        </w:rPr>
        <w:t>.</w:t>
      </w:r>
    </w:p>
    <w:p>
      <w:pPr>
        <w:spacing w:before="120" w:after="120"/>
        <w:jc w:val="both"/>
        <w:rPr>
          <w:rFonts w:eastAsia="Times New Roman"/>
          <w:bCs/>
          <w:kern w:val="32"/>
        </w:rPr>
      </w:pPr>
      <w:r>
        <w:rPr>
          <w:rFonts w:eastAsia="Times New Roman"/>
          <w:bCs/>
          <w:kern w:val="32"/>
        </w:rPr>
        <w:t>На Регионалној депонији у Рамићима током 2016. године збринуто је укупно</w:t>
      </w:r>
      <w:r>
        <w:rPr>
          <w:rFonts w:eastAsia="Times New Roman"/>
          <w:bCs/>
          <w:kern w:val="32"/>
          <w:lang w:val="bs-Latn-BA"/>
        </w:rPr>
        <w:t xml:space="preserve"> </w:t>
      </w:r>
      <w:r>
        <w:rPr>
          <w:rFonts w:eastAsia="Times New Roman"/>
          <w:bCs/>
          <w:kern w:val="32"/>
        </w:rPr>
        <w:t>110.031 тона разног отпада, што је 3,9% више, у односу на количину збринутог отпада</w:t>
      </w:r>
      <w:r>
        <w:rPr>
          <w:rFonts w:eastAsia="Times New Roman"/>
          <w:bCs/>
          <w:kern w:val="32"/>
          <w:lang w:val="bs-Latn-BA"/>
        </w:rPr>
        <w:t xml:space="preserve"> </w:t>
      </w:r>
      <w:r>
        <w:rPr>
          <w:rFonts w:eastAsia="Times New Roman"/>
          <w:bCs/>
          <w:kern w:val="32"/>
        </w:rPr>
        <w:t xml:space="preserve">у 2015. години (105.869 тона). </w:t>
      </w:r>
    </w:p>
    <w:tbl>
      <w:tblPr>
        <w:tblStyle w:val="37"/>
        <w:tblW w:w="9450"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64"/>
        <w:gridCol w:w="3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864" w:type="dxa"/>
          </w:tcPr>
          <w:p>
            <w:pPr>
              <w:spacing w:before="120" w:after="120"/>
              <w:jc w:val="both"/>
              <w:rPr>
                <w:rFonts w:eastAsia="Times New Roman"/>
                <w:bCs/>
                <w:kern w:val="32"/>
                <w:lang w:val="sr-Cyrl-CS"/>
              </w:rPr>
            </w:pPr>
            <w:r>
              <w:rPr>
                <w:sz w:val="20"/>
                <w:szCs w:val="20"/>
                <w:lang w:val="sr-Latn-CS" w:eastAsia="sr-Latn-CS"/>
              </w:rPr>
              <w:drawing>
                <wp:inline distT="0" distB="0" distL="0" distR="0">
                  <wp:extent cx="3209925" cy="1866900"/>
                  <wp:effectExtent l="0" t="0" r="9525" b="1905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pacing w:before="120" w:after="120"/>
              <w:jc w:val="both"/>
              <w:rPr>
                <w:rFonts w:eastAsia="Times New Roman"/>
                <w:bCs/>
                <w:kern w:val="32"/>
              </w:rPr>
            </w:pPr>
            <w:r>
              <w:rPr>
                <w:rFonts w:eastAsia="Times New Roman"/>
                <w:bCs/>
                <w:i/>
                <w:kern w:val="32"/>
                <w:sz w:val="18"/>
                <w:szCs w:val="18"/>
              </w:rPr>
              <w:t>Извор података:Одјељење за комуналне послове Града Бања Лука,</w:t>
            </w:r>
            <w:r>
              <w:rPr>
                <w:rFonts w:eastAsia="Times New Roman"/>
                <w:bCs/>
                <w:i/>
                <w:kern w:val="32"/>
                <w:sz w:val="18"/>
                <w:szCs w:val="18"/>
                <w:lang w:val="sr-Cyrl-CS"/>
              </w:rPr>
              <w:t xml:space="preserve"> </w:t>
            </w:r>
            <w:r>
              <w:rPr>
                <w:rFonts w:eastAsia="Times New Roman"/>
                <w:bCs/>
                <w:i/>
                <w:kern w:val="32"/>
                <w:sz w:val="18"/>
                <w:szCs w:val="18"/>
              </w:rPr>
              <w:t>новембар 2017.г.</w:t>
            </w:r>
          </w:p>
        </w:tc>
        <w:tc>
          <w:tcPr>
            <w:tcW w:w="3586" w:type="dxa"/>
          </w:tcPr>
          <w:p>
            <w:pPr>
              <w:jc w:val="both"/>
              <w:rPr>
                <w:rFonts w:eastAsia="Times New Roman"/>
                <w:bCs/>
                <w:kern w:val="32"/>
                <w:lang w:val="sr-Cyrl-CS"/>
              </w:rPr>
            </w:pPr>
            <w:r>
              <w:rPr>
                <w:rFonts w:eastAsia="Times New Roman"/>
                <w:bCs/>
                <w:kern w:val="32"/>
              </w:rPr>
              <w:t>У оквиру укупне</w:t>
            </w:r>
            <w:r>
              <w:rPr>
                <w:rFonts w:eastAsia="Times New Roman"/>
                <w:bCs/>
                <w:kern w:val="32"/>
                <w:lang w:val="bs-Latn-BA"/>
              </w:rPr>
              <w:t xml:space="preserve"> </w:t>
            </w:r>
            <w:r>
              <w:rPr>
                <w:rFonts w:eastAsia="Times New Roman"/>
                <w:bCs/>
                <w:kern w:val="32"/>
              </w:rPr>
              <w:t>количине збринутог отпада на депонији током 2016. године (110.031 тона), с</w:t>
            </w:r>
            <w:r>
              <w:rPr>
                <w:rFonts w:eastAsia="Times New Roman"/>
                <w:bCs/>
                <w:kern w:val="32"/>
                <w:lang w:val="bs-Latn-BA"/>
              </w:rPr>
              <w:t>a</w:t>
            </w:r>
            <w:r>
              <w:rPr>
                <w:rFonts w:eastAsia="Times New Roman"/>
                <w:bCs/>
                <w:kern w:val="32"/>
              </w:rPr>
              <w:t xml:space="preserve"> подручја града Бања Луке</w:t>
            </w:r>
            <w:r>
              <w:rPr>
                <w:rFonts w:eastAsia="Times New Roman"/>
                <w:bCs/>
                <w:kern w:val="32"/>
                <w:lang w:val="bs-Latn-BA"/>
              </w:rPr>
              <w:t xml:space="preserve"> </w:t>
            </w:r>
            <w:r>
              <w:rPr>
                <w:rFonts w:eastAsia="Times New Roman"/>
                <w:bCs/>
                <w:kern w:val="32"/>
              </w:rPr>
              <w:t>допремљено је путем служби „Чистоћа“ а.д. Бањалука 59.686 тона отпада</w:t>
            </w:r>
            <w:r>
              <w:rPr>
                <w:rFonts w:eastAsia="Times New Roman"/>
                <w:bCs/>
                <w:kern w:val="32"/>
                <w:lang w:val="bs-Latn-BA"/>
              </w:rPr>
              <w:t xml:space="preserve"> </w:t>
            </w:r>
            <w:r>
              <w:rPr>
                <w:rFonts w:eastAsia="Times New Roman"/>
                <w:bCs/>
                <w:kern w:val="32"/>
              </w:rPr>
              <w:t>(54,2%)</w:t>
            </w:r>
            <w:r>
              <w:rPr>
                <w:rFonts w:eastAsia="Times New Roman"/>
                <w:bCs/>
                <w:kern w:val="32"/>
                <w:vertAlign w:val="superscript"/>
              </w:rPr>
              <w:footnoteReference w:id="82"/>
            </w:r>
            <w:r>
              <w:rPr>
                <w:rFonts w:eastAsia="Times New Roman"/>
                <w:bCs/>
                <w:kern w:val="32"/>
                <w:lang w:val="sr-Cyrl-CS"/>
              </w:rPr>
              <w:t>.</w:t>
            </w:r>
          </w:p>
        </w:tc>
      </w:tr>
    </w:tbl>
    <w:p>
      <w:pPr>
        <w:spacing w:before="120" w:after="120"/>
        <w:jc w:val="both"/>
        <w:rPr>
          <w:rFonts w:eastAsia="Times New Roman" w:asciiTheme="minorHAnsi" w:hAnsiTheme="minorHAnsi"/>
          <w:bCs/>
          <w:kern w:val="32"/>
          <w:lang w:val="sr-Cyrl-CS"/>
        </w:rPr>
      </w:pPr>
      <w:r>
        <w:rPr>
          <w:rFonts w:eastAsia="Times New Roman"/>
          <w:bCs/>
          <w:kern w:val="32"/>
        </w:rPr>
        <w:t>На територији града нема стално присутних дивљих депонија, јер се континуирано врши њихово уклањање. Основни проблеми у управљању отпадом на територији града</w:t>
      </w:r>
      <w:r>
        <w:rPr>
          <w:rFonts w:eastAsia="Times New Roman"/>
          <w:bCs/>
          <w:kern w:val="32"/>
          <w:lang w:val="bs-Latn-BA"/>
        </w:rPr>
        <w:t xml:space="preserve"> </w:t>
      </w:r>
      <w:r>
        <w:rPr>
          <w:rFonts w:eastAsia="Times New Roman" w:asciiTheme="minorHAnsi" w:hAnsiTheme="minorHAnsi"/>
          <w:bCs/>
          <w:kern w:val="32"/>
        </w:rPr>
        <w:t>су</w:t>
      </w:r>
      <w:r>
        <w:rPr>
          <w:rFonts w:eastAsia="Times New Roman"/>
          <w:bCs/>
          <w:kern w:val="32"/>
          <w:lang w:val="bs-Latn-BA"/>
        </w:rPr>
        <w:t xml:space="preserve"> </w:t>
      </w:r>
      <w:r>
        <w:rPr>
          <w:rFonts w:eastAsia="Times New Roman"/>
          <w:bCs/>
          <w:kern w:val="32"/>
          <w:vertAlign w:val="superscript"/>
        </w:rPr>
        <w:footnoteReference w:id="83"/>
      </w:r>
      <w:r>
        <w:rPr>
          <w:rFonts w:eastAsia="Times New Roman"/>
          <w:bCs/>
          <w:kern w:val="32"/>
        </w:rPr>
        <w:t>:</w:t>
      </w:r>
      <w:r>
        <w:rPr>
          <w:rFonts w:eastAsia="Times New Roman"/>
          <w:bCs/>
          <w:kern w:val="32"/>
          <w:lang w:val="sr-Cyrl-RS"/>
        </w:rPr>
        <w:t xml:space="preserve"> н</w:t>
      </w:r>
      <w:r>
        <w:rPr>
          <w:rFonts w:eastAsia="Times New Roman" w:asciiTheme="minorHAnsi" w:hAnsiTheme="minorHAnsi"/>
          <w:bCs/>
          <w:kern w:val="32"/>
        </w:rPr>
        <w:t>епостојање рециклажног дворишта гдје би грађани могли да довезу одвојено прикупљене врсте комуналног отпада</w:t>
      </w:r>
      <w:r>
        <w:rPr>
          <w:rFonts w:eastAsia="Times New Roman" w:asciiTheme="minorHAnsi" w:hAnsiTheme="minorHAnsi"/>
          <w:bCs/>
          <w:kern w:val="32"/>
          <w:lang w:val="sr-Cyrl-RS"/>
        </w:rPr>
        <w:t>; н</w:t>
      </w:r>
      <w:r>
        <w:rPr>
          <w:rFonts w:eastAsia="Times New Roman" w:asciiTheme="minorHAnsi" w:hAnsiTheme="minorHAnsi"/>
          <w:bCs/>
          <w:kern w:val="32"/>
        </w:rPr>
        <w:t>едовољан број зелених острва на којима би се поставили намјенски контејнери за одвојено сакупљање отпада</w:t>
      </w:r>
      <w:r>
        <w:rPr>
          <w:rFonts w:eastAsia="Times New Roman" w:asciiTheme="minorHAnsi" w:hAnsiTheme="minorHAnsi"/>
          <w:bCs/>
          <w:kern w:val="32"/>
          <w:lang w:val="sr-Cyrl-RS"/>
        </w:rPr>
        <w:t>; н</w:t>
      </w:r>
      <w:r>
        <w:rPr>
          <w:rFonts w:eastAsia="Times New Roman" w:asciiTheme="minorHAnsi" w:hAnsiTheme="minorHAnsi"/>
          <w:bCs/>
          <w:kern w:val="32"/>
        </w:rPr>
        <w:t>еадекватно збрињавање опасног отпада због непостојања одговарајућег третмана истог (спаљивањем, неутралисањем итд.)</w:t>
      </w:r>
      <w:r>
        <w:rPr>
          <w:rFonts w:eastAsia="Times New Roman" w:asciiTheme="minorHAnsi" w:hAnsiTheme="minorHAnsi"/>
          <w:bCs/>
          <w:kern w:val="32"/>
          <w:lang w:val="sr-Cyrl-RS"/>
        </w:rPr>
        <w:t>; н</w:t>
      </w:r>
      <w:r>
        <w:rPr>
          <w:rFonts w:eastAsia="Times New Roman" w:asciiTheme="minorHAnsi" w:hAnsiTheme="minorHAnsi"/>
          <w:bCs/>
          <w:kern w:val="32"/>
        </w:rPr>
        <w:t>еадекватно збрињавање посебних категорија отпада: медицински, отпад животињског поријекла</w:t>
      </w:r>
      <w:r>
        <w:rPr>
          <w:rFonts w:eastAsia="Times New Roman" w:asciiTheme="minorHAnsi" w:hAnsiTheme="minorHAnsi"/>
          <w:bCs/>
          <w:kern w:val="32"/>
          <w:lang w:val="sr-Cyrl-RS"/>
        </w:rPr>
        <w:t xml:space="preserve"> и н</w:t>
      </w:r>
      <w:r>
        <w:rPr>
          <w:rFonts w:eastAsia="Times New Roman" w:asciiTheme="minorHAnsi" w:hAnsiTheme="minorHAnsi"/>
          <w:bCs/>
          <w:kern w:val="32"/>
        </w:rPr>
        <w:t>есавјесно одлагање отпада на обалама ријека.</w:t>
      </w:r>
    </w:p>
    <w:p>
      <w:pPr>
        <w:spacing w:before="120" w:after="120"/>
        <w:jc w:val="both"/>
        <w:rPr>
          <w:rFonts w:eastAsia="Times New Roman"/>
          <w:bCs/>
          <w:kern w:val="32"/>
          <w:lang w:val="sr-Cyrl-CS"/>
        </w:rPr>
      </w:pPr>
    </w:p>
    <w:p>
      <w:pPr>
        <w:keepNext/>
        <w:keepLines/>
        <w:spacing w:before="200"/>
        <w:ind w:left="426"/>
        <w:outlineLvl w:val="3"/>
        <w:rPr>
          <w:rFonts w:eastAsia="Times New Roman" w:asciiTheme="minorHAnsi" w:hAnsiTheme="minorHAnsi" w:cstheme="minorHAnsi"/>
          <w:b/>
          <w:bCs/>
          <w:i/>
          <w:iCs/>
          <w:lang w:val="hr-HR"/>
        </w:rPr>
      </w:pPr>
      <w:bookmarkStart w:id="85" w:name="_Toc526761919"/>
      <w:bookmarkStart w:id="86" w:name="_Toc500506487"/>
      <w:r>
        <w:rPr>
          <w:rFonts w:eastAsia="Times New Roman" w:asciiTheme="minorHAnsi" w:hAnsiTheme="minorHAnsi" w:cstheme="minorHAnsi"/>
          <w:b/>
          <w:bCs/>
          <w:i/>
          <w:iCs/>
          <w:lang w:val="hr-HR"/>
        </w:rPr>
        <w:t>IV.1.7.7. Зелене</w:t>
      </w:r>
      <w:r>
        <w:rPr>
          <w:rFonts w:eastAsia="Times New Roman" w:asciiTheme="minorHAnsi" w:hAnsiTheme="minorHAnsi" w:cstheme="minorHAnsi"/>
          <w:b/>
          <w:bCs/>
          <w:i/>
          <w:iCs/>
          <w:lang w:val="sr-Cyrl-RS"/>
        </w:rPr>
        <w:t xml:space="preserve"> </w:t>
      </w:r>
      <w:r>
        <w:rPr>
          <w:rFonts w:eastAsia="Times New Roman" w:asciiTheme="minorHAnsi" w:hAnsiTheme="minorHAnsi" w:cstheme="minorHAnsi"/>
          <w:b/>
          <w:bCs/>
          <w:i/>
          <w:iCs/>
          <w:lang w:val="hr-HR"/>
        </w:rPr>
        <w:t>површине</w:t>
      </w:r>
      <w:bookmarkEnd w:id="85"/>
      <w:bookmarkEnd w:id="86"/>
    </w:p>
    <w:p>
      <w:pPr>
        <w:spacing w:before="120" w:after="120"/>
        <w:jc w:val="both"/>
        <w:rPr>
          <w:rFonts w:eastAsia="Times New Roman" w:cs="Calibri"/>
          <w:color w:val="000000"/>
          <w:lang w:eastAsia="hr-HR"/>
        </w:rPr>
      </w:pPr>
      <w:r>
        <w:rPr>
          <w:rFonts w:eastAsia="Times New Roman" w:cs="Calibri"/>
          <w:color w:val="000000"/>
          <w:lang w:val="hr-HR" w:eastAsia="hr-HR"/>
        </w:rPr>
        <w:t>Бања Лука је позната као град зеленила - има 22.000 стабала дрвећа засађених у алејама, парковима и насељима, које је у обавези да одржава Град. У граду је 150 хектара травњака, 40 километара зелене ограде, 31.000 комада украсног грмља и 5.000 комада ружа, те велики број сезонског цвијећа. Укупна</w:t>
      </w:r>
      <w:r>
        <w:rPr>
          <w:rFonts w:eastAsia="Times New Roman" w:cs="Calibri"/>
          <w:color w:val="000000"/>
          <w:lang w:eastAsia="hr-HR"/>
        </w:rPr>
        <w:t xml:space="preserve"> површина уређених парковских површина на подручју града Бања Лука износи 78.233 m</w:t>
      </w:r>
      <w:r>
        <w:rPr>
          <w:rFonts w:eastAsia="Times New Roman" w:cs="Calibri"/>
          <w:color w:val="000000"/>
          <w:vertAlign w:val="superscript"/>
          <w:lang w:eastAsia="hr-HR"/>
        </w:rPr>
        <w:t>2</w:t>
      </w:r>
      <w:r>
        <w:rPr>
          <w:rFonts w:eastAsia="Times New Roman" w:cs="Calibri"/>
          <w:color w:val="000000"/>
          <w:lang w:eastAsia="hr-HR"/>
        </w:rPr>
        <w:t>. Два најзначајнија парка у граду су парк „Петар Кочић“ и парк „Младен Стојановић“.</w:t>
      </w:r>
      <w:r>
        <w:rPr>
          <w:rFonts w:eastAsia="Times New Roman" w:cs="Calibri"/>
          <w:color w:val="000000"/>
          <w:vertAlign w:val="superscript"/>
          <w:lang w:eastAsia="hr-HR"/>
        </w:rPr>
        <w:footnoteReference w:id="84"/>
      </w:r>
    </w:p>
    <w:p>
      <w:pPr>
        <w:spacing w:before="120" w:after="120"/>
        <w:jc w:val="both"/>
        <w:rPr>
          <w:rFonts w:eastAsia="Times New Roman" w:cs="Calibri"/>
          <w:color w:val="000000"/>
          <w:lang w:eastAsia="hr-HR"/>
        </w:rPr>
      </w:pPr>
      <w:r>
        <w:rPr>
          <w:rFonts w:eastAsia="Times New Roman" w:cs="Calibri"/>
          <w:color w:val="000000"/>
          <w:lang w:eastAsia="hr-HR"/>
        </w:rPr>
        <w:t xml:space="preserve">Зелене површине се одржавају према урађеном програму одржавања за сваку годину, којим је предвиђено да се травњаци у парковима и у ужем дијелу града косе </w:t>
      </w:r>
      <w:r>
        <w:rPr>
          <w:rFonts w:eastAsia="Times New Roman" w:cs="Calibri"/>
          <w:color w:val="000000"/>
          <w:lang w:val="bs-Latn-BA" w:eastAsia="hr-HR"/>
        </w:rPr>
        <w:t xml:space="preserve">7 </w:t>
      </w:r>
      <w:r>
        <w:rPr>
          <w:rFonts w:eastAsia="Times New Roman" w:cs="Calibri"/>
          <w:color w:val="000000"/>
          <w:lang w:eastAsia="hr-HR"/>
        </w:rPr>
        <w:t xml:space="preserve">до 15 пута годишње, зелене траке уз саобраћајнице најмање </w:t>
      </w:r>
      <w:r>
        <w:rPr>
          <w:rFonts w:eastAsia="Times New Roman" w:cs="Calibri"/>
          <w:color w:val="000000"/>
          <w:lang w:val="bs-Latn-BA" w:eastAsia="hr-HR"/>
        </w:rPr>
        <w:t>4</w:t>
      </w:r>
      <w:r>
        <w:rPr>
          <w:rFonts w:eastAsia="Times New Roman" w:cs="Calibri"/>
          <w:color w:val="000000"/>
          <w:lang w:eastAsia="hr-HR"/>
        </w:rPr>
        <w:t xml:space="preserve"> до </w:t>
      </w:r>
      <w:r>
        <w:rPr>
          <w:rFonts w:eastAsia="Times New Roman" w:cs="Calibri"/>
          <w:color w:val="000000"/>
          <w:lang w:val="bs-Latn-BA" w:eastAsia="hr-HR"/>
        </w:rPr>
        <w:t>7</w:t>
      </w:r>
      <w:r>
        <w:rPr>
          <w:rFonts w:eastAsia="Times New Roman" w:cs="Calibri"/>
          <w:color w:val="000000"/>
          <w:lang w:eastAsia="hr-HR"/>
        </w:rPr>
        <w:t xml:space="preserve"> пута годишње, а травњаци у насељима </w:t>
      </w:r>
      <w:r>
        <w:rPr>
          <w:rFonts w:eastAsia="Times New Roman" w:cs="Calibri"/>
          <w:color w:val="000000"/>
          <w:lang w:val="bs-Latn-BA" w:eastAsia="hr-HR"/>
        </w:rPr>
        <w:t>2</w:t>
      </w:r>
      <w:r>
        <w:rPr>
          <w:rFonts w:eastAsia="Times New Roman" w:cs="Calibri"/>
          <w:color w:val="000000"/>
          <w:lang w:eastAsia="hr-HR"/>
        </w:rPr>
        <w:t xml:space="preserve"> до </w:t>
      </w:r>
      <w:r>
        <w:rPr>
          <w:rFonts w:eastAsia="Times New Roman" w:cs="Calibri"/>
          <w:color w:val="000000"/>
          <w:lang w:val="bs-Latn-BA" w:eastAsia="hr-HR"/>
        </w:rPr>
        <w:t>4</w:t>
      </w:r>
      <w:r>
        <w:rPr>
          <w:rFonts w:eastAsia="Times New Roman" w:cs="Calibri"/>
          <w:color w:val="000000"/>
          <w:lang w:eastAsia="hr-HR"/>
        </w:rPr>
        <w:t xml:space="preserve"> пута.</w:t>
      </w:r>
      <w:r>
        <w:rPr>
          <w:rFonts w:eastAsia="Times New Roman" w:cs="Calibri"/>
          <w:color w:val="000000"/>
          <w:lang w:val="bs-Latn-BA" w:eastAsia="hr-HR"/>
        </w:rPr>
        <w:t xml:space="preserve"> </w:t>
      </w:r>
      <w:r>
        <w:rPr>
          <w:rFonts w:eastAsia="Times New Roman" w:cs="Calibri"/>
          <w:color w:val="000000"/>
          <w:lang w:eastAsia="hr-HR"/>
        </w:rPr>
        <w:t xml:space="preserve">Осим кошње, врши се и реконструкција, дјелимична или потпуна, уништених травњака. Редовно орезивање живе ограде и грмља подразумијева најмање </w:t>
      </w:r>
      <w:r>
        <w:rPr>
          <w:rFonts w:eastAsia="Times New Roman" w:cs="Calibri"/>
          <w:color w:val="000000"/>
          <w:lang w:val="bs-Latn-BA" w:eastAsia="hr-HR"/>
        </w:rPr>
        <w:t>2</w:t>
      </w:r>
      <w:r>
        <w:rPr>
          <w:rFonts w:eastAsia="Times New Roman" w:cs="Calibri"/>
          <w:color w:val="000000"/>
          <w:lang w:eastAsia="hr-HR"/>
        </w:rPr>
        <w:t xml:space="preserve"> пута годишње орезивање и занављање оштећених мјеста. Годишње се засади око 2.000 стабала.</w:t>
      </w:r>
    </w:p>
    <w:p>
      <w:pPr>
        <w:spacing w:before="120" w:after="120"/>
        <w:jc w:val="both"/>
        <w:rPr>
          <w:rFonts w:eastAsia="Times New Roman" w:cs="Calibri"/>
          <w:color w:val="000000"/>
          <w:lang w:eastAsia="hr-HR"/>
        </w:rPr>
      </w:pPr>
      <w:r>
        <w:rPr>
          <w:rFonts w:eastAsia="Times New Roman" w:cs="Calibri"/>
          <w:color w:val="000000"/>
          <w:lang w:eastAsia="hr-HR"/>
        </w:rPr>
        <w:t>Цјеловита егзактна анализа о стању вегетације Бања Луке није рађена, али постоји више парцијалних студија о уређивању појединих урбаних простора и заштити Парк-шума</w:t>
      </w:r>
      <w:r>
        <w:rPr>
          <w:rFonts w:eastAsia="Times New Roman" w:cs="Calibri"/>
          <w:color w:val="000000"/>
          <w:lang w:val="sr-Cyrl-CS" w:eastAsia="hr-HR"/>
        </w:rPr>
        <w:t xml:space="preserve">. </w:t>
      </w:r>
      <w:r>
        <w:rPr>
          <w:rFonts w:eastAsia="Times New Roman" w:cs="Calibri"/>
          <w:color w:val="000000"/>
          <w:lang w:eastAsia="hr-HR"/>
        </w:rPr>
        <w:t>Свака категорија зеленила, према својим специфичностима одржава се на различите начине и различитим методама. Зато су зелене површине Града, на неки начин (ослањајући се на категоризацију по Н</w:t>
      </w:r>
      <w:r>
        <w:rPr>
          <w:rFonts w:eastAsia="Times New Roman" w:cs="Calibri"/>
          <w:color w:val="000000"/>
          <w:lang w:val="sr-Cyrl-CS" w:eastAsia="hr-HR"/>
        </w:rPr>
        <w:t>е</w:t>
      </w:r>
      <w:r>
        <w:rPr>
          <w:rFonts w:eastAsia="Times New Roman" w:cs="Calibri"/>
          <w:color w:val="000000"/>
          <w:lang w:eastAsia="hr-HR"/>
        </w:rPr>
        <w:t>бојши Анастасијевићу), систематизоване и разврстане по категоријама: Паркови и остале мање површине у центру</w:t>
      </w:r>
      <w:r>
        <w:rPr>
          <w:rFonts w:eastAsia="Times New Roman" w:cs="Calibri"/>
          <w:color w:val="000000"/>
          <w:lang w:val="sr-Cyrl-CS" w:eastAsia="hr-HR"/>
        </w:rPr>
        <w:t xml:space="preserve">; </w:t>
      </w:r>
      <w:r>
        <w:rPr>
          <w:rFonts w:eastAsia="Times New Roman" w:cs="Calibri"/>
          <w:color w:val="000000"/>
          <w:lang w:eastAsia="hr-HR"/>
        </w:rPr>
        <w:t>Траке уз саобраћајнице,</w:t>
      </w:r>
      <w:r>
        <w:rPr>
          <w:rFonts w:eastAsia="Times New Roman" w:cs="Calibri"/>
          <w:color w:val="000000"/>
          <w:lang w:val="sr-Cyrl-CS" w:eastAsia="hr-HR"/>
        </w:rPr>
        <w:t xml:space="preserve"> </w:t>
      </w:r>
      <w:r>
        <w:rPr>
          <w:rFonts w:eastAsia="Times New Roman" w:cs="Calibri"/>
          <w:color w:val="000000"/>
          <w:lang w:eastAsia="hr-HR"/>
        </w:rPr>
        <w:t>Зеленило у насељима</w:t>
      </w:r>
      <w:r>
        <w:rPr>
          <w:rFonts w:eastAsia="Times New Roman" w:cs="Calibri"/>
          <w:color w:val="000000"/>
          <w:lang w:val="sr-Cyrl-CS" w:eastAsia="hr-HR"/>
        </w:rPr>
        <w:t xml:space="preserve">; </w:t>
      </w:r>
      <w:r>
        <w:rPr>
          <w:rFonts w:eastAsia="Times New Roman" w:cs="Calibri"/>
          <w:color w:val="000000"/>
          <w:lang w:eastAsia="hr-HR"/>
        </w:rPr>
        <w:t>Дрвореди и стабла у блоковском зеленилу</w:t>
      </w:r>
      <w:r>
        <w:rPr>
          <w:rFonts w:eastAsia="Times New Roman" w:cs="Calibri"/>
          <w:color w:val="000000"/>
          <w:lang w:val="sr-Cyrl-CS" w:eastAsia="hr-HR"/>
        </w:rPr>
        <w:t xml:space="preserve">; </w:t>
      </w:r>
      <w:r>
        <w:rPr>
          <w:rFonts w:eastAsia="Times New Roman" w:cs="Calibri"/>
          <w:color w:val="000000"/>
          <w:lang w:eastAsia="hr-HR"/>
        </w:rPr>
        <w:t>Зеленило тврђаве Кастел</w:t>
      </w:r>
      <w:r>
        <w:rPr>
          <w:rFonts w:eastAsia="Times New Roman" w:cs="Calibri"/>
          <w:color w:val="000000"/>
          <w:lang w:val="sr-Cyrl-CS" w:eastAsia="hr-HR"/>
        </w:rPr>
        <w:t xml:space="preserve">; </w:t>
      </w:r>
      <w:r>
        <w:rPr>
          <w:rFonts w:eastAsia="Times New Roman" w:cs="Calibri"/>
          <w:color w:val="000000"/>
          <w:lang w:eastAsia="hr-HR"/>
        </w:rPr>
        <w:t>Зеленило спомен обиљежја</w:t>
      </w:r>
      <w:r>
        <w:rPr>
          <w:rFonts w:eastAsia="Times New Roman" w:cs="Calibri"/>
          <w:color w:val="000000"/>
          <w:lang w:val="sr-Cyrl-CS" w:eastAsia="hr-HR"/>
        </w:rPr>
        <w:t xml:space="preserve">; </w:t>
      </w:r>
      <w:r>
        <w:rPr>
          <w:rFonts w:eastAsia="Times New Roman" w:cs="Calibri"/>
          <w:color w:val="000000"/>
          <w:lang w:eastAsia="hr-HR"/>
        </w:rPr>
        <w:t>Бањ брдо и излетишта Трешњик и Шибови</w:t>
      </w:r>
      <w:r>
        <w:rPr>
          <w:rFonts w:eastAsia="Times New Roman" w:cs="Calibri"/>
          <w:color w:val="000000"/>
          <w:lang w:val="sr-Cyrl-CS" w:eastAsia="hr-HR"/>
        </w:rPr>
        <w:t xml:space="preserve">; </w:t>
      </w:r>
      <w:r>
        <w:rPr>
          <w:rFonts w:eastAsia="Times New Roman" w:cs="Calibri"/>
          <w:color w:val="000000"/>
          <w:lang w:eastAsia="hr-HR"/>
        </w:rPr>
        <w:t>Коровишта</w:t>
      </w:r>
      <w:r>
        <w:rPr>
          <w:rFonts w:eastAsia="Times New Roman" w:cs="Calibri"/>
          <w:color w:val="000000"/>
          <w:lang w:val="sr-Cyrl-CS" w:eastAsia="hr-HR"/>
        </w:rPr>
        <w:t xml:space="preserve">; </w:t>
      </w:r>
      <w:r>
        <w:rPr>
          <w:rFonts w:eastAsia="Times New Roman" w:cs="Calibri"/>
          <w:color w:val="000000"/>
          <w:lang w:eastAsia="hr-HR"/>
        </w:rPr>
        <w:t>Цвијетњаци</w:t>
      </w:r>
      <w:r>
        <w:rPr>
          <w:rFonts w:eastAsia="Times New Roman" w:cs="Calibri"/>
          <w:color w:val="000000"/>
          <w:lang w:val="sr-Cyrl-CS" w:eastAsia="hr-HR"/>
        </w:rPr>
        <w:t xml:space="preserve">; </w:t>
      </w:r>
      <w:r>
        <w:rPr>
          <w:rFonts w:eastAsia="Times New Roman" w:cs="Calibri"/>
          <w:color w:val="000000"/>
          <w:lang w:eastAsia="hr-HR"/>
        </w:rPr>
        <w:t>Ружичњаци</w:t>
      </w:r>
      <w:r>
        <w:rPr>
          <w:rFonts w:eastAsia="Times New Roman" w:cs="Calibri"/>
          <w:color w:val="000000"/>
          <w:lang w:val="sr-Cyrl-CS" w:eastAsia="hr-HR"/>
        </w:rPr>
        <w:t xml:space="preserve">; </w:t>
      </w:r>
      <w:r>
        <w:rPr>
          <w:rFonts w:eastAsia="Times New Roman" w:cs="Calibri"/>
          <w:color w:val="000000"/>
          <w:lang w:eastAsia="hr-HR"/>
        </w:rPr>
        <w:t>Декоративно грмље</w:t>
      </w:r>
      <w:r>
        <w:rPr>
          <w:rFonts w:eastAsia="Times New Roman" w:cs="Calibri"/>
          <w:color w:val="000000"/>
          <w:lang w:val="sr-Cyrl-CS" w:eastAsia="hr-HR"/>
        </w:rPr>
        <w:t xml:space="preserve">; </w:t>
      </w:r>
      <w:r>
        <w:rPr>
          <w:rFonts w:eastAsia="Times New Roman" w:cs="Calibri"/>
          <w:color w:val="000000"/>
          <w:lang w:eastAsia="hr-HR"/>
        </w:rPr>
        <w:t>Живе ограде</w:t>
      </w:r>
      <w:r>
        <w:rPr>
          <w:rFonts w:eastAsia="Times New Roman" w:cs="Calibri"/>
          <w:color w:val="000000"/>
          <w:lang w:val="sr-Cyrl-CS" w:eastAsia="hr-HR"/>
        </w:rPr>
        <w:t>; П</w:t>
      </w:r>
      <w:r>
        <w:rPr>
          <w:rFonts w:eastAsia="Times New Roman" w:cs="Calibri"/>
          <w:color w:val="000000"/>
          <w:lang w:eastAsia="hr-HR"/>
        </w:rPr>
        <w:t>овршине које се косе ради сузбијања амброзије.</w:t>
      </w:r>
    </w:p>
    <w:p>
      <w:pPr>
        <w:spacing w:before="120" w:after="120"/>
        <w:jc w:val="both"/>
        <w:rPr>
          <w:rFonts w:eastAsia="Times New Roman" w:cs="Calibri"/>
          <w:color w:val="000000"/>
          <w:lang w:val="sr-Cyrl-CS" w:eastAsia="hr-HR"/>
        </w:rPr>
      </w:pPr>
      <w:r>
        <w:rPr>
          <w:rFonts w:eastAsia="Times New Roman" w:cs="Calibri"/>
          <w:color w:val="000000"/>
          <w:lang w:eastAsia="hr-HR"/>
        </w:rPr>
        <w:t>На основу ове категоризације детаљно је разрађена динамика свих активности за сваку категорију</w:t>
      </w:r>
      <w:r>
        <w:rPr>
          <w:rFonts w:eastAsia="Times New Roman" w:cs="Calibri"/>
          <w:color w:val="000000"/>
          <w:lang w:val="sr-Cyrl-CS" w:eastAsia="hr-HR"/>
        </w:rPr>
        <w:t>, али иста има и одређене з</w:t>
      </w:r>
      <w:r>
        <w:rPr>
          <w:rFonts w:eastAsia="Times New Roman" w:cs="Calibri"/>
          <w:color w:val="000000"/>
          <w:lang w:eastAsia="hr-HR"/>
        </w:rPr>
        <w:t>амјерк</w:t>
      </w:r>
      <w:r>
        <w:rPr>
          <w:rFonts w:eastAsia="Times New Roman" w:cs="Calibri"/>
          <w:color w:val="000000"/>
          <w:lang w:val="sr-Cyrl-CS" w:eastAsia="hr-HR"/>
        </w:rPr>
        <w:t xml:space="preserve">е. На превазилажењу проблема непостојања комплетне и транспарентне базе података која би обухватила сва стабла и све површине које Град има обавезу да одржава, </w:t>
      </w:r>
      <w:r>
        <w:rPr>
          <w:rFonts w:eastAsia="Times New Roman" w:cs="Calibri"/>
          <w:color w:val="000000"/>
          <w:lang w:eastAsia="hr-HR"/>
        </w:rPr>
        <w:t xml:space="preserve">2015. </w:t>
      </w:r>
      <w:r>
        <w:rPr>
          <w:rFonts w:eastAsia="Times New Roman" w:cs="Calibri"/>
          <w:color w:val="000000"/>
          <w:lang w:val="sr-Cyrl-CS" w:eastAsia="hr-HR"/>
        </w:rPr>
        <w:t>г</w:t>
      </w:r>
      <w:r>
        <w:rPr>
          <w:rFonts w:eastAsia="Times New Roman" w:cs="Calibri"/>
          <w:color w:val="000000"/>
          <w:lang w:eastAsia="hr-HR"/>
        </w:rPr>
        <w:t>одине</w:t>
      </w:r>
      <w:r>
        <w:rPr>
          <w:rFonts w:eastAsia="Times New Roman" w:cs="Calibri"/>
          <w:color w:val="000000"/>
          <w:lang w:val="sr-Cyrl-CS" w:eastAsia="hr-HR"/>
        </w:rPr>
        <w:t xml:space="preserve"> </w:t>
      </w:r>
      <w:r>
        <w:rPr>
          <w:rFonts w:eastAsia="Times New Roman" w:cs="Calibri"/>
          <w:color w:val="000000"/>
          <w:lang w:eastAsia="hr-HR"/>
        </w:rPr>
        <w:t xml:space="preserve">покренута </w:t>
      </w:r>
      <w:r>
        <w:rPr>
          <w:rFonts w:eastAsia="Times New Roman" w:cs="Calibri"/>
          <w:color w:val="000000"/>
          <w:lang w:val="sr-Cyrl-CS" w:eastAsia="hr-HR"/>
        </w:rPr>
        <w:t xml:space="preserve">је </w:t>
      </w:r>
      <w:r>
        <w:rPr>
          <w:rFonts w:eastAsia="Times New Roman" w:cs="Calibri"/>
          <w:color w:val="000000"/>
          <w:lang w:eastAsia="hr-HR"/>
        </w:rPr>
        <w:t xml:space="preserve">иницијатива за израду нове студије и ГИС базе података са анализом здравственог стања старих дрвореда. </w:t>
      </w:r>
      <w:r>
        <w:rPr>
          <w:rFonts w:eastAsia="Times New Roman" w:cs="Calibri"/>
          <w:color w:val="000000"/>
          <w:lang w:val="sr-Cyrl-CS" w:eastAsia="hr-HR"/>
        </w:rPr>
        <w:t xml:space="preserve"> </w:t>
      </w:r>
      <w:r>
        <w:rPr>
          <w:rFonts w:eastAsia="Times New Roman" w:cs="Calibri"/>
          <w:color w:val="000000"/>
          <w:lang w:eastAsia="hr-HR"/>
        </w:rPr>
        <w:t>Стољетни дрвореди у неколико бањалучких улица су једна од карактеристика по којој је Бањалука позната на просторима земаља бивше Југославије па и шире. Од свих категорија зеленила (паркови, скверови, зелене површине испред јавних зграда, зеленило дуж обала, плажа и кејова, парк-шуме, излетишта, блоковско зеленило, и</w:t>
      </w:r>
      <w:r>
        <w:rPr>
          <w:rFonts w:eastAsia="Times New Roman" w:cs="Calibri"/>
          <w:color w:val="000000"/>
          <w:lang w:val="sr-Cyrl-CS" w:eastAsia="hr-HR"/>
        </w:rPr>
        <w:t xml:space="preserve"> </w:t>
      </w:r>
      <w:r>
        <w:rPr>
          <w:rFonts w:eastAsia="Times New Roman" w:cs="Calibri"/>
          <w:color w:val="000000"/>
          <w:lang w:eastAsia="hr-HR"/>
        </w:rPr>
        <w:t>др.)</w:t>
      </w:r>
      <w:r>
        <w:rPr>
          <w:rFonts w:eastAsia="Times New Roman" w:cs="Calibri"/>
          <w:color w:val="000000"/>
          <w:lang w:val="sr-Cyrl-CS" w:eastAsia="hr-HR"/>
        </w:rPr>
        <w:t>,</w:t>
      </w:r>
      <w:r>
        <w:rPr>
          <w:rFonts w:eastAsia="Times New Roman" w:cs="Calibri"/>
          <w:color w:val="000000"/>
          <w:lang w:eastAsia="hr-HR"/>
        </w:rPr>
        <w:t xml:space="preserve"> због утицаја абиотичких и биотичких фактора најугроженији су дрвореди. Проблем пропадања стабала се почео јављати прије неколико деценија. Године 1979. је урађена студија Анализа здравственог стања стабала на зеленим површинама Бања Луке, али се 2001. године указала потреба за израду нове студије са приједлогом мјера. Услови за израду нове студије стечени су 2016. </w:t>
      </w:r>
      <w:r>
        <w:rPr>
          <w:rFonts w:eastAsia="Times New Roman" w:cs="Calibri"/>
          <w:color w:val="000000"/>
          <w:lang w:val="sr-Cyrl-CS" w:eastAsia="hr-HR"/>
        </w:rPr>
        <w:t>г</w:t>
      </w:r>
      <w:r>
        <w:rPr>
          <w:rFonts w:eastAsia="Times New Roman" w:cs="Calibri"/>
          <w:color w:val="000000"/>
          <w:lang w:eastAsia="hr-HR"/>
        </w:rPr>
        <w:t>одине</w:t>
      </w:r>
      <w:r>
        <w:rPr>
          <w:rFonts w:eastAsia="Times New Roman" w:cs="Calibri"/>
          <w:color w:val="000000"/>
          <w:lang w:val="sr-Cyrl-CS" w:eastAsia="hr-HR"/>
        </w:rPr>
        <w:t>,</w:t>
      </w:r>
      <w:r>
        <w:rPr>
          <w:rFonts w:eastAsia="Times New Roman" w:cs="Calibri"/>
          <w:color w:val="000000"/>
          <w:lang w:eastAsia="hr-HR"/>
        </w:rPr>
        <w:t xml:space="preserve"> када је израђена Прва фаза – инвентаризације, валоризације и атрибутизације дрвореда у Бањалуци у функцији формирања катастра зеленила за 13 улица. Успостављање ГИС-а урбаног зелнила за 13 најугроженијих дрвореда представља прекретницу у начину газдовања бањалучким зеленилом, а очекује се окончање друге фазе за још 10 нових улица.</w:t>
      </w:r>
    </w:p>
    <w:p>
      <w:pPr>
        <w:spacing w:before="120" w:after="120"/>
        <w:jc w:val="both"/>
        <w:rPr>
          <w:rFonts w:eastAsia="Times New Roman" w:cs="Calibri"/>
          <w:color w:val="000000"/>
          <w:lang w:val="sr-Cyrl-CS" w:eastAsia="hr-HR"/>
        </w:rPr>
      </w:pPr>
    </w:p>
    <w:p>
      <w:pPr>
        <w:keepNext/>
        <w:keepLines/>
        <w:spacing w:before="200"/>
        <w:ind w:left="426"/>
        <w:outlineLvl w:val="3"/>
        <w:rPr>
          <w:rFonts w:eastAsia="Times New Roman" w:asciiTheme="minorHAnsi" w:hAnsiTheme="minorHAnsi" w:cstheme="minorHAnsi"/>
          <w:b/>
          <w:bCs/>
          <w:i/>
          <w:iCs/>
          <w:lang w:val="hr-HR"/>
        </w:rPr>
      </w:pPr>
      <w:bookmarkStart w:id="87" w:name="_Toc526761920"/>
      <w:bookmarkStart w:id="88" w:name="_Toc500506488"/>
      <w:r>
        <w:rPr>
          <w:rFonts w:eastAsia="Times New Roman" w:asciiTheme="minorHAnsi" w:hAnsiTheme="minorHAnsi" w:cstheme="minorHAnsi"/>
          <w:b/>
          <w:bCs/>
          <w:i/>
          <w:iCs/>
          <w:lang w:val="hr-HR"/>
        </w:rPr>
        <w:t>IV.1.7.</w:t>
      </w:r>
      <w:r>
        <w:rPr>
          <w:rFonts w:eastAsia="Times New Roman" w:asciiTheme="minorHAnsi" w:hAnsiTheme="minorHAnsi" w:cstheme="minorHAnsi"/>
          <w:b/>
          <w:bCs/>
          <w:i/>
          <w:iCs/>
        </w:rPr>
        <w:t>8</w:t>
      </w:r>
      <w:r>
        <w:rPr>
          <w:rFonts w:eastAsia="Times New Roman" w:asciiTheme="minorHAnsi" w:hAnsiTheme="minorHAnsi" w:cstheme="minorHAnsi"/>
          <w:b/>
          <w:bCs/>
          <w:i/>
          <w:iCs/>
          <w:lang w:val="hr-HR"/>
        </w:rPr>
        <w:t>. Енергетска ефикасност</w:t>
      </w:r>
      <w:bookmarkEnd w:id="87"/>
      <w:bookmarkEnd w:id="88"/>
    </w:p>
    <w:p>
      <w:pPr>
        <w:spacing w:before="120" w:after="120"/>
        <w:jc w:val="both"/>
      </w:pPr>
      <w:r>
        <w:t>Град Бања Лука је једна од првих локалних заједница у БиХ која је приступила иницијативи Европске комисије потписивањем „Споразума градоначелника европских градова“ (Covenant of Mayors). На тај начин, између осталог, обавезала се и на смањење емисије угљен диоксида (CO</w:t>
      </w:r>
      <w:r>
        <w:rPr>
          <w:vertAlign w:val="subscript"/>
        </w:rPr>
        <w:t>2</w:t>
      </w:r>
      <w:r>
        <w:t>) за 20% до 2020. године, што ће бити резултат повећања енергетске ефикасности за 20% и 20% удјела извора обновљиве енергије у комбинацији са другим енергијама (20:20:20).</w:t>
      </w:r>
      <w:r>
        <w:rPr>
          <w:lang w:val="bs-Latn-BA"/>
        </w:rPr>
        <w:t xml:space="preserve"> </w:t>
      </w:r>
      <w:r>
        <w:t xml:space="preserve">У складу с тим, Град Бања Лука на сједници Скупштини града Бања Лука 2010. </w:t>
      </w:r>
      <w:r>
        <w:rPr>
          <w:lang w:val="sr-Cyrl-CS"/>
        </w:rPr>
        <w:t>г</w:t>
      </w:r>
      <w:r>
        <w:t>одине</w:t>
      </w:r>
      <w:r>
        <w:rPr>
          <w:lang w:val="sr-Cyrl-CS"/>
        </w:rPr>
        <w:t>,</w:t>
      </w:r>
      <w:r>
        <w:t xml:space="preserve"> усваја Одрживи енергетски акциони план Града Бања Лука (СЕАП), који садржи активности за сектор зградарства, саобраћаја, јавне расвјете, управљања отпадом, индустрије и др.</w:t>
      </w:r>
    </w:p>
    <w:p>
      <w:pPr>
        <w:spacing w:before="120" w:after="120"/>
        <w:jc w:val="both"/>
      </w:pPr>
      <w:r>
        <w:t xml:space="preserve">Околности у циљу повећања енергетске ефикасности, као и предвиђена материјална средства за провођење истих, у СЕАП-у били су доста нереални и неадекватни за садашњу економску ситуацију (економска криза, пад буџетских прихода, поплаве које су се десиле у 2014. години и др). Исто тако, за поједине пројекте који су били предвиђени наведеним Одрживим Акционим планом тек 2015. </w:t>
      </w:r>
      <w:r>
        <w:rPr>
          <w:lang w:val="sr-Cyrl-CS"/>
        </w:rPr>
        <w:t>г</w:t>
      </w:r>
      <w:r>
        <w:t>одине</w:t>
      </w:r>
      <w:r>
        <w:rPr>
          <w:lang w:val="sr-Cyrl-CS"/>
        </w:rPr>
        <w:t>,</w:t>
      </w:r>
      <w:r>
        <w:t xml:space="preserve"> испунили су се законски услови за реализацију истих.</w:t>
      </w:r>
      <w:r>
        <w:rPr>
          <w:lang w:val="bs-Latn-BA"/>
        </w:rPr>
        <w:t xml:space="preserve"> </w:t>
      </w:r>
      <w:r>
        <w:t>Због тога, Одјељење за комуналне и стамбене послове и послове саобраћаја приступило је ревизији, те изради новог Акционог плана енергетске ефикасности који би био у складу са донесеном законском регулативом из области енергетске ефикасности - Законом о енергетској ефикасности (</w:t>
      </w:r>
      <w:r>
        <w:rPr>
          <w:lang w:val="bs-Latn-BA"/>
        </w:rPr>
        <w:t>„</w:t>
      </w:r>
      <w:r>
        <w:t>Сл. гласник</w:t>
      </w:r>
      <w:r>
        <w:rPr>
          <w:lang w:val="bs-Latn-BA"/>
        </w:rPr>
        <w:t xml:space="preserve"> </w:t>
      </w:r>
      <w:r>
        <w:t>РС</w:t>
      </w:r>
      <w:r>
        <w:rPr>
          <w:lang w:val="bs-Latn-BA"/>
        </w:rPr>
        <w:t>“</w:t>
      </w:r>
      <w:r>
        <w:t>, бр. 59/13)</w:t>
      </w:r>
      <w:r>
        <w:rPr>
          <w:lang w:val="sr-Cyrl-CS"/>
        </w:rPr>
        <w:t>,</w:t>
      </w:r>
      <w:r>
        <w:t xml:space="preserve"> али и са Акционим планом енергетске ефикасности Републике Српске, чији је основни циљ смањење укупне потрошње енергије за 9% до 2018. године.</w:t>
      </w:r>
    </w:p>
    <w:p>
      <w:pPr>
        <w:spacing w:before="120" w:after="120"/>
        <w:jc w:val="both"/>
      </w:pPr>
      <w:r>
        <w:t xml:space="preserve">Акциони план енергетске ефикасности (АПЕЕ) Града Бања Лука за период од 2016. до 2019. године је усвојен 2016. </w:t>
      </w:r>
      <w:r>
        <w:rPr>
          <w:lang w:val="sr-Cyrl-CS"/>
        </w:rPr>
        <w:t>г</w:t>
      </w:r>
      <w:r>
        <w:t>одине</w:t>
      </w:r>
      <w:r>
        <w:rPr>
          <w:lang w:val="sr-Cyrl-CS"/>
        </w:rPr>
        <w:t xml:space="preserve">. </w:t>
      </w:r>
      <w:r>
        <w:t>Индикативни циљ АПЕЕ Града Бања Луке за период 2016-2019. је смањењ</w:t>
      </w:r>
      <w:r>
        <w:rPr>
          <w:lang w:val="bs-Latn-BA"/>
        </w:rPr>
        <w:t xml:space="preserve">e </w:t>
      </w:r>
      <w:r>
        <w:t>потрошње енергије из необновљивих извора за 9% до 2019. године у односу на</w:t>
      </w:r>
      <w:r>
        <w:rPr>
          <w:lang w:val="bs-Latn-BA"/>
        </w:rPr>
        <w:t xml:space="preserve"> </w:t>
      </w:r>
      <w:r>
        <w:t>просјечну финалну потрошњу за период 2013-2015. године.</w:t>
      </w:r>
    </w:p>
    <w:p>
      <w:pPr>
        <w:spacing w:before="120" w:after="120"/>
        <w:jc w:val="both"/>
      </w:pPr>
      <w:r>
        <w:t>Укупна процијењена потрошња енергије на подручју града Бања Луке износи 1.479.326,5 МWh/год. Просјечна потрошња енергије у објектима под</w:t>
      </w:r>
      <w:r>
        <w:rPr>
          <w:lang w:val="bs-Latn-BA"/>
        </w:rPr>
        <w:t xml:space="preserve"> </w:t>
      </w:r>
      <w:r>
        <w:t xml:space="preserve">надлежношћу Града Бања Луке износи 353,6 </w:t>
      </w:r>
      <w:r>
        <w:rPr>
          <w:lang w:val="hr-HR"/>
        </w:rPr>
        <w:t>k</w:t>
      </w:r>
      <w:r>
        <w:t>Wh/</w:t>
      </w:r>
      <w:r>
        <w:rPr>
          <w:lang w:val="hr-HR"/>
        </w:rPr>
        <w:t>m</w:t>
      </w:r>
      <w:r>
        <w:rPr>
          <w:vertAlign w:val="superscript"/>
        </w:rPr>
        <w:t>2</w:t>
      </w:r>
      <w:r>
        <w:t>/год., а у објектима који нису</w:t>
      </w:r>
      <w:r>
        <w:rPr>
          <w:lang w:val="bs-Latn-BA"/>
        </w:rPr>
        <w:t xml:space="preserve"> </w:t>
      </w:r>
      <w:r>
        <w:t xml:space="preserve">под надлежношћу Града Бања Луке 347,4 </w:t>
      </w:r>
      <w:r>
        <w:rPr>
          <w:lang w:val="hr-HR"/>
        </w:rPr>
        <w:t>k</w:t>
      </w:r>
      <w:r>
        <w:t>Wh/</w:t>
      </w:r>
      <w:r>
        <w:rPr>
          <w:lang w:val="hr-HR"/>
        </w:rPr>
        <w:t>m</w:t>
      </w:r>
      <w:r>
        <w:rPr>
          <w:vertAlign w:val="superscript"/>
        </w:rPr>
        <w:t>2</w:t>
      </w:r>
      <w:r>
        <w:t>/год.</w:t>
      </w:r>
      <w:r>
        <w:rPr>
          <w:lang w:val="bs-Latn-BA"/>
        </w:rPr>
        <w:t xml:space="preserve"> </w:t>
      </w:r>
      <w:r>
        <w:t>Укупни процијењени трошкови за потребну количину енергије на подручју града</w:t>
      </w:r>
      <w:r>
        <w:rPr>
          <w:lang w:val="bs-Latn-BA"/>
        </w:rPr>
        <w:t xml:space="preserve"> </w:t>
      </w:r>
      <w:r>
        <w:t>Бања Луке износе 171.971.931,66 КМ.</w:t>
      </w:r>
      <w:r>
        <w:rPr>
          <w:lang w:val="bs-Latn-BA"/>
        </w:rPr>
        <w:t xml:space="preserve"> </w:t>
      </w:r>
      <w:r>
        <w:rPr>
          <w:lang w:val="sr-Cyrl-CS"/>
        </w:rPr>
        <w:t>В</w:t>
      </w:r>
      <w:r>
        <w:t>риједности просјечне потрошње енергије сврставају објекте на</w:t>
      </w:r>
      <w:r>
        <w:rPr>
          <w:lang w:val="bs-Latn-BA"/>
        </w:rPr>
        <w:t xml:space="preserve"> </w:t>
      </w:r>
      <w:r>
        <w:t xml:space="preserve">подручју града Бања Луке у изразито енергетски неефикасне. Укупна емисија </w:t>
      </w:r>
      <w:r>
        <w:rPr>
          <w:lang w:val="hr-HR"/>
        </w:rPr>
        <w:t>C</w:t>
      </w:r>
      <w:r>
        <w:t>О</w:t>
      </w:r>
      <w:r>
        <w:rPr>
          <w:vertAlign w:val="subscript"/>
        </w:rPr>
        <w:t>2</w:t>
      </w:r>
      <w:r>
        <w:t xml:space="preserve"> у граду Бања Луци износи 612.404,6 тоне, од чега су 67% емисије од</w:t>
      </w:r>
      <w:r>
        <w:rPr>
          <w:lang w:val="bs-Latn-BA"/>
        </w:rPr>
        <w:t xml:space="preserve"> </w:t>
      </w:r>
      <w:r>
        <w:t>потрошње електричне енергије, 14% од к</w:t>
      </w:r>
      <w:r>
        <w:rPr>
          <w:lang w:val="bs-Latn-BA"/>
        </w:rPr>
        <w:t>o</w:t>
      </w:r>
      <w:r>
        <w:t>ришт</w:t>
      </w:r>
      <w:r>
        <w:rPr>
          <w:lang w:val="bs-Latn-BA"/>
        </w:rPr>
        <w:t>e</w:t>
      </w:r>
      <w:r>
        <w:t>њ</w:t>
      </w:r>
      <w:r>
        <w:rPr>
          <w:lang w:val="bs-Latn-BA"/>
        </w:rPr>
        <w:t xml:space="preserve">a </w:t>
      </w:r>
      <w:r>
        <w:t>даљинског гријањ</w:t>
      </w:r>
      <w:r>
        <w:rPr>
          <w:lang w:val="bs-Latn-BA"/>
        </w:rPr>
        <w:t>a</w:t>
      </w:r>
      <w:r>
        <w:t>, те 19% од к</w:t>
      </w:r>
      <w:r>
        <w:rPr>
          <w:lang w:val="bs-Latn-BA"/>
        </w:rPr>
        <w:t>o</w:t>
      </w:r>
      <w:r>
        <w:t>ришт</w:t>
      </w:r>
      <w:r>
        <w:rPr>
          <w:lang w:val="bs-Latn-BA"/>
        </w:rPr>
        <w:t>e</w:t>
      </w:r>
      <w:r>
        <w:t>њ</w:t>
      </w:r>
      <w:r>
        <w:rPr>
          <w:lang w:val="bs-Latn-BA"/>
        </w:rPr>
        <w:t xml:space="preserve">a </w:t>
      </w:r>
      <w:r>
        <w:t>нафт</w:t>
      </w:r>
      <w:r>
        <w:rPr>
          <w:lang w:val="bs-Latn-BA"/>
        </w:rPr>
        <w:t>e</w:t>
      </w:r>
      <w:r>
        <w:t xml:space="preserve"> и нафтних дериват</w:t>
      </w:r>
      <w:r>
        <w:rPr>
          <w:lang w:val="bs-Latn-BA"/>
        </w:rPr>
        <w:t>a</w:t>
      </w:r>
      <w:r>
        <w:t>.</w:t>
      </w:r>
      <w:r>
        <w:rPr>
          <w:vertAlign w:val="superscript"/>
        </w:rPr>
        <w:footnoteReference w:id="85"/>
      </w:r>
    </w:p>
    <w:p>
      <w:pPr>
        <w:spacing w:before="120" w:after="120"/>
        <w:jc w:val="both"/>
        <w:rPr>
          <w:lang w:val="sr-Cyrl-CS"/>
        </w:rPr>
      </w:pPr>
      <w:r>
        <w:t>Побољшање енергетске ефикасности значи избјегавање (смањење) губитака енергије без нарушавања конфора, стандарда живота или економске активности и може се реализовати како у области производње</w:t>
      </w:r>
      <w:r>
        <w:rPr>
          <w:lang w:val="bs-Latn-BA"/>
        </w:rPr>
        <w:t>,</w:t>
      </w:r>
      <w:r>
        <w:t xml:space="preserve"> тако и потрошње енергије. Зграде су највећи појединачни потрошач</w:t>
      </w:r>
      <w:r>
        <w:rPr>
          <w:lang w:val="sr-Cyrl-CS"/>
        </w:rPr>
        <w:t>и</w:t>
      </w:r>
      <w:r>
        <w:t xml:space="preserve"> енергије и велики извор штетних емисија стакленичних плинова, посебно CО</w:t>
      </w:r>
      <w:r>
        <w:rPr>
          <w:vertAlign w:val="subscript"/>
        </w:rPr>
        <w:t>2</w:t>
      </w:r>
      <w:r>
        <w:t>. Повећање енергетске ефикасности у зградама је један од најисплатнијих начина смањења штетних емисија у околину, као и смањења трошкова за енергију.</w:t>
      </w:r>
      <w:r>
        <w:rPr>
          <w:lang w:val="sr-Cyrl-CS"/>
        </w:rPr>
        <w:t xml:space="preserve"> </w:t>
      </w:r>
      <w:r>
        <w:t>Кроз пројекат Свјетске банке „Енергетска ефикасност у БиХ“ и пројекат УНДП-а „Енергетска ефиканост јавних зграда у Републици Српској“</w:t>
      </w:r>
      <w:r>
        <w:rPr>
          <w:lang w:val="sr-Cyrl-CS"/>
        </w:rPr>
        <w:t xml:space="preserve"> </w:t>
      </w:r>
      <w:r>
        <w:t xml:space="preserve">обновљени су и енергетски опремљени </w:t>
      </w:r>
      <w:r>
        <w:rPr>
          <w:lang w:val="sr-Cyrl-CS"/>
        </w:rPr>
        <w:t xml:space="preserve">поједини јавни објекти.  Поред овог, </w:t>
      </w:r>
      <w:r>
        <w:t xml:space="preserve">Градска управа Града Бања Лука је током 2016. </w:t>
      </w:r>
      <w:r>
        <w:rPr>
          <w:lang w:val="sr-Cyrl-CS"/>
        </w:rPr>
        <w:t>г</w:t>
      </w:r>
      <w:r>
        <w:t>одине</w:t>
      </w:r>
      <w:r>
        <w:rPr>
          <w:lang w:val="sr-Cyrl-CS"/>
        </w:rPr>
        <w:t>, путем</w:t>
      </w:r>
      <w:r>
        <w:t xml:space="preserve"> </w:t>
      </w:r>
      <w:r>
        <w:rPr>
          <w:lang w:val="sr-Cyrl-CS"/>
        </w:rPr>
        <w:t>ј</w:t>
      </w:r>
      <w:r>
        <w:t>авн</w:t>
      </w:r>
      <w:r>
        <w:rPr>
          <w:lang w:val="sr-Cyrl-CS"/>
        </w:rPr>
        <w:t>ог</w:t>
      </w:r>
      <w:r>
        <w:t xml:space="preserve"> позив</w:t>
      </w:r>
      <w:r>
        <w:rPr>
          <w:lang w:val="sr-Cyrl-CS"/>
        </w:rPr>
        <w:t>а,</w:t>
      </w:r>
      <w:r>
        <w:t xml:space="preserve"> </w:t>
      </w:r>
      <w:r>
        <w:rPr>
          <w:lang w:val="sr-Cyrl-CS"/>
        </w:rPr>
        <w:t xml:space="preserve">почела додјељивати средства </w:t>
      </w:r>
      <w:r>
        <w:t>заједницама етажних власника стамбених зграда за суфинансирање радова на санацији фасада</w:t>
      </w:r>
      <w:r>
        <w:rPr>
          <w:lang w:val="sr-Cyrl-CS"/>
        </w:rPr>
        <w:t>.</w:t>
      </w:r>
    </w:p>
    <w:p>
      <w:pPr>
        <w:spacing w:before="120" w:after="120"/>
        <w:jc w:val="both"/>
        <w:rPr>
          <w:rFonts w:eastAsia="Times New Roman" w:asciiTheme="minorHAnsi" w:hAnsiTheme="minorHAnsi"/>
          <w:bCs/>
          <w:kern w:val="32"/>
          <w:lang w:val="sr-Cyrl-CS"/>
        </w:rPr>
      </w:pPr>
      <w:r>
        <w:t>Основни проблеми у остваривању веће енергетске ефикасности у граду Бања Луци су</w:t>
      </w:r>
      <w:r>
        <w:rPr>
          <w:vertAlign w:val="superscript"/>
        </w:rPr>
        <w:footnoteReference w:id="86"/>
      </w:r>
      <w:r>
        <w:rPr>
          <w:lang w:val="sr-Cyrl-RS"/>
        </w:rPr>
        <w:t xml:space="preserve"> с</w:t>
      </w:r>
      <w:r>
        <w:rPr>
          <w:rFonts w:eastAsia="Times New Roman" w:asciiTheme="minorHAnsi" w:hAnsiTheme="minorHAnsi"/>
          <w:bCs/>
          <w:kern w:val="32"/>
        </w:rPr>
        <w:t>лаба енергетска ефикасност објеката на градском подручју</w:t>
      </w:r>
      <w:r>
        <w:rPr>
          <w:rFonts w:eastAsia="Times New Roman" w:asciiTheme="minorHAnsi" w:hAnsiTheme="minorHAnsi"/>
          <w:bCs/>
          <w:kern w:val="32"/>
          <w:lang w:val="sr-Cyrl-RS"/>
        </w:rPr>
        <w:t xml:space="preserve"> и н</w:t>
      </w:r>
      <w:r>
        <w:rPr>
          <w:rFonts w:eastAsia="Times New Roman" w:asciiTheme="minorHAnsi" w:hAnsiTheme="minorHAnsi"/>
          <w:bCs/>
          <w:kern w:val="32"/>
        </w:rPr>
        <w:t>едовољна информисаност грађана.</w:t>
      </w:r>
    </w:p>
    <w:p>
      <w:pPr>
        <w:spacing w:before="120" w:after="120"/>
        <w:jc w:val="both"/>
        <w:rPr>
          <w:rFonts w:eastAsia="Times New Roman" w:asciiTheme="minorHAnsi" w:hAnsiTheme="minorHAnsi"/>
          <w:bCs/>
          <w:kern w:val="32"/>
          <w:lang w:val="sr-Cyrl-CS"/>
        </w:rPr>
      </w:pPr>
    </w:p>
    <w:p>
      <w:pPr>
        <w:keepNext/>
        <w:keepLines/>
        <w:spacing w:before="200"/>
        <w:ind w:left="426"/>
        <w:outlineLvl w:val="3"/>
        <w:rPr>
          <w:rFonts w:eastAsia="Times New Roman" w:asciiTheme="minorHAnsi" w:hAnsiTheme="minorHAnsi" w:cstheme="minorHAnsi"/>
          <w:b/>
          <w:bCs/>
          <w:i/>
          <w:iCs/>
          <w:lang w:val="hr-HR"/>
        </w:rPr>
      </w:pPr>
      <w:bookmarkStart w:id="89" w:name="_Toc500506489"/>
      <w:bookmarkStart w:id="90" w:name="_Toc526761921"/>
      <w:r>
        <w:rPr>
          <w:rFonts w:eastAsia="Times New Roman" w:asciiTheme="minorHAnsi" w:hAnsiTheme="minorHAnsi" w:cstheme="minorHAnsi"/>
          <w:b/>
          <w:bCs/>
          <w:i/>
          <w:iCs/>
          <w:lang w:val="hr-HR"/>
        </w:rPr>
        <w:t>IV.1.7.</w:t>
      </w:r>
      <w:r>
        <w:rPr>
          <w:rFonts w:eastAsia="Times New Roman" w:asciiTheme="minorHAnsi" w:hAnsiTheme="minorHAnsi" w:cstheme="minorHAnsi"/>
          <w:b/>
          <w:bCs/>
          <w:i/>
          <w:iCs/>
        </w:rPr>
        <w:t>9</w:t>
      </w:r>
      <w:r>
        <w:rPr>
          <w:rFonts w:eastAsia="Times New Roman" w:asciiTheme="minorHAnsi" w:hAnsiTheme="minorHAnsi" w:cstheme="minorHAnsi"/>
          <w:b/>
          <w:bCs/>
          <w:i/>
          <w:iCs/>
          <w:lang w:val="hr-HR"/>
        </w:rPr>
        <w:t xml:space="preserve">. Утицај </w:t>
      </w:r>
      <w:r>
        <w:rPr>
          <w:rFonts w:eastAsia="Times New Roman" w:asciiTheme="minorHAnsi" w:hAnsiTheme="minorHAnsi" w:cstheme="minorHAnsi"/>
          <w:b/>
          <w:bCs/>
          <w:i/>
          <w:iCs/>
        </w:rPr>
        <w:t>загађења животне средине</w:t>
      </w:r>
      <w:r>
        <w:rPr>
          <w:rFonts w:eastAsia="Times New Roman" w:asciiTheme="minorHAnsi" w:hAnsiTheme="minorHAnsi" w:cstheme="minorHAnsi"/>
          <w:b/>
          <w:bCs/>
          <w:i/>
          <w:iCs/>
          <w:lang w:val="hr-HR"/>
        </w:rPr>
        <w:t xml:space="preserve"> на јавно здравље</w:t>
      </w:r>
      <w:bookmarkEnd w:id="89"/>
      <w:bookmarkEnd w:id="90"/>
    </w:p>
    <w:p>
      <w:pPr>
        <w:spacing w:before="120" w:after="120"/>
        <w:jc w:val="both"/>
        <w:rPr>
          <w:lang w:val="sr-Cyrl-CS"/>
        </w:rPr>
      </w:pPr>
      <w:r>
        <w:t xml:space="preserve">Опасност од загађења животне средине (вода, земљиште и ваздух) је стално присутна, због неконтролисаног збрињавања и одлагања отпадних твари и емисија у животну средину. Болести изазване загађеном водом, земљиштем, ваздухом и здравствено неисправном храном значајно учествују у укупном терету везаном за јавно-здравствене проблеме. Надзор над здравственом исправношћу воде у систему јавног снабдијевања града врши „Водовод“ а.д. </w:t>
      </w:r>
      <w:r>
        <w:rPr>
          <w:lang w:val="sr-Cyrl-RS"/>
        </w:rPr>
        <w:t xml:space="preserve">и </w:t>
      </w:r>
      <w:r>
        <w:t>Институт за јавно здравство - Бања Лука. Надзор над здравственом исправношћу воде из локалних водовода, бунара, каптираних и некаптираних извора је недовољан. Врши се редован монитроинг загађења ваздуха на подручју града, али се недовољно проводе мјере за побољшање квалитет</w:t>
      </w:r>
      <w:r>
        <w:rPr>
          <w:lang w:val="sr-Cyrl-CS"/>
        </w:rPr>
        <w:t>а</w:t>
      </w:r>
      <w:r>
        <w:t>, односно заустављање тренда погоршања квалитета ваздуха. Мониторинг квалитет</w:t>
      </w:r>
      <w:r>
        <w:rPr>
          <w:lang w:val="sr-Cyrl-CS"/>
        </w:rPr>
        <w:t>а</w:t>
      </w:r>
      <w:r>
        <w:t xml:space="preserve"> земљишта се не проводи у граду Бања Луци. Нису доступни подаци о утицају постојећег квалитета вода, земљишта и ваздуха на здравље људи у граду Бања Лука.</w:t>
      </w:r>
    </w:p>
    <w:p>
      <w:pPr>
        <w:spacing w:before="120" w:after="120"/>
        <w:jc w:val="both"/>
        <w:rPr>
          <w:lang w:val="sr-Cyrl-CS"/>
        </w:rPr>
      </w:pPr>
    </w:p>
    <w:tbl>
      <w:tblPr>
        <w:tblStyle w:val="37"/>
        <w:tblW w:w="936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
      <w:tblGrid>
        <w:gridCol w:w="93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C5E0B3" w:themeFill="accent6" w:themeFillTint="66"/>
          <w:tblLayout w:type="fixed"/>
          <w:tblCellMar>
            <w:top w:w="0" w:type="dxa"/>
            <w:left w:w="108" w:type="dxa"/>
            <w:bottom w:w="0" w:type="dxa"/>
            <w:right w:w="108" w:type="dxa"/>
          </w:tblCellMar>
        </w:tblPrEx>
        <w:tc>
          <w:tcPr>
            <w:tcW w:w="9360" w:type="dxa"/>
            <w:shd w:val="clear" w:color="auto" w:fill="C5E0B3" w:themeFill="accent6" w:themeFillTint="66"/>
          </w:tcPr>
          <w:p>
            <w:pPr>
              <w:spacing w:before="120" w:after="120"/>
              <w:jc w:val="both"/>
              <w:rPr>
                <w:rFonts w:eastAsia="Times New Roman" w:cs="Calibri"/>
                <w:i/>
                <w:color w:val="000000"/>
                <w:lang w:val="hr-HR" w:eastAsia="hr-HR"/>
              </w:rPr>
            </w:pPr>
            <w:r>
              <w:rPr>
                <w:rFonts w:eastAsia="Times New Roman" w:asciiTheme="minorHAnsi" w:hAnsiTheme="minorHAnsi"/>
                <w:bCs/>
                <w:i/>
                <w:kern w:val="32"/>
              </w:rPr>
              <w:t>Стање животне средине у Бања Луци је углавном задовољавајуће, али има доста простора за унапрјеђења и њену бољу заштиту и у будућем периоду како би се одржао и побољшао квалитет живљења у Граду. Нема значајније загађености ваздуха што показују редовна праћења квалитет</w:t>
            </w:r>
            <w:r>
              <w:rPr>
                <w:rFonts w:eastAsia="Times New Roman" w:asciiTheme="minorHAnsi" w:hAnsiTheme="minorHAnsi"/>
                <w:bCs/>
                <w:i/>
                <w:kern w:val="32"/>
                <w:lang w:val="sr-Cyrl-CS"/>
              </w:rPr>
              <w:t>а</w:t>
            </w:r>
            <w:r>
              <w:rPr>
                <w:rFonts w:eastAsia="Times New Roman" w:asciiTheme="minorHAnsi" w:hAnsiTheme="minorHAnsi"/>
                <w:bCs/>
                <w:i/>
                <w:kern w:val="32"/>
              </w:rPr>
              <w:t xml:space="preserve"> на три мјерна мјеста у Граду. Очекује се побољшање квалитет</w:t>
            </w:r>
            <w:r>
              <w:rPr>
                <w:rFonts w:eastAsia="Times New Roman" w:asciiTheme="minorHAnsi" w:hAnsiTheme="minorHAnsi"/>
                <w:bCs/>
                <w:i/>
                <w:kern w:val="32"/>
                <w:lang w:val="sr-Cyrl-CS"/>
              </w:rPr>
              <w:t>а</w:t>
            </w:r>
            <w:r>
              <w:rPr>
                <w:rFonts w:eastAsia="Times New Roman" w:asciiTheme="minorHAnsi" w:hAnsiTheme="minorHAnsi"/>
                <w:bCs/>
                <w:i/>
                <w:kern w:val="32"/>
              </w:rPr>
              <w:t xml:space="preserve"> ваздуха током гријне сезоне због преласка даљинског гријања на гријање на биомасу. Међутим, даљинским гријањем је покривена само ужа градска зона што је условило постојање великог броја индивидуалних кућних ложишта.</w:t>
            </w:r>
            <w:r>
              <w:rPr>
                <w:rFonts w:eastAsia="Times New Roman" w:asciiTheme="minorHAnsi" w:hAnsiTheme="minorHAnsi"/>
                <w:bCs/>
                <w:i/>
                <w:kern w:val="32"/>
                <w:lang w:val="bs-Latn-BA"/>
              </w:rPr>
              <w:t xml:space="preserve"> </w:t>
            </w:r>
            <w:r>
              <w:rPr>
                <w:rFonts w:eastAsia="Times New Roman" w:asciiTheme="minorHAnsi" w:hAnsiTheme="minorHAnsi"/>
                <w:bCs/>
                <w:i/>
                <w:kern w:val="32"/>
              </w:rPr>
              <w:t>Квалитет површинских вода је прилично задовољавајући, барем што се тиче ријеке Врбас која је на основу степена загађења класификована као водоток класе II, што је нарочито значајно узимајући у обзир да је Врбас реципијент јавног канализационог система, те да не постоји третман отпадних вода.</w:t>
            </w:r>
            <w:r>
              <w:rPr>
                <w:rFonts w:eastAsia="Times New Roman" w:asciiTheme="minorHAnsi" w:hAnsiTheme="minorHAnsi"/>
                <w:bCs/>
                <w:i/>
                <w:kern w:val="32"/>
                <w:lang w:val="bs-Latn-BA"/>
              </w:rPr>
              <w:t xml:space="preserve"> </w:t>
            </w:r>
            <w:r>
              <w:rPr>
                <w:rFonts w:eastAsia="Times New Roman" w:asciiTheme="minorHAnsi" w:hAnsiTheme="minorHAnsi"/>
                <w:bCs/>
                <w:i/>
                <w:kern w:val="32"/>
              </w:rPr>
              <w:t xml:space="preserve">Управљање отпадом је добро ријешено и по питању покривености услугом и по питању одлагања отпада на регионалну санитарну депонију. Свакако је потребно и даље радити на унапрјеђењу услиге по питању успоставе рециклажних дворишта и повећања степена селективног прикупљања и рециклаже отпада. Забиљежен је значајан помак у посљедњих </w:t>
            </w:r>
            <w:r>
              <w:rPr>
                <w:rFonts w:eastAsia="Times New Roman" w:asciiTheme="minorHAnsi" w:hAnsiTheme="minorHAnsi"/>
                <w:bCs/>
                <w:i/>
                <w:kern w:val="32"/>
                <w:lang w:val="sr-Cyrl-CS"/>
              </w:rPr>
              <w:t xml:space="preserve">неколико </w:t>
            </w:r>
            <w:r>
              <w:rPr>
                <w:rFonts w:eastAsia="Times New Roman" w:asciiTheme="minorHAnsi" w:hAnsiTheme="minorHAnsi"/>
                <w:bCs/>
                <w:i/>
                <w:kern w:val="32"/>
              </w:rPr>
              <w:t xml:space="preserve">година на побољшању енергетске ефикасности јавног сектора и сектора зградарства. Неколико јавних објеката је стекло енергетске цертификате, укључујући и зграду Градске управе. Поред тога, Град је 2016.г. покренуо пројекат суфинансирања утопљавања стамбених објеката. </w:t>
            </w:r>
          </w:p>
        </w:tc>
      </w:tr>
    </w:tbl>
    <w:p/>
    <w:p>
      <w:pPr>
        <w:keepNext/>
        <w:spacing w:before="240" w:after="60" w:line="276" w:lineRule="auto"/>
        <w:ind w:left="360"/>
        <w:jc w:val="both"/>
        <w:outlineLvl w:val="2"/>
        <w:rPr>
          <w:rFonts w:eastAsia="Times New Roman"/>
          <w:b/>
          <w:bCs/>
          <w:szCs w:val="26"/>
          <w:lang w:val="hr-HR"/>
        </w:rPr>
      </w:pPr>
      <w:bookmarkStart w:id="91" w:name="_Toc500506490"/>
      <w:bookmarkStart w:id="92" w:name="_Toc526761922"/>
      <w:r>
        <w:rPr>
          <w:rFonts w:eastAsia="Times New Roman"/>
          <w:b/>
          <w:bCs/>
          <w:szCs w:val="26"/>
          <w:lang w:val="hr-HR"/>
        </w:rPr>
        <w:t>IV.1.8. Локална</w:t>
      </w:r>
      <w:r>
        <w:rPr>
          <w:rFonts w:eastAsia="Times New Roman"/>
          <w:b/>
          <w:bCs/>
          <w:szCs w:val="26"/>
          <w:lang w:val="sr-Cyrl-RS"/>
        </w:rPr>
        <w:t xml:space="preserve"> </w:t>
      </w:r>
      <w:r>
        <w:rPr>
          <w:rFonts w:eastAsia="Times New Roman"/>
          <w:b/>
          <w:bCs/>
          <w:szCs w:val="26"/>
          <w:lang w:val="hr-HR"/>
        </w:rPr>
        <w:t>самоуправа</w:t>
      </w:r>
      <w:bookmarkEnd w:id="91"/>
      <w:bookmarkEnd w:id="92"/>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lang w:val="sr-Cyrl-RS"/>
        </w:rPr>
        <w:t>Градску управу Града Бања Лука основао је Одлуком о оснивању број 12-Г-2994/16 од 16.12.2016. године Градоначелник Града Бања Лука, на основу овлаштења садржаног у чл. 59. став 1. и 82. став 3. Закона о локалној самоуправи</w:t>
      </w:r>
      <w:r>
        <w:rPr>
          <w:rStyle w:val="31"/>
          <w:rFonts w:eastAsia="Times New Roman" w:asciiTheme="minorHAnsi" w:hAnsiTheme="minorHAnsi"/>
          <w:bCs/>
          <w:kern w:val="32"/>
          <w:lang w:val="sr-Cyrl-RS"/>
        </w:rPr>
        <w:footnoteReference w:id="87"/>
      </w:r>
      <w:r>
        <w:rPr>
          <w:rFonts w:eastAsia="Times New Roman" w:asciiTheme="minorHAnsi" w:hAnsiTheme="minorHAnsi"/>
          <w:bCs/>
          <w:kern w:val="32"/>
          <w:lang w:val="sr-Cyrl-RS"/>
        </w:rPr>
        <w:t>. Истим законом прописано је да јединица локалне самоуправе има статус правног лица, те како се успоставља општина односно град, као и који све послови спадају у самосталне послове јединице локалне самоуправе и под којим условима се послови републичке управе могу пренијети на ниво јединица локалне самоуправе.</w:t>
      </w:r>
      <w:bookmarkStart w:id="93" w:name="_Toc526761923"/>
    </w:p>
    <w:p>
      <w:pPr>
        <w:keepNext/>
        <w:keepLines/>
        <w:spacing w:before="200"/>
        <w:ind w:left="426"/>
        <w:outlineLvl w:val="3"/>
        <w:rPr>
          <w:rFonts w:eastAsia="Times New Roman" w:asciiTheme="minorHAnsi" w:hAnsiTheme="minorHAnsi" w:cstheme="minorHAnsi"/>
          <w:b/>
          <w:bCs/>
          <w:i/>
          <w:iCs/>
          <w:lang w:val="sr-Cyrl-RS"/>
        </w:rPr>
      </w:pPr>
      <w:r>
        <w:rPr>
          <w:rFonts w:eastAsia="Times New Roman" w:asciiTheme="minorHAnsi" w:hAnsiTheme="minorHAnsi" w:cstheme="minorHAnsi"/>
          <w:b/>
          <w:bCs/>
          <w:i/>
          <w:iCs/>
          <w:lang w:val="hr-HR"/>
        </w:rPr>
        <w:t>IV.1.</w:t>
      </w:r>
      <w:r>
        <w:rPr>
          <w:rFonts w:eastAsia="Times New Roman" w:asciiTheme="minorHAnsi" w:hAnsiTheme="minorHAnsi" w:cstheme="minorHAnsi"/>
          <w:b/>
          <w:bCs/>
          <w:i/>
          <w:iCs/>
          <w:lang w:val="sr-Cyrl-RS"/>
        </w:rPr>
        <w:t>8</w:t>
      </w:r>
      <w:r>
        <w:rPr>
          <w:rFonts w:eastAsia="Times New Roman" w:asciiTheme="minorHAnsi" w:hAnsiTheme="minorHAnsi" w:cstheme="minorHAnsi"/>
          <w:b/>
          <w:bCs/>
          <w:i/>
          <w:iCs/>
          <w:lang w:val="hr-HR"/>
        </w:rPr>
        <w:t>.</w:t>
      </w:r>
      <w:r>
        <w:rPr>
          <w:rFonts w:eastAsia="Times New Roman" w:asciiTheme="minorHAnsi" w:hAnsiTheme="minorHAnsi" w:cstheme="minorHAnsi"/>
          <w:b/>
          <w:bCs/>
          <w:i/>
          <w:iCs/>
          <w:lang w:val="sr-Cyrl-RS"/>
        </w:rPr>
        <w:t>1</w:t>
      </w:r>
      <w:r>
        <w:rPr>
          <w:rFonts w:eastAsia="Times New Roman" w:asciiTheme="minorHAnsi" w:hAnsiTheme="minorHAnsi" w:cstheme="minorHAnsi"/>
          <w:b/>
          <w:bCs/>
          <w:i/>
          <w:iCs/>
          <w:lang w:val="hr-HR"/>
        </w:rPr>
        <w:t xml:space="preserve"> У</w:t>
      </w:r>
      <w:r>
        <w:rPr>
          <w:rFonts w:eastAsia="Times New Roman" w:asciiTheme="minorHAnsi" w:hAnsiTheme="minorHAnsi" w:cstheme="minorHAnsi"/>
          <w:b/>
          <w:bCs/>
          <w:i/>
          <w:iCs/>
          <w:lang w:val="sr-Cyrl-RS"/>
        </w:rPr>
        <w:t>нутрашња организација</w:t>
      </w:r>
      <w:bookmarkEnd w:id="93"/>
      <w:r>
        <w:rPr>
          <w:rFonts w:eastAsia="Times New Roman" w:asciiTheme="minorHAnsi" w:hAnsiTheme="minorHAnsi" w:cstheme="minorHAnsi"/>
          <w:b/>
          <w:bCs/>
          <w:i/>
          <w:iCs/>
          <w:lang w:val="sr-Cyrl-RS"/>
        </w:rPr>
        <w:t xml:space="preserve"> </w:t>
      </w:r>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lang w:val="sr-Cyrl-RS"/>
        </w:rPr>
        <w:t xml:space="preserve">Унутрашња структура и организација послова у Градској управи Града Бања Лука је дефинисана </w:t>
      </w:r>
      <w:r>
        <w:rPr>
          <w:rFonts w:eastAsia="Times New Roman" w:asciiTheme="minorHAnsi" w:hAnsiTheme="minorHAnsi"/>
          <w:bCs/>
          <w:i/>
          <w:kern w:val="32"/>
          <w:lang w:val="sr-Cyrl-RS"/>
        </w:rPr>
        <w:t>Правилником о унутрашњој организацији послова и систематизацији радних мјеста Градске управе Града Бања Лука</w:t>
      </w:r>
      <w:r>
        <w:rPr>
          <w:rStyle w:val="31"/>
          <w:rFonts w:eastAsia="Times New Roman" w:asciiTheme="minorHAnsi" w:hAnsiTheme="minorHAnsi"/>
          <w:bCs/>
          <w:i/>
          <w:kern w:val="32"/>
          <w:lang w:val="sr-Cyrl-RS"/>
        </w:rPr>
        <w:footnoteReference w:id="88"/>
      </w:r>
      <w:r>
        <w:rPr>
          <w:rFonts w:eastAsia="Times New Roman" w:asciiTheme="minorHAnsi" w:hAnsiTheme="minorHAnsi"/>
          <w:bCs/>
          <w:kern w:val="32"/>
          <w:lang w:val="sr-Cyrl-RS"/>
        </w:rPr>
        <w:t xml:space="preserve"> који се примјењује од 01.01.2017. године. У саставу Градске управе Града Бања Лука је </w:t>
      </w:r>
      <w:r>
        <w:rPr>
          <w:rFonts w:eastAsia="Times New Roman" w:asciiTheme="minorHAnsi" w:hAnsiTheme="minorHAnsi"/>
          <w:b/>
          <w:bCs/>
          <w:kern w:val="32"/>
          <w:lang w:val="sr-Cyrl-RS"/>
        </w:rPr>
        <w:t>дванаест одјељења и једна служба</w:t>
      </w:r>
      <w:r>
        <w:rPr>
          <w:rFonts w:eastAsia="Times New Roman" w:asciiTheme="minorHAnsi" w:hAnsiTheme="minorHAnsi"/>
          <w:bCs/>
          <w:kern w:val="32"/>
          <w:lang w:val="sr-Cyrl-RS"/>
        </w:rPr>
        <w:t>, како слиједи: 1) Одјељење за општу управу, 2) Одјељење за привреду,  3) Одјељење за просторно уређење, 4) Одјељење за финансије, 5) Одјељење за комуналне послове, 6) Одјељење за саобраћај и путеве, 7) Одјељење за локлани економски развој и стратешко планирање, 8) Одјељење за борачко-инвалидску заштиту, 9) Одјељење комуналне полиције, 10) Одјељење за инспекцијске послове, 11) Одјељење за културу, туризам и социјалну политику, 12) Одјељење за образовање, здравство, омалдину и спорт и  13) Служба за заједничке послове. У оквиру Одјељења су организовани и одсјеци, као унутрашње организационе јединице</w:t>
      </w:r>
      <w:r>
        <w:rPr>
          <w:rStyle w:val="31"/>
          <w:rFonts w:eastAsia="Times New Roman" w:asciiTheme="minorHAnsi" w:hAnsiTheme="minorHAnsi"/>
          <w:bCs/>
          <w:kern w:val="32"/>
          <w:lang w:val="sr-Cyrl-RS"/>
        </w:rPr>
        <w:footnoteReference w:id="89"/>
      </w:r>
      <w:r>
        <w:rPr>
          <w:rFonts w:eastAsia="Times New Roman" w:asciiTheme="minorHAnsi" w:hAnsiTheme="minorHAnsi"/>
          <w:bCs/>
          <w:kern w:val="32"/>
          <w:lang w:val="sr-Cyrl-RS"/>
        </w:rPr>
        <w:t>.</w:t>
      </w:r>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lang w:val="sr-Cyrl-RS"/>
        </w:rPr>
        <w:t xml:space="preserve">За потребе Скупштине града Бања Лука и њених радних тијела образована је </w:t>
      </w:r>
      <w:r>
        <w:rPr>
          <w:rFonts w:eastAsia="Times New Roman" w:asciiTheme="minorHAnsi" w:hAnsiTheme="minorHAnsi"/>
          <w:b/>
          <w:bCs/>
          <w:kern w:val="32"/>
          <w:lang w:val="sr-Cyrl-RS"/>
        </w:rPr>
        <w:t>Стручна служба Скупштине града</w:t>
      </w:r>
      <w:r>
        <w:rPr>
          <w:rFonts w:eastAsia="Times New Roman" w:asciiTheme="minorHAnsi" w:hAnsiTheme="minorHAnsi"/>
          <w:bCs/>
          <w:kern w:val="32"/>
          <w:lang w:val="sr-Cyrl-RS"/>
        </w:rPr>
        <w:t>.</w:t>
      </w:r>
    </w:p>
    <w:p>
      <w:pPr>
        <w:spacing w:before="120" w:after="120"/>
        <w:jc w:val="both"/>
        <w:rPr>
          <w:rFonts w:asciiTheme="minorHAnsi" w:hAnsiTheme="minorHAnsi"/>
          <w:bCs/>
          <w:kern w:val="32"/>
          <w:lang w:val="sr-Cyrl-CS"/>
        </w:rPr>
      </w:pPr>
      <w:r>
        <w:rPr>
          <w:rFonts w:eastAsia="Times New Roman" w:asciiTheme="minorHAnsi" w:hAnsiTheme="minorHAnsi"/>
          <w:bCs/>
          <w:kern w:val="32"/>
          <w:lang w:val="sr-Cyrl-RS"/>
        </w:rPr>
        <w:t xml:space="preserve">У саставу Градске управе Града Бања Лука формирано је </w:t>
      </w:r>
      <w:r>
        <w:rPr>
          <w:rFonts w:eastAsia="Times New Roman" w:asciiTheme="minorHAnsi" w:hAnsiTheme="minorHAnsi"/>
          <w:b/>
          <w:bCs/>
          <w:kern w:val="32"/>
          <w:lang w:val="sr-Cyrl-RS"/>
        </w:rPr>
        <w:t>осам одсјека као самосталних организационих јединица</w:t>
      </w:r>
      <w:r>
        <w:rPr>
          <w:rFonts w:eastAsia="Times New Roman" w:asciiTheme="minorHAnsi" w:hAnsiTheme="minorHAnsi"/>
          <w:bCs/>
          <w:kern w:val="32"/>
          <w:lang w:val="sr-Cyrl-RS"/>
        </w:rPr>
        <w:t xml:space="preserve">, за обављање послова из посебних области: 1) </w:t>
      </w:r>
      <w:r>
        <w:rPr>
          <w:rFonts w:eastAsia="Times New Roman" w:asciiTheme="minorHAnsi" w:hAnsiTheme="minorHAnsi"/>
          <w:bCs/>
          <w:kern w:val="32"/>
          <w:lang w:val="sr-Cyrl-CS"/>
        </w:rPr>
        <w:t xml:space="preserve">Одсјек за информатику; 2) </w:t>
      </w:r>
      <w:r>
        <w:rPr>
          <w:rFonts w:asciiTheme="minorHAnsi" w:hAnsiTheme="minorHAnsi"/>
          <w:bCs/>
          <w:kern w:val="32"/>
          <w:lang w:val="sr-Cyrl-CS"/>
        </w:rPr>
        <w:t>Одсјек за развој локалне самоуправе и управљање људским ресурсима; 3) Одсјек за правна питања и прописе; 4) Одсјек за јавне набавке</w:t>
      </w:r>
      <w:r>
        <w:rPr>
          <w:rFonts w:asciiTheme="minorHAnsi" w:hAnsiTheme="minorHAnsi"/>
          <w:bCs/>
          <w:kern w:val="32"/>
          <w:lang w:val="sr-Latn-CS"/>
        </w:rPr>
        <w:t>;</w:t>
      </w:r>
      <w:r>
        <w:rPr>
          <w:rFonts w:asciiTheme="minorHAnsi" w:hAnsiTheme="minorHAnsi"/>
          <w:bCs/>
          <w:kern w:val="32"/>
          <w:lang w:val="sr-Cyrl-RS"/>
        </w:rPr>
        <w:t xml:space="preserve"> 5) </w:t>
      </w:r>
      <w:r>
        <w:rPr>
          <w:rFonts w:asciiTheme="minorHAnsi" w:hAnsiTheme="minorHAnsi"/>
          <w:bCs/>
          <w:kern w:val="32"/>
          <w:lang w:val="sr-Latn-CS"/>
        </w:rPr>
        <w:t xml:space="preserve"> </w:t>
      </w:r>
      <w:r>
        <w:rPr>
          <w:rFonts w:asciiTheme="minorHAnsi" w:hAnsiTheme="minorHAnsi"/>
          <w:bCs/>
          <w:kern w:val="32"/>
          <w:lang w:val="sr-Cyrl-RS"/>
        </w:rPr>
        <w:t xml:space="preserve">Одсјек за интерну ревизију;  6) </w:t>
      </w:r>
      <w:r>
        <w:rPr>
          <w:rFonts w:asciiTheme="minorHAnsi" w:hAnsiTheme="minorHAnsi"/>
          <w:bCs/>
          <w:kern w:val="32"/>
          <w:lang w:val="sr-Cyrl-CS"/>
        </w:rPr>
        <w:t xml:space="preserve">Одсјек за послове цивилне заштите и професионалне територијалне ватрогасне јединице; 7) Одсјек за </w:t>
      </w:r>
      <w:r>
        <w:rPr>
          <w:rFonts w:asciiTheme="minorHAnsi" w:hAnsiTheme="minorHAnsi"/>
          <w:bCs/>
          <w:kern w:val="32"/>
          <w:lang w:val="sr-Cyrl-RS"/>
        </w:rPr>
        <w:t>послове градског протокола</w:t>
      </w:r>
      <w:r>
        <w:rPr>
          <w:rFonts w:asciiTheme="minorHAnsi" w:hAnsiTheme="minorHAnsi"/>
          <w:bCs/>
          <w:kern w:val="32"/>
          <w:lang w:val="sr-Cyrl-CS"/>
        </w:rPr>
        <w:t xml:space="preserve"> и 8) Одсјек за сарадњу са грађанима – Канцеларија за грађане.</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lang w:val="sr-Cyrl-CS"/>
        </w:rPr>
        <w:t xml:space="preserve">У оквиру Градске управе Града Бања Лука формиран је </w:t>
      </w:r>
      <w:r>
        <w:rPr>
          <w:rFonts w:eastAsia="Times New Roman" w:asciiTheme="minorHAnsi" w:hAnsiTheme="minorHAnsi"/>
          <w:b/>
          <w:bCs/>
          <w:kern w:val="32"/>
          <w:lang w:val="sr-Cyrl-CS"/>
        </w:rPr>
        <w:t>Кабинет градоначелника</w:t>
      </w:r>
      <w:r>
        <w:rPr>
          <w:rFonts w:eastAsia="Times New Roman" w:asciiTheme="minorHAnsi" w:hAnsiTheme="minorHAnsi"/>
          <w:bCs/>
          <w:kern w:val="32"/>
          <w:lang w:val="sr-Cyrl-CS"/>
        </w:rPr>
        <w:t>, као посебна организациона јединица за обављање савјетодавних и административно - техничких послова.</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lang w:val="sr-Cyrl-CS"/>
        </w:rPr>
        <w:t xml:space="preserve">Ради ефикаснијег извршавања законских и статутарних обавеза Градске управе у појединим насељеним мјестима образоване су </w:t>
      </w:r>
      <w:r>
        <w:rPr>
          <w:rFonts w:eastAsia="Times New Roman" w:asciiTheme="minorHAnsi" w:hAnsiTheme="minorHAnsi"/>
          <w:b/>
          <w:bCs/>
          <w:kern w:val="32"/>
          <w:lang w:val="sr-Cyrl-CS"/>
        </w:rPr>
        <w:t>мјесне канцеларије</w:t>
      </w:r>
      <w:r>
        <w:rPr>
          <w:rFonts w:eastAsia="Times New Roman" w:asciiTheme="minorHAnsi" w:hAnsiTheme="minorHAnsi"/>
          <w:bCs/>
          <w:kern w:val="32"/>
          <w:lang w:val="sr-Cyrl-CS"/>
        </w:rPr>
        <w:t>, којих је укупно шеснаест.</w:t>
      </w:r>
    </w:p>
    <w:p>
      <w:pPr>
        <w:spacing w:before="120" w:after="120"/>
        <w:jc w:val="both"/>
        <w:rPr>
          <w:rFonts w:asciiTheme="minorHAnsi" w:hAnsiTheme="minorHAnsi"/>
          <w:bCs/>
          <w:kern w:val="32"/>
          <w:lang w:val="sr-Cyrl-CS"/>
        </w:rPr>
      </w:pPr>
      <w:r>
        <w:rPr>
          <w:rFonts w:eastAsia="Times New Roman" w:asciiTheme="minorHAnsi" w:hAnsiTheme="minorHAnsi"/>
          <w:b/>
          <w:bCs/>
          <w:kern w:val="32"/>
          <w:lang w:val="sr-Cyrl-CS"/>
        </w:rPr>
        <w:t xml:space="preserve">Радна мјеста и стање људских ресурса. </w:t>
      </w:r>
      <w:r>
        <w:rPr>
          <w:rFonts w:eastAsia="Times New Roman" w:asciiTheme="minorHAnsi" w:hAnsiTheme="minorHAnsi"/>
          <w:bCs/>
          <w:kern w:val="32"/>
          <w:lang w:val="sr-Cyrl-CS"/>
        </w:rPr>
        <w:t xml:space="preserve">Сва радна мјеста, утврђена Правилником </w:t>
      </w:r>
      <w:r>
        <w:rPr>
          <w:rFonts w:eastAsia="Times New Roman" w:asciiTheme="minorHAnsi" w:hAnsiTheme="minorHAnsi"/>
          <w:bCs/>
          <w:kern w:val="32"/>
          <w:lang w:val="sr-Cyrl-RS"/>
        </w:rPr>
        <w:t>о унутрашњој организацији послова и систематизацији радних мјеста Градске управе</w:t>
      </w:r>
      <w:r>
        <w:rPr>
          <w:rFonts w:eastAsia="Times New Roman" w:asciiTheme="minorHAnsi" w:hAnsiTheme="minorHAnsi"/>
          <w:bCs/>
          <w:kern w:val="32"/>
          <w:lang w:val="sr-Cyrl-CS"/>
        </w:rPr>
        <w:t xml:space="preserve"> разврставају се на радна мјеста са статусом намјештеника, и радна мјеста са статусом службеника, у складу са Законом о службеницима и намјештеницима у органима јединице локалне самоуправе</w:t>
      </w:r>
      <w:r>
        <w:rPr>
          <w:rStyle w:val="31"/>
          <w:rFonts w:eastAsia="Times New Roman" w:asciiTheme="minorHAnsi" w:hAnsiTheme="minorHAnsi"/>
          <w:bCs/>
          <w:kern w:val="32"/>
          <w:lang w:val="sr-Cyrl-CS"/>
        </w:rPr>
        <w:footnoteReference w:id="90"/>
      </w:r>
      <w:r>
        <w:rPr>
          <w:rFonts w:eastAsia="Times New Roman" w:asciiTheme="minorHAnsi" w:hAnsiTheme="minorHAnsi"/>
          <w:bCs/>
          <w:kern w:val="32"/>
          <w:lang w:val="sr-Cyrl-CS"/>
        </w:rPr>
        <w:t>. 31.12.2017. године у Градској управи Града Бања Лука било је укупно 771 запослених (</w:t>
      </w:r>
      <w:r>
        <w:rPr>
          <w:rFonts w:asciiTheme="minorHAnsi" w:hAnsiTheme="minorHAnsi"/>
          <w:bCs/>
          <w:kern w:val="32"/>
          <w:lang w:val="sr-Cyrl-CS"/>
        </w:rPr>
        <w:t xml:space="preserve">406 мушкараца и 365 жена). </w:t>
      </w:r>
    </w:p>
    <w:p>
      <w:pPr>
        <w:spacing w:before="120" w:after="120"/>
        <w:jc w:val="both"/>
        <w:rPr>
          <w:rFonts w:eastAsia="Times New Roman" w:asciiTheme="minorHAnsi" w:hAnsiTheme="minorHAnsi"/>
          <w:bCs/>
          <w:kern w:val="32"/>
          <w:lang w:val="sr-Cyrl-CS"/>
        </w:rPr>
      </w:pPr>
      <w:r>
        <w:rPr>
          <w:rFonts w:asciiTheme="minorHAnsi" w:hAnsiTheme="minorHAnsi"/>
          <w:bCs/>
          <w:kern w:val="32"/>
          <w:lang w:val="sr-Cyrl-CS"/>
        </w:rPr>
        <w:t xml:space="preserve">Према старосној структури, запослени имају 19-65 година, а највећи број запослених је старости 35-59 година. </w:t>
      </w:r>
      <w:r>
        <w:rPr>
          <w:rFonts w:eastAsia="Times New Roman" w:asciiTheme="minorHAnsi" w:hAnsiTheme="minorHAnsi"/>
          <w:bCs/>
          <w:kern w:val="32"/>
          <w:lang w:val="sr-Cyrl-CS"/>
        </w:rPr>
        <w:t>Према образовној структури највише је запослених са високом стручном спремом (173) и средњом стручном спремом (128), као и високвалификовани радници (54). У оквиру Градске управе ради и пет доктора наука и шест магистара наука.</w:t>
      </w:r>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lang w:val="sr-Cyrl-RS"/>
        </w:rPr>
        <w:t xml:space="preserve">У статусу службеника запослено је укупно 490 лица, док је у статусу намјештеника запослено 257 лица, а од тога је 473 службеника запослено на неодређено вријеме, док је њих 17 запослено на одређено вријеме.  Од укупно 257 намјештеника њих 251 је запослено на неодређено вријеме док је 6 намјештеника запослено на одређено вријеме. </w:t>
      </w:r>
    </w:p>
    <w:p>
      <w:pPr>
        <w:spacing w:before="120" w:after="120"/>
        <w:jc w:val="both"/>
        <w:rPr>
          <w:rFonts w:eastAsia="Times New Roman" w:asciiTheme="minorHAnsi" w:hAnsiTheme="minorHAnsi"/>
          <w:bCs/>
          <w:kern w:val="32"/>
          <w:lang w:val="sr-Cyrl-RS"/>
        </w:rPr>
      </w:pPr>
      <w:r>
        <w:rPr>
          <w:rFonts w:eastAsia="Times New Roman" w:asciiTheme="minorHAnsi" w:hAnsiTheme="minorHAnsi"/>
          <w:bCs/>
          <w:kern w:val="32"/>
          <w:lang w:val="sr-Cyrl-RS"/>
        </w:rPr>
        <w:t>Према Закону о локалној самоуправи, функционери су: градоначеник, замјеник градоначелника, предсједник Скупштине Града и потпредсједници Скупштине Града, а њихов радно-правни статус је регулисан превенствено Законом о статусу функционера јединица локалне самоурпаве</w:t>
      </w:r>
      <w:r>
        <w:rPr>
          <w:rStyle w:val="31"/>
          <w:rFonts w:eastAsia="Times New Roman" w:asciiTheme="minorHAnsi" w:hAnsiTheme="minorHAnsi"/>
          <w:bCs/>
          <w:kern w:val="32"/>
          <w:lang w:val="sr-Cyrl-RS"/>
        </w:rPr>
        <w:footnoteReference w:id="91"/>
      </w:r>
      <w:r>
        <w:rPr>
          <w:rFonts w:eastAsia="Times New Roman" w:asciiTheme="minorHAnsi" w:hAnsiTheme="minorHAnsi"/>
          <w:bCs/>
          <w:kern w:val="32"/>
          <w:lang w:val="sr-Cyrl-RS"/>
        </w:rPr>
        <w:t>.</w:t>
      </w:r>
    </w:p>
    <w:p>
      <w:pPr>
        <w:spacing w:before="120" w:after="120"/>
        <w:jc w:val="both"/>
        <w:rPr>
          <w:rFonts w:eastAsia="Times New Roman" w:asciiTheme="minorHAnsi" w:hAnsiTheme="minorHAnsi"/>
          <w:bCs/>
          <w:kern w:val="32"/>
          <w:lang w:val="sr-Cyrl-CS"/>
        </w:rPr>
      </w:pPr>
      <w:r>
        <w:rPr>
          <w:rFonts w:eastAsia="Times New Roman" w:asciiTheme="minorHAnsi" w:hAnsiTheme="minorHAnsi"/>
          <w:bCs/>
          <w:kern w:val="32"/>
          <w:lang w:val="sr-Cyrl-CS"/>
        </w:rPr>
        <w:t>Као највећа јединица локалне самоуправе у Републици Српској,</w:t>
      </w:r>
      <w:r>
        <w:rPr>
          <w:rFonts w:asciiTheme="minorHAnsi" w:hAnsiTheme="minorHAnsi"/>
          <w:bCs/>
          <w:kern w:val="32"/>
          <w:lang w:val="sr-Cyrl-CS"/>
        </w:rPr>
        <w:t xml:space="preserve"> </w:t>
      </w:r>
      <w:r>
        <w:rPr>
          <w:rFonts w:eastAsia="Times New Roman" w:asciiTheme="minorHAnsi" w:hAnsiTheme="minorHAnsi"/>
          <w:bCs/>
          <w:kern w:val="32"/>
          <w:lang w:val="sr-Cyrl-CS"/>
        </w:rPr>
        <w:t xml:space="preserve">Град Бања Лука има потребу за великим бројем запослених. Треба напоменути да су ступањем на снагу </w:t>
      </w:r>
      <w:r>
        <w:rPr>
          <w:rFonts w:eastAsia="Times New Roman" w:asciiTheme="minorHAnsi" w:hAnsiTheme="minorHAnsi"/>
          <w:bCs/>
          <w:kern w:val="32"/>
          <w:lang w:val="sr-Cyrl-RS"/>
        </w:rPr>
        <w:t>Закона о локалној самоуправи</w:t>
      </w:r>
      <w:r>
        <w:rPr>
          <w:rStyle w:val="31"/>
          <w:rFonts w:eastAsia="Times New Roman" w:asciiTheme="minorHAnsi" w:hAnsiTheme="minorHAnsi"/>
          <w:bCs/>
          <w:kern w:val="32"/>
          <w:lang w:val="sr-Cyrl-RS"/>
        </w:rPr>
        <w:footnoteReference w:id="92"/>
      </w:r>
      <w:r>
        <w:rPr>
          <w:rFonts w:eastAsia="Times New Roman" w:asciiTheme="minorHAnsi" w:hAnsiTheme="minorHAnsi"/>
          <w:bCs/>
          <w:kern w:val="32"/>
          <w:lang w:val="sr-Cyrl-RS"/>
        </w:rPr>
        <w:t xml:space="preserve"> </w:t>
      </w:r>
      <w:r>
        <w:rPr>
          <w:rFonts w:eastAsia="Times New Roman" w:asciiTheme="minorHAnsi" w:hAnsiTheme="minorHAnsi"/>
          <w:bCs/>
          <w:kern w:val="32"/>
          <w:lang w:val="sr-Cyrl-CS"/>
        </w:rPr>
        <w:t>у надлежност градова пренесни послови правног заступања пред судовима и другим органима у имовинско-правним споровима, у споровима наплате накнаде и услуге и у радним споровима у складу са законом, као и наплата, контрола наплате и принудна наплата изворних прихода буџета града, као и да је у Градску управу Града Бања Лука запримљено 13.000 захтјева за легализацију објеката у Одјељењу за просторно уређење.</w:t>
      </w:r>
    </w:p>
    <w:p>
      <w:pPr>
        <w:spacing w:before="120" w:after="120"/>
        <w:jc w:val="both"/>
        <w:rPr>
          <w:rFonts w:eastAsia="Times New Roman" w:asciiTheme="minorHAnsi" w:hAnsiTheme="minorHAnsi"/>
          <w:bCs/>
          <w:kern w:val="32"/>
          <w:lang w:val="sr-Cyrl-CS"/>
        </w:rPr>
      </w:pPr>
    </w:p>
    <w:p>
      <w:pPr>
        <w:keepNext/>
        <w:keepLines/>
        <w:spacing w:before="200"/>
        <w:ind w:left="426"/>
        <w:outlineLvl w:val="3"/>
        <w:rPr>
          <w:rFonts w:eastAsia="Times New Roman"/>
          <w:b/>
          <w:bCs/>
          <w:i/>
          <w:szCs w:val="26"/>
          <w:lang w:val="hr-HR"/>
        </w:rPr>
      </w:pPr>
      <w:bookmarkStart w:id="94" w:name="_Toc526761924"/>
      <w:bookmarkStart w:id="95" w:name="_Toc500506491"/>
      <w:r>
        <w:rPr>
          <w:rFonts w:eastAsia="Times New Roman"/>
          <w:b/>
          <w:bCs/>
          <w:i/>
          <w:szCs w:val="26"/>
          <w:lang w:val="hr-HR"/>
        </w:rPr>
        <w:t>IV.1.</w:t>
      </w:r>
      <w:r>
        <w:rPr>
          <w:rFonts w:eastAsia="Times New Roman"/>
          <w:b/>
          <w:bCs/>
          <w:i/>
          <w:szCs w:val="26"/>
          <w:lang w:val="sr-Cyrl-RS"/>
        </w:rPr>
        <w:t>8</w:t>
      </w:r>
      <w:r>
        <w:rPr>
          <w:rFonts w:eastAsia="Times New Roman"/>
          <w:b/>
          <w:bCs/>
          <w:i/>
          <w:szCs w:val="26"/>
          <w:lang w:val="hr-HR"/>
        </w:rPr>
        <w:t>.</w:t>
      </w:r>
      <w:r>
        <w:rPr>
          <w:rFonts w:eastAsia="Times New Roman"/>
          <w:b/>
          <w:bCs/>
          <w:i/>
          <w:szCs w:val="26"/>
          <w:lang w:val="sr-Cyrl-RS"/>
        </w:rPr>
        <w:t>2</w:t>
      </w:r>
      <w:r>
        <w:rPr>
          <w:rFonts w:eastAsia="Times New Roman"/>
          <w:b/>
          <w:bCs/>
          <w:i/>
          <w:szCs w:val="26"/>
          <w:lang w:val="hr-HR"/>
        </w:rPr>
        <w:t xml:space="preserve"> Стање</w:t>
      </w:r>
      <w:r>
        <w:rPr>
          <w:rFonts w:eastAsia="Times New Roman"/>
          <w:b/>
          <w:bCs/>
          <w:i/>
          <w:szCs w:val="26"/>
          <w:lang w:val="sr-Cyrl-RS"/>
        </w:rPr>
        <w:t xml:space="preserve"> </w:t>
      </w:r>
      <w:r>
        <w:rPr>
          <w:rFonts w:eastAsia="Times New Roman"/>
          <w:b/>
          <w:bCs/>
          <w:i/>
          <w:szCs w:val="26"/>
          <w:lang w:val="hr-HR"/>
        </w:rPr>
        <w:t>просторно-планске</w:t>
      </w:r>
      <w:r>
        <w:rPr>
          <w:rFonts w:eastAsia="Times New Roman"/>
          <w:b/>
          <w:bCs/>
          <w:i/>
          <w:szCs w:val="26"/>
          <w:lang w:val="sr-Cyrl-RS"/>
        </w:rPr>
        <w:t xml:space="preserve"> </w:t>
      </w:r>
      <w:r>
        <w:rPr>
          <w:rFonts w:eastAsia="Times New Roman"/>
          <w:b/>
          <w:bCs/>
          <w:i/>
          <w:szCs w:val="26"/>
          <w:lang w:val="hr-HR"/>
        </w:rPr>
        <w:t>документације</w:t>
      </w:r>
      <w:bookmarkEnd w:id="94"/>
      <w:bookmarkEnd w:id="95"/>
    </w:p>
    <w:p>
      <w:pPr>
        <w:jc w:val="both"/>
        <w:rPr>
          <w:lang w:val="hr-HR"/>
        </w:rPr>
      </w:pPr>
    </w:p>
    <w:p>
      <w:pPr>
        <w:jc w:val="both"/>
        <w:rPr>
          <w:lang w:val="sr-Cyrl-CS"/>
        </w:rPr>
      </w:pPr>
      <w:r>
        <w:rPr>
          <w:lang w:val="sr-Cyrl-CS"/>
        </w:rPr>
        <w:t>Одјељење за просторно уређење, у оквиру својих надлежности обавља послове носиоца припреме израде докумената просторног уређења дефинисане одредбама Закона о уређењу простора и грађењу и другим прописима из посебних области релевантних за планирање и уређење простора. У дијелу планирања простора, Одјељење за просторно уређење и градске институције које се баве том облашћу, још увијек функционишу у отежаним условима који су одређени глобалним економским промјенама и падом вриједности друштвеног производа. Недостатак инвестиционог улагања је видљив кроз остварене приходе по основу трошкова уређења и једнократне ренте, што као посљедицу има и смањење средстава за израду планске и техничке документације.</w:t>
      </w:r>
    </w:p>
    <w:p>
      <w:pPr>
        <w:jc w:val="both"/>
        <w:rPr>
          <w:lang w:val="sr-Cyrl-BA"/>
        </w:rPr>
      </w:pPr>
    </w:p>
    <w:p>
      <w:pPr>
        <w:jc w:val="both"/>
        <w:rPr>
          <w:lang w:val="sr-Cyrl-CS"/>
        </w:rPr>
      </w:pPr>
      <w:r>
        <w:rPr>
          <w:b/>
          <w:i/>
          <w:lang w:val="sr-Cyrl-BA"/>
        </w:rPr>
        <w:t xml:space="preserve">Стратешко-планска документација. </w:t>
      </w:r>
      <w:r>
        <w:rPr>
          <w:lang w:val="sr-Cyrl-BA"/>
        </w:rPr>
        <w:t xml:space="preserve">Скупштина града Бања Лука је </w:t>
      </w:r>
      <w:r>
        <w:rPr>
          <w:lang w:val="sr-Latn-CS"/>
        </w:rPr>
        <w:t>2014.</w:t>
      </w:r>
      <w:r>
        <w:rPr>
          <w:lang w:val="sr-Cyrl-RS"/>
        </w:rPr>
        <w:t xml:space="preserve"> </w:t>
      </w:r>
      <w:r>
        <w:rPr>
          <w:lang w:val="sr-Cyrl-CS"/>
        </w:rPr>
        <w:t>године</w:t>
      </w:r>
      <w:r>
        <w:rPr>
          <w:lang w:val="sr-Cyrl-BA"/>
        </w:rPr>
        <w:t>, усвојила Просторни план града Бања Луке</w:t>
      </w:r>
      <w:r>
        <w:rPr>
          <w:rStyle w:val="31"/>
          <w:lang w:val="sr-Cyrl-BA"/>
        </w:rPr>
        <w:footnoteReference w:id="93"/>
      </w:r>
      <w:r>
        <w:rPr>
          <w:lang w:val="sr-Cyrl-BA"/>
        </w:rPr>
        <w:t>. Покренута је и процедура израде још два стратешка документа, који до данас нису усвојени: Урбанистички план града Бања Лука (као стратешки документ којим се требају дефинисати главна планска опредјељења и одредити концепција уређења простора) и Просторни план подручја спортско-рекреативног и сајамског комплекса</w:t>
      </w:r>
      <w:r>
        <w:rPr>
          <w:lang w:val="sr-Cyrl-CS"/>
        </w:rPr>
        <w:t xml:space="preserve"> </w:t>
      </w:r>
      <w:r>
        <w:rPr>
          <w:lang w:val="sr-Cyrl-BA"/>
        </w:rPr>
        <w:t xml:space="preserve">у </w:t>
      </w:r>
      <w:r>
        <w:rPr>
          <w:lang w:val="sr-Cyrl-CS"/>
        </w:rPr>
        <w:t xml:space="preserve">насељу Залужани на подручју града Бања Лука и општине Лакташи. </w:t>
      </w:r>
    </w:p>
    <w:p>
      <w:pPr>
        <w:shd w:val="clear" w:color="auto" w:fill="FFFFFF"/>
        <w:ind w:left="720"/>
        <w:jc w:val="both"/>
        <w:rPr>
          <w:lang w:val="sr-Cyrl-CS"/>
        </w:rPr>
      </w:pPr>
    </w:p>
    <w:p>
      <w:pPr>
        <w:jc w:val="both"/>
        <w:rPr>
          <w:lang w:val="hr-HR"/>
        </w:rPr>
      </w:pPr>
      <w:r>
        <w:rPr>
          <w:b/>
          <w:i/>
          <w:lang w:val="sr-Cyrl-BA"/>
        </w:rPr>
        <w:t>Спроведбена планска документација</w:t>
      </w:r>
      <w:r>
        <w:rPr>
          <w:b/>
          <w:i/>
          <w:lang w:val="sr-Cyrl-RS"/>
        </w:rPr>
        <w:t xml:space="preserve">. </w:t>
      </w:r>
      <w:r>
        <w:rPr>
          <w:rFonts w:asciiTheme="minorHAnsi" w:hAnsiTheme="minorHAnsi" w:cstheme="minorHAnsi"/>
          <w:lang w:val="sr-Cyrl-BA"/>
        </w:rPr>
        <w:t xml:space="preserve">Покривеност подручја Града Бања Лука спроведбеном планском документацијом (регулациони планови и урбанистички пројекти) је на задовољавајућем нивоу, тј. покривеност ужег урбаног подручја је 92 %, урбаног подручја је 35 %, односно 5,3 % територије Града Бања Лука. </w:t>
      </w:r>
      <w:r>
        <w:rPr>
          <w:lang w:val="sr-Cyrl-RS"/>
        </w:rPr>
        <w:t>Од спроведбене планске документације</w:t>
      </w:r>
      <w:r>
        <w:rPr>
          <w:lang w:val="hr-HR"/>
        </w:rPr>
        <w:t xml:space="preserve"> Одјељење за просторно уређење тренутно располаже са 23</w:t>
      </w:r>
      <w:r>
        <w:rPr>
          <w:lang w:val="sr-Cyrl-BA"/>
        </w:rPr>
        <w:t>5</w:t>
      </w:r>
      <w:r>
        <w:rPr>
          <w:lang w:val="hr-HR"/>
        </w:rPr>
        <w:t xml:space="preserve"> регулациона плана</w:t>
      </w:r>
      <w:r>
        <w:rPr>
          <w:lang w:val="sr-Cyrl-BA"/>
        </w:rPr>
        <w:t xml:space="preserve"> (укључујући измјене и допуне)</w:t>
      </w:r>
      <w:r>
        <w:rPr>
          <w:lang w:val="hr-HR"/>
        </w:rPr>
        <w:t xml:space="preserve">, те 3 урбанистичка пројекта. Овдје треба поменути и планове парцелације као сегмент спроведбене планске документације. Тренутно </w:t>
      </w:r>
      <w:r>
        <w:rPr>
          <w:lang w:val="sr-Cyrl-RS"/>
        </w:rPr>
        <w:t>је</w:t>
      </w:r>
      <w:r>
        <w:rPr>
          <w:lang w:val="hr-HR"/>
        </w:rPr>
        <w:t xml:space="preserve"> важећ</w:t>
      </w:r>
      <w:r>
        <w:rPr>
          <w:lang w:val="sr-Cyrl-RS"/>
        </w:rPr>
        <w:t>е</w:t>
      </w:r>
      <w:r>
        <w:rPr>
          <w:lang w:val="hr-HR"/>
        </w:rPr>
        <w:t xml:space="preserve"> 19</w:t>
      </w:r>
      <w:r>
        <w:rPr>
          <w:lang w:val="sr-Cyrl-BA"/>
        </w:rPr>
        <w:t>5</w:t>
      </w:r>
      <w:r>
        <w:rPr>
          <w:lang w:val="hr-HR"/>
        </w:rPr>
        <w:t xml:space="preserve"> план</w:t>
      </w:r>
      <w:r>
        <w:rPr>
          <w:lang w:val="sr-Cyrl-RS"/>
        </w:rPr>
        <w:t>ова</w:t>
      </w:r>
      <w:r>
        <w:rPr>
          <w:lang w:val="hr-HR"/>
        </w:rPr>
        <w:t xml:space="preserve"> парцелације.</w:t>
      </w:r>
      <w:r>
        <w:rPr>
          <w:lang w:val="sr-Cyrl-BA"/>
        </w:rPr>
        <w:t xml:space="preserve"> </w:t>
      </w:r>
      <w:r>
        <w:rPr>
          <w:lang w:val="hr-HR"/>
        </w:rPr>
        <w:t xml:space="preserve">У Одјељењу се води евиденција и остале планске документације, односно стручних мишљења, урбанистичко-техничких услова и урбаниситичко-техничких услова са корекцијом парцеле. </w:t>
      </w:r>
      <w:r>
        <w:rPr>
          <w:rFonts w:asciiTheme="minorHAnsi" w:hAnsiTheme="minorHAnsi" w:cstheme="minorHAnsi"/>
          <w:lang w:val="sr-Cyrl-RS"/>
        </w:rPr>
        <w:t>Одјељење за просторно уређење континуирано води активности на измјенама и допунама, те изради нове спроведбене планске документације. Тренутно је у фази израде 38 регулациони</w:t>
      </w:r>
      <w:r>
        <w:rPr>
          <w:rFonts w:asciiTheme="minorHAnsi" w:hAnsiTheme="minorHAnsi" w:cstheme="minorHAnsi"/>
          <w:lang w:val="sr-Cyrl-BA"/>
        </w:rPr>
        <w:t>х</w:t>
      </w:r>
      <w:r>
        <w:rPr>
          <w:rFonts w:asciiTheme="minorHAnsi" w:hAnsiTheme="minorHAnsi" w:cstheme="minorHAnsi"/>
          <w:lang w:val="sr-Cyrl-RS"/>
        </w:rPr>
        <w:t xml:space="preserve"> планова и 1 зонинг план, од којих је за 17 докумената предвиђено да се финансирају из буџета, док преосталих 22 докумената, у складу са одредбама Закона о уређењу простора и грађењу, финансирају заинтересовани инвеститори</w:t>
      </w:r>
      <w:r>
        <w:rPr>
          <w:rStyle w:val="31"/>
          <w:rFonts w:asciiTheme="minorHAnsi" w:hAnsiTheme="minorHAnsi" w:cstheme="minorHAnsi"/>
          <w:lang w:val="sr-Cyrl-RS"/>
        </w:rPr>
        <w:footnoteReference w:id="94"/>
      </w:r>
      <w:r>
        <w:rPr>
          <w:rFonts w:asciiTheme="minorHAnsi" w:hAnsiTheme="minorHAnsi" w:cstheme="minorHAnsi"/>
          <w:lang w:val="sr-Cyrl-RS"/>
        </w:rPr>
        <w:t>.</w:t>
      </w:r>
    </w:p>
    <w:p>
      <w:pPr>
        <w:pStyle w:val="53"/>
        <w:jc w:val="both"/>
        <w:rPr>
          <w:rFonts w:asciiTheme="minorHAnsi" w:hAnsiTheme="minorHAnsi" w:cstheme="minorHAnsi"/>
          <w:color w:val="auto"/>
          <w:sz w:val="22"/>
          <w:szCs w:val="22"/>
          <w:lang w:val="sr-Cyrl-RS"/>
        </w:rPr>
      </w:pPr>
    </w:p>
    <w:p>
      <w:pPr>
        <w:pStyle w:val="53"/>
        <w:jc w:val="both"/>
        <w:rPr>
          <w:rFonts w:asciiTheme="minorHAnsi" w:hAnsiTheme="minorHAnsi" w:cstheme="minorHAnsi"/>
          <w:sz w:val="22"/>
          <w:szCs w:val="22"/>
          <w:lang w:val="sr-Cyrl-RS"/>
        </w:rPr>
      </w:pPr>
      <w:r>
        <w:rPr>
          <w:rFonts w:asciiTheme="minorHAnsi" w:hAnsiTheme="minorHAnsi" w:cstheme="minorHAnsi"/>
          <w:b/>
          <w:i/>
          <w:color w:val="auto"/>
          <w:sz w:val="22"/>
          <w:szCs w:val="22"/>
          <w:lang w:val="sr-Cyrl-RS"/>
        </w:rPr>
        <w:t xml:space="preserve">Бесправна градња. </w:t>
      </w:r>
      <w:r>
        <w:rPr>
          <w:rFonts w:asciiTheme="minorHAnsi" w:hAnsiTheme="minorHAnsi" w:cstheme="minorHAnsi"/>
          <w:sz w:val="22"/>
          <w:szCs w:val="22"/>
          <w:lang w:val="sr-Cyrl-RS"/>
        </w:rPr>
        <w:t>Процјењено је да у Бања Луци има 15.000-20.000 бесправно изграђених објеката. Не постоје поуздане процјене броја, врсте ни површине бесправно изграђених објеката, нити обима бесправних радова и доградњи на постојећим објектима, као ни основни подаци о социо-екоаномским, демографским и другим обиљежјима домаћинстава који су власници објеката. Непостојање поузданих информација представља препреку за конципирање трајне политике, као и њеног повезивања са просторним планирањем. Бројни су и разноврсни разлози за бесправну градњу</w:t>
      </w:r>
      <w:r>
        <w:rPr>
          <w:rStyle w:val="31"/>
          <w:rFonts w:asciiTheme="minorHAnsi" w:hAnsiTheme="minorHAnsi" w:cstheme="minorHAnsi"/>
          <w:sz w:val="22"/>
          <w:szCs w:val="22"/>
          <w:lang w:val="sr-Cyrl-RS"/>
        </w:rPr>
        <w:footnoteReference w:id="95"/>
      </w:r>
      <w:r>
        <w:rPr>
          <w:rFonts w:asciiTheme="minorHAnsi" w:hAnsiTheme="minorHAnsi" w:cstheme="minorHAnsi"/>
          <w:sz w:val="22"/>
          <w:szCs w:val="22"/>
          <w:lang w:val="sr-Cyrl-RS"/>
        </w:rPr>
        <w:t xml:space="preserve">. </w:t>
      </w:r>
    </w:p>
    <w:p>
      <w:pPr>
        <w:jc w:val="both"/>
        <w:rPr>
          <w:lang w:val="sr-Cyrl-RS"/>
        </w:rPr>
      </w:pPr>
      <w:r>
        <w:rPr>
          <w:lang w:val="sr-Cyrl-RS"/>
        </w:rPr>
        <w:t>Непланску изградњу индивидуалних објеката као најпогоднијег облика рјешавања смјештаја новопридошлих становника Града, Град није успијевао контролисати ни усмјеравати, нити је било начина да се новоотворене зоне грађења опремају без одговарајућих докумената просторног уређења. Израдом регулационих планова ,којима се то стање санирало, често су стваране велике и нерационалне обавезе за Град, што је резултирало насељимa недовољно опремљеним и најосновнијом комуналном инфраструктуром.</w:t>
      </w:r>
    </w:p>
    <w:p>
      <w:pPr>
        <w:jc w:val="both"/>
        <w:rPr>
          <w:lang w:val="sr-Cyrl-RS"/>
        </w:rPr>
      </w:pPr>
    </w:p>
    <w:p>
      <w:pPr>
        <w:jc w:val="both"/>
        <w:rPr>
          <w:lang w:val="sr-Cyrl-RS"/>
        </w:rPr>
      </w:pPr>
      <w:r>
        <w:rPr>
          <w:lang w:val="sr-Cyrl-RS"/>
        </w:rPr>
        <w:t xml:space="preserve">Измјенама у просторном уређењу, те планирањем неопходних пратећих и јавних садржаја, улажу се напори да се заустави неконтролисана изградња, а да се тамо, гдје је она већ присутна у тешко измјењивој мјери, створе услови да такве зоне постану секундарни центри града (секундарне агломерације). На тај начин би спонтано настале приградске зоне, кренуле путем просторне артикулације и култивисања, те би временом биле интегрисане у ткиво града Бања Луке.  </w:t>
      </w:r>
    </w:p>
    <w:p>
      <w:pPr>
        <w:jc w:val="both"/>
        <w:rPr>
          <w:rFonts w:asciiTheme="minorHAnsi" w:hAnsiTheme="minorHAnsi" w:cstheme="minorHAnsi"/>
          <w:lang w:val="sr-Cyrl-RS"/>
        </w:rPr>
      </w:pPr>
    </w:p>
    <w:tbl>
      <w:tblPr>
        <w:tblStyle w:val="37"/>
        <w:tblW w:w="946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464" w:type="dxa"/>
            <w:shd w:val="clear" w:color="auto" w:fill="C5E0B3" w:themeFill="accent6" w:themeFillTint="66"/>
          </w:tcPr>
          <w:p>
            <w:pPr>
              <w:jc w:val="both"/>
              <w:rPr>
                <w:i/>
                <w:iCs/>
                <w:lang w:val="sr-Cyrl-BA"/>
              </w:rPr>
            </w:pPr>
            <w:r>
              <w:rPr>
                <w:i/>
                <w:iCs/>
                <w:lang w:val="sr-Cyrl-BA"/>
              </w:rPr>
              <w:t>С</w:t>
            </w:r>
            <w:r>
              <w:rPr>
                <w:i/>
                <w:iCs/>
              </w:rPr>
              <w:t xml:space="preserve">тање </w:t>
            </w:r>
            <w:r>
              <w:rPr>
                <w:i/>
                <w:lang w:val="sr-Cyrl-RS"/>
              </w:rPr>
              <w:t>спроведбене планске документације</w:t>
            </w:r>
            <w:r>
              <w:rPr>
                <w:i/>
                <w:lang w:val="hr-HR"/>
              </w:rPr>
              <w:t xml:space="preserve"> </w:t>
            </w:r>
            <w:r>
              <w:rPr>
                <w:i/>
                <w:iCs/>
              </w:rPr>
              <w:t xml:space="preserve">за подручје </w:t>
            </w:r>
            <w:r>
              <w:rPr>
                <w:i/>
                <w:iCs/>
                <w:lang w:val="sr-Cyrl-BA"/>
              </w:rPr>
              <w:t>Града Бања Лука</w:t>
            </w:r>
            <w:r>
              <w:rPr>
                <w:i/>
                <w:iCs/>
              </w:rPr>
              <w:t xml:space="preserve"> оцијењено</w:t>
            </w:r>
            <w:r>
              <w:rPr>
                <w:i/>
                <w:iCs/>
                <w:lang w:val="sr-Cyrl-BA"/>
              </w:rPr>
              <w:t xml:space="preserve"> је</w:t>
            </w:r>
            <w:r>
              <w:rPr>
                <w:i/>
                <w:iCs/>
              </w:rPr>
              <w:t xml:space="preserve"> као добро и континуирано </w:t>
            </w:r>
            <w:r>
              <w:rPr>
                <w:i/>
                <w:iCs/>
                <w:lang w:val="sr-Cyrl-BA"/>
              </w:rPr>
              <w:t xml:space="preserve">се </w:t>
            </w:r>
            <w:r>
              <w:rPr>
                <w:i/>
                <w:iCs/>
              </w:rPr>
              <w:t>врш</w:t>
            </w:r>
            <w:r>
              <w:rPr>
                <w:i/>
                <w:iCs/>
                <w:lang w:val="sr-Cyrl-BA"/>
              </w:rPr>
              <w:t>и</w:t>
            </w:r>
            <w:r>
              <w:rPr>
                <w:i/>
                <w:iCs/>
              </w:rPr>
              <w:t xml:space="preserve"> израд</w:t>
            </w:r>
            <w:r>
              <w:rPr>
                <w:i/>
                <w:iCs/>
                <w:lang w:val="sr-Cyrl-BA"/>
              </w:rPr>
              <w:t>а</w:t>
            </w:r>
            <w:r>
              <w:rPr>
                <w:i/>
                <w:iCs/>
              </w:rPr>
              <w:t xml:space="preserve"> нових и измјене и допуне постојећих планских докумената, </w:t>
            </w:r>
            <w:r>
              <w:rPr>
                <w:i/>
                <w:iCs/>
                <w:lang w:val="sr-Cyrl-BA"/>
              </w:rPr>
              <w:t xml:space="preserve">а </w:t>
            </w:r>
            <w:r>
              <w:rPr>
                <w:i/>
                <w:iCs/>
              </w:rPr>
              <w:t>у складу са финансијским могућностима и буџетским средствима</w:t>
            </w:r>
            <w:r>
              <w:rPr>
                <w:i/>
                <w:iCs/>
                <w:lang w:val="sr-Cyrl-BA"/>
              </w:rPr>
              <w:t xml:space="preserve">. </w:t>
            </w:r>
          </w:p>
          <w:p>
            <w:pPr>
              <w:jc w:val="both"/>
              <w:rPr>
                <w:rFonts w:cs="Calibri"/>
                <w:i/>
                <w:iCs/>
                <w:lang w:val="sr-Cyrl-CS"/>
              </w:rPr>
            </w:pPr>
            <w:r>
              <w:rPr>
                <w:rFonts w:cs="Calibri"/>
                <w:i/>
                <w:iCs/>
              </w:rPr>
              <w:t>Провођење планских докумената и привођење земљишта коначној намјени зависи од низа фактора, а између осталог</w:t>
            </w:r>
            <w:r>
              <w:rPr>
                <w:rFonts w:cs="Calibri"/>
                <w:i/>
                <w:iCs/>
                <w:lang w:val="sr-Cyrl-CS"/>
              </w:rPr>
              <w:t>,</w:t>
            </w:r>
            <w:r>
              <w:rPr>
                <w:rFonts w:cs="Calibri"/>
                <w:i/>
                <w:iCs/>
              </w:rPr>
              <w:t xml:space="preserve"> од расположивих буџетских</w:t>
            </w:r>
            <w:r>
              <w:rPr>
                <w:rFonts w:cs="Calibri"/>
                <w:i/>
                <w:iCs/>
                <w:lang w:val="sr-Cyrl-BA"/>
              </w:rPr>
              <w:t xml:space="preserve"> </w:t>
            </w:r>
            <w:r>
              <w:rPr>
                <w:rFonts w:cs="Calibri"/>
                <w:i/>
                <w:iCs/>
              </w:rPr>
              <w:t>средстава, заинтересираности инвеститора и њихових финанцијских могућности, поједностављења</w:t>
            </w:r>
            <w:r>
              <w:rPr>
                <w:rFonts w:cs="Calibri"/>
                <w:i/>
                <w:iCs/>
                <w:lang w:val="sr-Cyrl-BA"/>
              </w:rPr>
              <w:t xml:space="preserve"> </w:t>
            </w:r>
            <w:r>
              <w:rPr>
                <w:rFonts w:cs="Calibri"/>
                <w:i/>
                <w:iCs/>
              </w:rPr>
              <w:t>законских процедура издавања одобрења и сл. Неопходно је кориштење простора ставити у службу квалитета живљења.</w:t>
            </w:r>
          </w:p>
          <w:p>
            <w:pPr>
              <w:jc w:val="both"/>
              <w:rPr>
                <w:i/>
                <w:lang w:val="sr-Cyrl-CS" w:bidi="en-US"/>
              </w:rPr>
            </w:pPr>
            <w:r>
              <w:rPr>
                <w:i/>
                <w:lang w:val="sr-Cyrl-RS" w:bidi="en-US"/>
              </w:rPr>
              <w:t>Концептуално гледано, проширење града треба планирати „коридорски“, на основу погодне морфологије, терена, утицаја климатских карактеристика котлине у којој се налази Бања Лука као и њених контактних зона, нивоа развијености инфраструктурних коридора или могућности да се она повољно развије и смјерова природног повезивања града са другим центрима</w:t>
            </w:r>
            <w:r>
              <w:rPr>
                <w:i/>
                <w:lang w:bidi="en-US"/>
              </w:rPr>
              <w:t>.</w:t>
            </w:r>
          </w:p>
          <w:p>
            <w:pPr>
              <w:jc w:val="both"/>
              <w:rPr>
                <w:i/>
                <w:lang w:val="sr-Cyrl-RS"/>
              </w:rPr>
            </w:pPr>
            <w:r>
              <w:rPr>
                <w:i/>
                <w:lang w:val="sr-Cyrl-RS"/>
              </w:rPr>
              <w:t>На нивоу Урбанистичког плана, избалансираним распоредом одређених намјена (јавне функције, радне зоне, објекти непривреде, рекреационе површине) и дефинисањем критеријума и правила за уређење, коришћење и изградњу свих врста објеката и намјена, потребно је створити платформу за конкретније поступке у смислу планирања и реализације уређења простора. Израда Урбанистичког плана треба да буде основ за израду спроведбене планске документације.</w:t>
            </w:r>
          </w:p>
          <w:p>
            <w:pPr>
              <w:jc w:val="both"/>
              <w:rPr>
                <w:i/>
                <w:lang w:val="sr-Cyrl-RS"/>
              </w:rPr>
            </w:pPr>
            <w:r>
              <w:rPr>
                <w:i/>
                <w:lang w:val="sr-Cyrl-RS"/>
              </w:rPr>
              <w:t>С обзиром на велику покривеност територије урбаног подручја документима просторног уређења, требало би да је развој територије контролисан, али је евидентна честа појава неконтролисане изградње, нарочито у области изградње индивидуалних стамбених објеката. Узроци спонтане и неконтролисане изградње имају сложену основу, врло често разумљиву и наизглед оправдану, али резултат тога су озбиљне посљедице и врло често негативне промјене у простору.</w:t>
            </w:r>
          </w:p>
        </w:tc>
      </w:tr>
    </w:tbl>
    <w:p>
      <w:pPr>
        <w:spacing w:before="120" w:after="120"/>
        <w:ind w:left="450"/>
        <w:jc w:val="both"/>
        <w:rPr>
          <w:rFonts w:eastAsia="Times New Roman" w:asciiTheme="minorHAnsi" w:hAnsiTheme="minorHAnsi"/>
          <w:bCs/>
          <w:kern w:val="32"/>
        </w:rPr>
      </w:pPr>
    </w:p>
    <w:p>
      <w:pPr>
        <w:keepNext/>
        <w:keepLines/>
        <w:spacing w:before="200"/>
        <w:ind w:left="426"/>
        <w:outlineLvl w:val="3"/>
        <w:rPr>
          <w:rFonts w:eastAsia="Times New Roman"/>
          <w:b/>
          <w:bCs/>
          <w:i/>
          <w:szCs w:val="26"/>
          <w:lang w:val="hr-HR"/>
        </w:rPr>
      </w:pPr>
      <w:bookmarkStart w:id="96" w:name="_Toc500506492"/>
      <w:bookmarkStart w:id="97" w:name="_Toc526761925"/>
      <w:r>
        <w:rPr>
          <w:rFonts w:eastAsia="Times New Roman"/>
          <w:b/>
          <w:bCs/>
          <w:i/>
          <w:szCs w:val="26"/>
          <w:lang w:val="hr-HR"/>
        </w:rPr>
        <w:t>IV.1.8.3 Анализа</w:t>
      </w:r>
      <w:r>
        <w:rPr>
          <w:rFonts w:eastAsia="Times New Roman"/>
          <w:b/>
          <w:bCs/>
          <w:i/>
          <w:szCs w:val="26"/>
          <w:lang w:val="sr-Cyrl-RS"/>
        </w:rPr>
        <w:t xml:space="preserve"> </w:t>
      </w:r>
      <w:r>
        <w:rPr>
          <w:rFonts w:eastAsia="Times New Roman"/>
          <w:b/>
          <w:bCs/>
          <w:i/>
          <w:szCs w:val="26"/>
          <w:lang w:val="hr-HR"/>
        </w:rPr>
        <w:t>буџета</w:t>
      </w:r>
      <w:bookmarkEnd w:id="96"/>
      <w:bookmarkEnd w:id="97"/>
    </w:p>
    <w:p>
      <w:pPr>
        <w:spacing w:line="276" w:lineRule="auto"/>
        <w:jc w:val="both"/>
        <w:rPr>
          <w:rFonts w:ascii="Times New Roman" w:hAnsi="Times New Roman"/>
        </w:rPr>
      </w:pPr>
    </w:p>
    <w:p>
      <w:pPr>
        <w:spacing w:line="276" w:lineRule="auto"/>
        <w:contextualSpacing/>
        <w:jc w:val="both"/>
        <w:rPr>
          <w:rFonts w:eastAsia="Times New Roman" w:asciiTheme="minorHAnsi" w:hAnsiTheme="minorHAnsi" w:cstheme="minorHAnsi"/>
          <w:lang w:val="sr-Cyrl-CS"/>
        </w:rPr>
      </w:pPr>
      <w:bookmarkStart w:id="98" w:name="_Toc473095863"/>
      <w:r>
        <w:rPr>
          <w:rFonts w:eastAsia="Times New Roman" w:asciiTheme="minorHAnsi" w:hAnsiTheme="minorHAnsi" w:cstheme="minorHAnsi"/>
          <w:b/>
          <w:i/>
          <w:lang w:val="sr-Cyrl-BA"/>
        </w:rPr>
        <w:t xml:space="preserve">Припрема и усвајање буџета </w:t>
      </w:r>
      <w:r>
        <w:rPr>
          <w:rFonts w:eastAsia="Times New Roman" w:asciiTheme="minorHAnsi" w:hAnsiTheme="minorHAnsi" w:cstheme="minorHAnsi"/>
          <w:lang w:val="sr-Cyrl-BA"/>
        </w:rPr>
        <w:t>спроводи се у</w:t>
      </w:r>
      <w:r>
        <w:rPr>
          <w:rFonts w:eastAsia="Times New Roman" w:asciiTheme="minorHAnsi" w:hAnsiTheme="minorHAnsi" w:cstheme="minorHAnsi"/>
          <w:lang w:val="sr-Cyrl-CS"/>
        </w:rPr>
        <w:t xml:space="preserve"> складу са Законом о буџетском систему Републике Српске. Детаљније информације о процедури израде Буџета Града налазе се у дужој верзији ситуационе анализе.</w:t>
      </w:r>
    </w:p>
    <w:p>
      <w:pPr>
        <w:spacing w:line="276" w:lineRule="auto"/>
        <w:jc w:val="both"/>
        <w:rPr>
          <w:rFonts w:ascii="Times New Roman" w:hAnsi="Times New Roman" w:eastAsia="Times New Roman"/>
          <w:sz w:val="24"/>
          <w:szCs w:val="24"/>
          <w:lang w:val="sr-Cyrl-BA"/>
        </w:rPr>
      </w:pPr>
    </w:p>
    <w:p>
      <w:pPr>
        <w:spacing w:line="276" w:lineRule="auto"/>
        <w:jc w:val="both"/>
        <w:rPr>
          <w:rFonts w:eastAsia="Times New Roman" w:asciiTheme="minorHAnsi" w:hAnsiTheme="minorHAnsi" w:cstheme="minorHAnsi"/>
          <w:lang w:val="sr-Cyrl-CS"/>
        </w:rPr>
      </w:pPr>
      <w:r>
        <w:rPr>
          <w:rFonts w:eastAsia="Times New Roman" w:asciiTheme="minorHAnsi" w:hAnsiTheme="minorHAnsi" w:cstheme="minorHAnsi"/>
          <w:b/>
          <w:i/>
          <w:lang w:val="bs-Cyrl-BA"/>
        </w:rPr>
        <w:t xml:space="preserve">Реализација буџетских средстава. </w:t>
      </w:r>
      <w:r>
        <w:rPr>
          <w:rFonts w:eastAsia="Times New Roman" w:asciiTheme="minorHAnsi" w:hAnsiTheme="minorHAnsi" w:cstheme="minorHAnsi"/>
          <w:lang w:val="sr-Cyrl-CS"/>
        </w:rPr>
        <w:t>Одјељење за финансије, у складу са Закон</w:t>
      </w:r>
      <w:r>
        <w:rPr>
          <w:rFonts w:eastAsia="Times New Roman" w:asciiTheme="minorHAnsi" w:hAnsiTheme="minorHAnsi" w:cstheme="minorHAnsi"/>
          <w:lang w:val="sr-Cyrl-BA"/>
        </w:rPr>
        <w:t>ом</w:t>
      </w:r>
      <w:r>
        <w:rPr>
          <w:rFonts w:eastAsia="Times New Roman" w:asciiTheme="minorHAnsi" w:hAnsiTheme="minorHAnsi" w:cstheme="minorHAnsi"/>
          <w:lang w:val="sr-Cyrl-CS"/>
        </w:rPr>
        <w:t xml:space="preserve"> о трезору Републике Српске </w:t>
      </w:r>
      <w:r>
        <w:rPr>
          <w:rFonts w:eastAsia="Times New Roman" w:asciiTheme="minorHAnsi" w:hAnsiTheme="minorHAnsi" w:cstheme="minorHAnsi"/>
          <w:lang w:val="sr-Cyrl-BA"/>
        </w:rPr>
        <w:t xml:space="preserve">и </w:t>
      </w:r>
      <w:r>
        <w:rPr>
          <w:rFonts w:eastAsia="Times New Roman" w:asciiTheme="minorHAnsi" w:hAnsiTheme="minorHAnsi" w:cstheme="minorHAnsi"/>
          <w:iCs/>
          <w:lang w:val="sr-Cyrl-CS"/>
        </w:rPr>
        <w:t>Одлук</w:t>
      </w:r>
      <w:r>
        <w:rPr>
          <w:rFonts w:eastAsia="Times New Roman" w:asciiTheme="minorHAnsi" w:hAnsiTheme="minorHAnsi" w:cstheme="minorHAnsi"/>
          <w:iCs/>
          <w:lang w:val="sr-Cyrl-BA"/>
        </w:rPr>
        <w:t>ом</w:t>
      </w:r>
      <w:r>
        <w:rPr>
          <w:rFonts w:eastAsia="Times New Roman" w:asciiTheme="minorHAnsi" w:hAnsiTheme="minorHAnsi" w:cstheme="minorHAnsi"/>
          <w:iCs/>
          <w:lang w:val="sr-Cyrl-CS"/>
        </w:rPr>
        <w:t xml:space="preserve"> о извршењу буџета Града</w:t>
      </w:r>
      <w:r>
        <w:rPr>
          <w:rFonts w:eastAsia="Times New Roman" w:asciiTheme="minorHAnsi" w:hAnsiTheme="minorHAnsi" w:cstheme="minorHAnsi"/>
          <w:iCs/>
          <w:lang w:val="sr-Cyrl-BA"/>
        </w:rPr>
        <w:t>,</w:t>
      </w:r>
      <w:r>
        <w:rPr>
          <w:rFonts w:eastAsia="Times New Roman" w:asciiTheme="minorHAnsi" w:hAnsiTheme="minorHAnsi" w:cstheme="minorHAnsi"/>
          <w:iCs/>
          <w:lang w:val="sr-Cyrl-CS"/>
        </w:rPr>
        <w:t xml:space="preserve"> за </w:t>
      </w:r>
      <w:r>
        <w:rPr>
          <w:rFonts w:eastAsia="Times New Roman" w:asciiTheme="minorHAnsi" w:hAnsiTheme="minorHAnsi" w:cstheme="minorHAnsi"/>
          <w:iCs/>
          <w:lang w:val="sr-Cyrl-BA"/>
        </w:rPr>
        <w:t>сваку фискалну годину,</w:t>
      </w:r>
      <w:r>
        <w:rPr>
          <w:rFonts w:eastAsia="Times New Roman" w:asciiTheme="minorHAnsi" w:hAnsiTheme="minorHAnsi" w:cstheme="minorHAnsi"/>
          <w:lang w:val="sr-Cyrl-CS"/>
        </w:rPr>
        <w:t xml:space="preserve"> сачињава кварталне финансијске планове потрошње за извршење буџета, у складу са процјеном остварења </w:t>
      </w:r>
      <w:r>
        <w:rPr>
          <w:rFonts w:eastAsia="Times New Roman" w:asciiTheme="minorHAnsi" w:hAnsiTheme="minorHAnsi" w:cstheme="minorHAnsi"/>
          <w:lang w:val="sr-Cyrl-RS"/>
        </w:rPr>
        <w:t xml:space="preserve">прихода и </w:t>
      </w:r>
      <w:r>
        <w:rPr>
          <w:rFonts w:eastAsia="Times New Roman" w:asciiTheme="minorHAnsi" w:hAnsiTheme="minorHAnsi" w:cstheme="minorHAnsi"/>
          <w:lang w:val="sr-Cyrl-CS"/>
        </w:rPr>
        <w:t xml:space="preserve">прилива буџетских средстава. </w:t>
      </w:r>
      <w:r>
        <w:rPr>
          <w:rFonts w:eastAsia="Times New Roman" w:asciiTheme="minorHAnsi" w:hAnsiTheme="minorHAnsi" w:cstheme="minorHAnsi"/>
          <w:lang w:val="sr-Cyrl-RS"/>
        </w:rPr>
        <w:t xml:space="preserve">Током цијеле фискалне године проводи се </w:t>
      </w:r>
      <w:r>
        <w:rPr>
          <w:rFonts w:eastAsia="Times New Roman" w:asciiTheme="minorHAnsi" w:hAnsiTheme="minorHAnsi" w:cstheme="minorHAnsi"/>
          <w:b/>
          <w:lang w:val="sr-Cyrl-RS"/>
        </w:rPr>
        <w:t>анализа извршења буџета</w:t>
      </w:r>
      <w:r>
        <w:rPr>
          <w:rFonts w:eastAsia="Times New Roman" w:asciiTheme="minorHAnsi" w:hAnsiTheme="minorHAnsi" w:cstheme="minorHAnsi"/>
          <w:lang w:val="sr-Cyrl-RS"/>
        </w:rPr>
        <w:t xml:space="preserve">, односно, анализа остварених буџетских средстава и буџетских издатака у односу на планирани буџет. Посебно се анализирају значајна одступања остварених буџетских средстава и буџетских издатака од планираних, а све како би се </w:t>
      </w:r>
      <w:r>
        <w:rPr>
          <w:rFonts w:eastAsia="Times New Roman" w:asciiTheme="minorHAnsi" w:hAnsiTheme="minorHAnsi" w:cstheme="minorHAnsi"/>
          <w:lang w:val="sr-Cyrl-CS"/>
        </w:rPr>
        <w:t>реализациј</w:t>
      </w:r>
      <w:r>
        <w:rPr>
          <w:rFonts w:eastAsia="Times New Roman" w:asciiTheme="minorHAnsi" w:hAnsiTheme="minorHAnsi" w:cstheme="minorHAnsi"/>
          <w:lang w:val="sr-Cyrl-BA"/>
        </w:rPr>
        <w:t>а</w:t>
      </w:r>
      <w:r>
        <w:rPr>
          <w:rFonts w:eastAsia="Times New Roman" w:asciiTheme="minorHAnsi" w:hAnsiTheme="minorHAnsi" w:cstheme="minorHAnsi"/>
          <w:lang w:val="sr-Cyrl-CS"/>
        </w:rPr>
        <w:t xml:space="preserve"> буџетских средстава и стварање свих врста обавеза усклади</w:t>
      </w:r>
      <w:r>
        <w:rPr>
          <w:rFonts w:eastAsia="Times New Roman" w:asciiTheme="minorHAnsi" w:hAnsiTheme="minorHAnsi" w:cstheme="minorHAnsi"/>
          <w:lang w:val="sr-Cyrl-BA"/>
        </w:rPr>
        <w:t>ло</w:t>
      </w:r>
      <w:r>
        <w:rPr>
          <w:rFonts w:eastAsia="Times New Roman" w:asciiTheme="minorHAnsi" w:hAnsiTheme="minorHAnsi" w:cstheme="minorHAnsi"/>
          <w:lang w:val="sr-Cyrl-CS"/>
        </w:rPr>
        <w:t xml:space="preserve"> са стварно расположивим средствима</w:t>
      </w:r>
      <w:r>
        <w:rPr>
          <w:rFonts w:eastAsia="Times New Roman" w:asciiTheme="minorHAnsi" w:hAnsiTheme="minorHAnsi" w:cstheme="minorHAnsi"/>
          <w:lang w:val="sr-Cyrl-BA"/>
        </w:rPr>
        <w:t>.</w:t>
      </w:r>
    </w:p>
    <w:p>
      <w:pPr>
        <w:spacing w:line="276" w:lineRule="auto"/>
        <w:jc w:val="both"/>
        <w:rPr>
          <w:rFonts w:eastAsia="Times New Roman" w:asciiTheme="minorHAnsi" w:hAnsiTheme="minorHAnsi" w:cstheme="minorHAnsi"/>
          <w:lang w:val="sr-Cyrl-BA"/>
        </w:rPr>
      </w:pPr>
    </w:p>
    <w:p>
      <w:pPr>
        <w:spacing w:line="276" w:lineRule="auto"/>
        <w:jc w:val="both"/>
        <w:rPr>
          <w:rFonts w:eastAsia="Times New Roman" w:asciiTheme="minorHAnsi" w:hAnsiTheme="minorHAnsi" w:cstheme="minorHAnsi"/>
          <w:lang w:val="sr-Cyrl-CS"/>
        </w:rPr>
      </w:pPr>
      <w:r>
        <w:rPr>
          <w:rFonts w:eastAsia="Times New Roman" w:asciiTheme="minorHAnsi" w:hAnsiTheme="minorHAnsi" w:cstheme="minorHAnsi"/>
          <w:b/>
          <w:i/>
          <w:lang w:val="sr-Cyrl-BA"/>
        </w:rPr>
        <w:t xml:space="preserve">Извјештавање о извршењу буџета. </w:t>
      </w:r>
      <w:r>
        <w:rPr>
          <w:rFonts w:eastAsia="Times New Roman" w:asciiTheme="minorHAnsi" w:hAnsiTheme="minorHAnsi" w:cstheme="minorHAnsi"/>
          <w:lang w:val="sr-Cyrl-CS"/>
        </w:rPr>
        <w:t xml:space="preserve">Израда финансијских извјештаја прописана је Законом о буџетском систему и Правилником о финансијском извјештавању. Сви периодични и годишњи консолидовани финансијски извјештаји достављају се Министарству финансија, а полугодишњи и годишњи консолидовани извјештај о извршењу буџета (у облику који је одређен </w:t>
      </w:r>
      <w:r>
        <w:rPr>
          <w:rFonts w:eastAsia="Times New Roman" w:asciiTheme="minorHAnsi" w:hAnsiTheme="minorHAnsi" w:cstheme="minorHAnsi"/>
          <w:lang w:val="sr-Cyrl-BA"/>
        </w:rPr>
        <w:t>Правилником о форми и садржају буџета и извјештаја о извршењу буџета)</w:t>
      </w:r>
      <w:r>
        <w:rPr>
          <w:rFonts w:eastAsia="Times New Roman" w:asciiTheme="minorHAnsi" w:hAnsiTheme="minorHAnsi" w:cstheme="minorHAnsi"/>
          <w:lang w:val="sr-Cyrl-CS"/>
        </w:rPr>
        <w:t xml:space="preserve"> достављају се Скупштини </w:t>
      </w:r>
      <w:r>
        <w:rPr>
          <w:rFonts w:eastAsia="Times New Roman" w:asciiTheme="minorHAnsi" w:hAnsiTheme="minorHAnsi" w:cstheme="minorHAnsi"/>
          <w:lang w:val="bs-Latn-BA"/>
        </w:rPr>
        <w:t>г</w:t>
      </w:r>
      <w:r>
        <w:rPr>
          <w:rFonts w:eastAsia="Times New Roman" w:asciiTheme="minorHAnsi" w:hAnsiTheme="minorHAnsi" w:cstheme="minorHAnsi"/>
          <w:lang w:val="sr-Cyrl-CS"/>
        </w:rPr>
        <w:t xml:space="preserve">рада у циљу информисања Скупштине и одборника о стању извршења буџета. </w:t>
      </w:r>
    </w:p>
    <w:p>
      <w:pPr>
        <w:spacing w:line="276" w:lineRule="auto"/>
        <w:jc w:val="both"/>
        <w:rPr>
          <w:rFonts w:eastAsia="Times New Roman" w:asciiTheme="minorHAnsi" w:hAnsiTheme="minorHAnsi" w:cstheme="minorHAnsi"/>
          <w:lang w:val="sr-Cyrl-CS"/>
        </w:rPr>
      </w:pPr>
    </w:p>
    <w:p>
      <w:pPr>
        <w:spacing w:line="276" w:lineRule="auto"/>
        <w:contextualSpacing/>
        <w:jc w:val="both"/>
        <w:rPr>
          <w:rFonts w:eastAsia="Times New Roman" w:asciiTheme="minorHAnsi" w:hAnsiTheme="minorHAnsi" w:cstheme="minorHAnsi"/>
          <w:iCs/>
          <w:lang w:val="sr-Cyrl-BA"/>
        </w:rPr>
      </w:pPr>
      <w:r>
        <w:rPr>
          <w:rFonts w:eastAsia="Times New Roman" w:asciiTheme="minorHAnsi" w:hAnsiTheme="minorHAnsi" w:cstheme="minorHAnsi"/>
          <w:b/>
          <w:i/>
          <w:lang w:val="sr-Cyrl-CS"/>
        </w:rPr>
        <w:t xml:space="preserve">Буџетски резултат у периоду 2014. – 2016. године. </w:t>
      </w:r>
      <w:r>
        <w:rPr>
          <w:rFonts w:eastAsia="Times New Roman" w:asciiTheme="minorHAnsi" w:hAnsiTheme="minorHAnsi" w:cstheme="minorHAnsi"/>
          <w:lang w:val="sr-Cyrl-CS"/>
        </w:rPr>
        <w:t xml:space="preserve">У Буџету Града Бања Лука, на крају фискалне 2015. и 2016. године, </w:t>
      </w:r>
      <w:r>
        <w:rPr>
          <w:rFonts w:eastAsia="Times New Roman" w:asciiTheme="minorHAnsi" w:hAnsiTheme="minorHAnsi" w:cstheme="minorHAnsi"/>
          <w:iCs/>
          <w:lang w:val="sr-Cyrl-BA"/>
        </w:rPr>
        <w:t xml:space="preserve">остварен је суфицит, у оквиру планираног буџета (Фонд 01). У 2016. години, исказани нераспоређени суфицит износио је </w:t>
      </w:r>
      <w:r>
        <w:rPr>
          <w:rFonts w:eastAsia="Times New Roman" w:asciiTheme="minorHAnsi" w:hAnsiTheme="minorHAnsi" w:cstheme="minorHAnsi"/>
          <w:iCs/>
          <w:lang w:val="sr-Cyrl-RS"/>
        </w:rPr>
        <w:t>1,09 милиона</w:t>
      </w:r>
      <w:r>
        <w:rPr>
          <w:rFonts w:eastAsia="Times New Roman" w:asciiTheme="minorHAnsi" w:hAnsiTheme="minorHAnsi" w:cstheme="minorHAnsi"/>
          <w:iCs/>
          <w:lang w:val="sr-Cyrl-BA"/>
        </w:rPr>
        <w:t xml:space="preserve"> КМ, док је у 2015. години, суфицит износио 6,8 милиона КМ. Имајући у виду претходно наведено, може се рећи да је буџет Града стабилан, имајући у  виду да је у 2014. години, највећим дијелом као посљедица поплава које су у два наврата погодиле подручје Града, евидентиран дефицит буџета у износу од 7,3 милиона КМ. Исто тако, битно за нагласити је да Град, у посматраном периоду, измирује све своје уговорене обавезе на вријеме и у роковима, тако да је буџет Града у потпуности ликвидан, а ови трендови су задржани и у 2017. Години.</w:t>
      </w:r>
    </w:p>
    <w:p>
      <w:pPr>
        <w:spacing w:line="276" w:lineRule="auto"/>
        <w:jc w:val="both"/>
        <w:rPr>
          <w:rFonts w:eastAsia="Times New Roman" w:asciiTheme="minorHAnsi" w:hAnsiTheme="minorHAnsi" w:cstheme="minorHAnsi"/>
          <w:iCs/>
          <w:lang w:val="sr-Cyrl-BA"/>
        </w:rPr>
      </w:pPr>
    </w:p>
    <w:p>
      <w:pPr>
        <w:jc w:val="both"/>
        <w:rPr>
          <w:rFonts w:eastAsia="Times New Roman" w:asciiTheme="minorHAnsi" w:hAnsiTheme="minorHAnsi" w:cstheme="minorHAnsi"/>
          <w:lang w:val="sr-Cyrl-RS"/>
        </w:rPr>
      </w:pPr>
      <w:r>
        <w:rPr>
          <w:rFonts w:asciiTheme="minorHAnsi" w:hAnsiTheme="minorHAnsi" w:cstheme="minorHAnsi"/>
          <w:b/>
          <w:i/>
          <w:lang w:val="sr-Cyrl-RS"/>
        </w:rPr>
        <w:t>Финансијска анализа по методологији Свјетске банке–пројекат „Самопроцјена општинских финансија (</w:t>
      </w:r>
      <w:r>
        <w:rPr>
          <w:rFonts w:asciiTheme="minorHAnsi" w:hAnsiTheme="minorHAnsi" w:cstheme="minorHAnsi"/>
          <w:b/>
          <w:i/>
          <w:lang w:val="sr-Latn-RS"/>
        </w:rPr>
        <w:t>MFSA</w:t>
      </w:r>
      <w:r>
        <w:rPr>
          <w:rFonts w:asciiTheme="minorHAnsi" w:hAnsiTheme="minorHAnsi" w:cstheme="minorHAnsi"/>
          <w:b/>
          <w:i/>
          <w:lang w:val="sr-Cyrl-RS"/>
        </w:rPr>
        <w:t xml:space="preserve">)“. </w:t>
      </w:r>
      <w:r>
        <w:rPr>
          <w:rFonts w:eastAsia="Times New Roman" w:asciiTheme="minorHAnsi" w:hAnsiTheme="minorHAnsi" w:cstheme="minorHAnsi"/>
          <w:lang w:val="sr-Cyrl-RS"/>
        </w:rPr>
        <w:t>Град Бања Лука је, од 2011. године укључен у пројекат Свјетске банке под називом „Самопроцјена општинских финансија (</w:t>
      </w:r>
      <w:r>
        <w:rPr>
          <w:rFonts w:eastAsia="Times New Roman" w:asciiTheme="minorHAnsi" w:hAnsiTheme="minorHAnsi" w:cstheme="minorHAnsi"/>
          <w:lang w:val="sr-Latn-RS"/>
        </w:rPr>
        <w:t>MFSA</w:t>
      </w:r>
      <w:r>
        <w:rPr>
          <w:rFonts w:eastAsia="Times New Roman" w:asciiTheme="minorHAnsi" w:hAnsiTheme="minorHAnsi" w:cstheme="minorHAnsi"/>
          <w:lang w:val="sr-Cyrl-RS"/>
        </w:rPr>
        <w:t>)“. Поменути пројекат подразумјевао је присуство представника Града на неколико радионица, у оквиру којих је презентована методологија Свјетске банке којом се врши утврђивања финансијске позиције јединица локалне самоуправе. Даље у тексту дати су табеларни прегледи финансијске позиције Града као и њихова појашњења, а на бази коришћења поменуте методологије:</w:t>
      </w:r>
    </w:p>
    <w:p>
      <w:pPr>
        <w:spacing w:line="276" w:lineRule="auto"/>
        <w:jc w:val="both"/>
        <w:rPr>
          <w:rFonts w:eastAsia="Times New Roman" w:asciiTheme="minorHAnsi" w:hAnsiTheme="minorHAnsi" w:cstheme="minorHAnsi"/>
          <w:lang w:val="sr-Cyrl-RS"/>
        </w:rPr>
      </w:pPr>
    </w:p>
    <w:p>
      <w:pPr>
        <w:spacing w:line="276" w:lineRule="auto"/>
        <w:jc w:val="both"/>
        <w:rPr>
          <w:rFonts w:eastAsia="Times New Roman" w:asciiTheme="minorHAnsi" w:hAnsiTheme="minorHAnsi" w:cstheme="minorHAnsi"/>
          <w:b/>
          <w:lang w:val="sr-Cyrl-RS"/>
        </w:rPr>
      </w:pPr>
      <w:r>
        <w:rPr>
          <w:rFonts w:eastAsia="Times New Roman" w:asciiTheme="minorHAnsi" w:hAnsiTheme="minorHAnsi" w:cstheme="minorHAnsi"/>
          <w:b/>
          <w:lang w:val="sr-Cyrl-RS"/>
        </w:rPr>
        <w:t>Табела: Финансијска ситуација</w:t>
      </w:r>
      <w:r>
        <w:rPr>
          <w:rFonts w:eastAsia="Times New Roman" w:asciiTheme="minorHAnsi" w:hAnsiTheme="minorHAnsi" w:cstheme="minorHAnsi"/>
          <w:b/>
          <w:lang w:val="en-US"/>
        </w:rPr>
        <w:t xml:space="preserve"> (</w:t>
      </w:r>
      <w:r>
        <w:rPr>
          <w:rFonts w:eastAsia="Times New Roman" w:asciiTheme="minorHAnsi" w:hAnsiTheme="minorHAnsi" w:cstheme="minorHAnsi"/>
          <w:b/>
          <w:lang w:val="sr-Cyrl-RS"/>
        </w:rPr>
        <w:t>БАМ)</w:t>
      </w:r>
      <w:r>
        <w:rPr>
          <w:rFonts w:ascii="Times New Roman" w:hAnsi="Times New Roman" w:eastAsia="Times New Roman"/>
          <w:sz w:val="24"/>
          <w:szCs w:val="24"/>
          <w:lang w:val="sr-Cyrl-RS"/>
        </w:rPr>
        <w:t xml:space="preserve">                                                                                         </w:t>
      </w:r>
    </w:p>
    <w:tbl>
      <w:tblPr>
        <w:tblStyle w:val="36"/>
        <w:tblW w:w="9413" w:type="dxa"/>
        <w:tblInd w:w="108" w:type="dxa"/>
        <w:tblLayout w:type="fixed"/>
        <w:tblCellMar>
          <w:top w:w="0" w:type="dxa"/>
          <w:left w:w="108" w:type="dxa"/>
          <w:bottom w:w="0" w:type="dxa"/>
          <w:right w:w="108" w:type="dxa"/>
        </w:tblCellMar>
      </w:tblPr>
      <w:tblGrid>
        <w:gridCol w:w="2950"/>
        <w:gridCol w:w="1230"/>
        <w:gridCol w:w="1250"/>
        <w:gridCol w:w="1230"/>
        <w:gridCol w:w="1230"/>
        <w:gridCol w:w="1523"/>
      </w:tblGrid>
      <w:tr>
        <w:tblPrEx>
          <w:tblLayout w:type="fixed"/>
          <w:tblCellMar>
            <w:top w:w="0" w:type="dxa"/>
            <w:left w:w="108" w:type="dxa"/>
            <w:bottom w:w="0" w:type="dxa"/>
            <w:right w:w="108" w:type="dxa"/>
          </w:tblCellMar>
        </w:tblPrEx>
        <w:trPr>
          <w:trHeight w:val="252" w:hRule="atLeast"/>
        </w:trPr>
        <w:tc>
          <w:tcPr>
            <w:tcW w:w="2950"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ign w:val="center"/>
          </w:tcPr>
          <w:p>
            <w:pPr>
              <w:spacing w:line="276" w:lineRule="auto"/>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Cyrl-RS" w:eastAsia="sr-Latn-RS"/>
              </w:rPr>
              <w:t>Опис</w:t>
            </w:r>
            <w:r>
              <w:rPr>
                <w:rFonts w:eastAsia="Times New Roman" w:asciiTheme="minorHAnsi" w:hAnsiTheme="minorHAnsi" w:cstheme="minorHAnsi"/>
                <w:b/>
                <w:bCs/>
                <w:color w:val="000000"/>
                <w:sz w:val="20"/>
                <w:szCs w:val="20"/>
                <w:lang w:val="sr-Latn-RS" w:eastAsia="sr-Latn-RS"/>
              </w:rPr>
              <w:t xml:space="preserve"> </w:t>
            </w:r>
          </w:p>
        </w:tc>
        <w:tc>
          <w:tcPr>
            <w:tcW w:w="1230" w:type="dxa"/>
            <w:tcBorders>
              <w:top w:val="single" w:color="auto" w:sz="4" w:space="0"/>
              <w:left w:val="nil"/>
              <w:bottom w:val="single" w:color="auto" w:sz="4" w:space="0"/>
              <w:right w:val="single" w:color="auto" w:sz="4" w:space="0"/>
            </w:tcBorders>
            <w:shd w:val="clear" w:color="auto" w:fill="A8D08D" w:themeFill="accent6" w:themeFillTint="99"/>
            <w:noWrap/>
            <w:vAlign w:val="center"/>
          </w:tcPr>
          <w:p>
            <w:pPr>
              <w:spacing w:line="276" w:lineRule="auto"/>
              <w:jc w:val="center"/>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2013</w:t>
            </w:r>
          </w:p>
        </w:tc>
        <w:tc>
          <w:tcPr>
            <w:tcW w:w="1250" w:type="dxa"/>
            <w:tcBorders>
              <w:top w:val="single" w:color="auto" w:sz="4" w:space="0"/>
              <w:left w:val="nil"/>
              <w:bottom w:val="single" w:color="auto" w:sz="4" w:space="0"/>
              <w:right w:val="single" w:color="auto" w:sz="4" w:space="0"/>
            </w:tcBorders>
            <w:shd w:val="clear" w:color="auto" w:fill="A8D08D" w:themeFill="accent6" w:themeFillTint="99"/>
            <w:noWrap/>
            <w:vAlign w:val="center"/>
          </w:tcPr>
          <w:p>
            <w:pPr>
              <w:spacing w:line="276" w:lineRule="auto"/>
              <w:jc w:val="center"/>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2014</w:t>
            </w:r>
          </w:p>
        </w:tc>
        <w:tc>
          <w:tcPr>
            <w:tcW w:w="1230" w:type="dxa"/>
            <w:tcBorders>
              <w:top w:val="single" w:color="auto" w:sz="4" w:space="0"/>
              <w:left w:val="nil"/>
              <w:bottom w:val="single" w:color="auto" w:sz="4" w:space="0"/>
              <w:right w:val="single" w:color="auto" w:sz="4" w:space="0"/>
            </w:tcBorders>
            <w:shd w:val="clear" w:color="auto" w:fill="A8D08D" w:themeFill="accent6" w:themeFillTint="99"/>
            <w:noWrap/>
            <w:vAlign w:val="center"/>
          </w:tcPr>
          <w:p>
            <w:pPr>
              <w:spacing w:line="276" w:lineRule="auto"/>
              <w:jc w:val="center"/>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2015</w:t>
            </w:r>
          </w:p>
        </w:tc>
        <w:tc>
          <w:tcPr>
            <w:tcW w:w="1230" w:type="dxa"/>
            <w:tcBorders>
              <w:top w:val="single" w:color="auto" w:sz="4" w:space="0"/>
              <w:left w:val="nil"/>
              <w:bottom w:val="single" w:color="auto" w:sz="4" w:space="0"/>
              <w:right w:val="single" w:color="auto" w:sz="4" w:space="0"/>
            </w:tcBorders>
            <w:shd w:val="clear" w:color="auto" w:fill="A8D08D" w:themeFill="accent6" w:themeFillTint="99"/>
            <w:noWrap/>
            <w:vAlign w:val="center"/>
          </w:tcPr>
          <w:p>
            <w:pPr>
              <w:spacing w:line="276" w:lineRule="auto"/>
              <w:jc w:val="center"/>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2016</w:t>
            </w:r>
          </w:p>
        </w:tc>
        <w:tc>
          <w:tcPr>
            <w:tcW w:w="1523" w:type="dxa"/>
            <w:tcBorders>
              <w:top w:val="single" w:color="auto" w:sz="4" w:space="0"/>
              <w:left w:val="nil"/>
              <w:bottom w:val="single" w:color="auto" w:sz="4" w:space="0"/>
              <w:right w:val="single" w:color="auto" w:sz="4" w:space="0"/>
            </w:tcBorders>
            <w:shd w:val="clear" w:color="auto" w:fill="A8D08D" w:themeFill="accent6" w:themeFillTint="99"/>
            <w:vAlign w:val="center"/>
          </w:tcPr>
          <w:p>
            <w:pPr>
              <w:spacing w:line="276" w:lineRule="auto"/>
              <w:jc w:val="center"/>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Раст 2013-2016</w:t>
            </w:r>
          </w:p>
        </w:tc>
      </w:tr>
      <w:tr>
        <w:tblPrEx>
          <w:tblLayout w:type="fixed"/>
          <w:tblCellMar>
            <w:top w:w="0" w:type="dxa"/>
            <w:left w:w="108" w:type="dxa"/>
            <w:bottom w:w="0" w:type="dxa"/>
            <w:right w:w="108" w:type="dxa"/>
          </w:tblCellMar>
        </w:tblPrEx>
        <w:trPr>
          <w:trHeight w:val="142" w:hRule="atLeast"/>
        </w:trPr>
        <w:tc>
          <w:tcPr>
            <w:tcW w:w="2950" w:type="dxa"/>
            <w:tcBorders>
              <w:top w:val="nil"/>
              <w:left w:val="single" w:color="auto" w:sz="4" w:space="0"/>
              <w:bottom w:val="single" w:color="auto" w:sz="4" w:space="0"/>
              <w:right w:val="single" w:color="auto" w:sz="4" w:space="0"/>
            </w:tcBorders>
            <w:shd w:val="clear" w:color="auto" w:fill="auto"/>
            <w:noWrap/>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Укупни текући приходи</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111.160.055</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109.040.498</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112.365.781</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116.658.869</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1,6%</w:t>
            </w:r>
          </w:p>
        </w:tc>
      </w:tr>
      <w:tr>
        <w:tblPrEx>
          <w:tblLayout w:type="fixed"/>
          <w:tblCellMar>
            <w:top w:w="0" w:type="dxa"/>
            <w:left w:w="108" w:type="dxa"/>
            <w:bottom w:w="0" w:type="dxa"/>
            <w:right w:w="108" w:type="dxa"/>
          </w:tblCellMar>
        </w:tblPrEx>
        <w:trPr>
          <w:trHeight w:val="132"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Текући расходи</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85.771.700</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84.756.429</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79.901.232</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82.576.098</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-1,3%</w:t>
            </w:r>
          </w:p>
        </w:tc>
      </w:tr>
      <w:tr>
        <w:tblPrEx>
          <w:tblLayout w:type="fixed"/>
          <w:tblCellMar>
            <w:top w:w="0" w:type="dxa"/>
            <w:left w:w="108" w:type="dxa"/>
            <w:bottom w:w="0" w:type="dxa"/>
            <w:right w:w="108" w:type="dxa"/>
          </w:tblCellMar>
        </w:tblPrEx>
        <w:trPr>
          <w:trHeight w:val="277" w:hRule="atLeast"/>
        </w:trPr>
        <w:tc>
          <w:tcPr>
            <w:tcW w:w="2950" w:type="dxa"/>
            <w:tcBorders>
              <w:top w:val="nil"/>
              <w:left w:val="single" w:color="auto" w:sz="4" w:space="0"/>
              <w:bottom w:val="single" w:color="auto" w:sz="4" w:space="0"/>
              <w:right w:val="single" w:color="auto" w:sz="4" w:space="0"/>
            </w:tcBorders>
            <w:shd w:val="clear" w:color="auto" w:fill="E2EFD9" w:themeFill="accent6" w:themeFillTint="33"/>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Текући суфицит (маржа пословања)</w:t>
            </w:r>
          </w:p>
        </w:tc>
        <w:tc>
          <w:tcPr>
            <w:tcW w:w="1230" w:type="dxa"/>
            <w:tcBorders>
              <w:top w:val="nil"/>
              <w:left w:val="nil"/>
              <w:bottom w:val="single" w:color="auto" w:sz="4" w:space="0"/>
              <w:right w:val="single" w:color="auto" w:sz="4" w:space="0"/>
            </w:tcBorders>
            <w:shd w:val="clear" w:color="auto" w:fill="E2EFD9" w:themeFill="accent6" w:themeFillTint="33"/>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25.388.355</w:t>
            </w:r>
          </w:p>
        </w:tc>
        <w:tc>
          <w:tcPr>
            <w:tcW w:w="1250" w:type="dxa"/>
            <w:tcBorders>
              <w:top w:val="nil"/>
              <w:left w:val="nil"/>
              <w:bottom w:val="single" w:color="auto" w:sz="4" w:space="0"/>
              <w:right w:val="single" w:color="auto" w:sz="4" w:space="0"/>
            </w:tcBorders>
            <w:shd w:val="clear" w:color="auto" w:fill="E2EFD9" w:themeFill="accent6" w:themeFillTint="33"/>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24.284.069</w:t>
            </w:r>
          </w:p>
        </w:tc>
        <w:tc>
          <w:tcPr>
            <w:tcW w:w="1230" w:type="dxa"/>
            <w:tcBorders>
              <w:top w:val="nil"/>
              <w:left w:val="nil"/>
              <w:bottom w:val="single" w:color="auto" w:sz="4" w:space="0"/>
              <w:right w:val="single" w:color="auto" w:sz="4" w:space="0"/>
            </w:tcBorders>
            <w:shd w:val="clear" w:color="auto" w:fill="E2EFD9" w:themeFill="accent6" w:themeFillTint="33"/>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32.464.549</w:t>
            </w:r>
          </w:p>
        </w:tc>
        <w:tc>
          <w:tcPr>
            <w:tcW w:w="1230" w:type="dxa"/>
            <w:tcBorders>
              <w:top w:val="nil"/>
              <w:left w:val="nil"/>
              <w:bottom w:val="single" w:color="auto" w:sz="4" w:space="0"/>
              <w:right w:val="single" w:color="auto" w:sz="4" w:space="0"/>
            </w:tcBorders>
            <w:shd w:val="clear" w:color="auto" w:fill="E2EFD9" w:themeFill="accent6" w:themeFillTint="33"/>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34.082.771</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10,3%</w:t>
            </w:r>
          </w:p>
        </w:tc>
      </w:tr>
      <w:tr>
        <w:tblPrEx>
          <w:tblLayout w:type="fixed"/>
          <w:tblCellMar>
            <w:top w:w="0" w:type="dxa"/>
            <w:left w:w="108" w:type="dxa"/>
            <w:bottom w:w="0" w:type="dxa"/>
            <w:right w:w="108" w:type="dxa"/>
          </w:tblCellMar>
        </w:tblPrEx>
        <w:trPr>
          <w:trHeight w:val="455"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Отплата дуга (главница, камата, обавезе из претх. периода)</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56.656.439</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27.985.095</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24.120.911</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27.106.485</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-21,8%</w:t>
            </w:r>
          </w:p>
        </w:tc>
      </w:tr>
      <w:tr>
        <w:tblPrEx>
          <w:tblLayout w:type="fixed"/>
          <w:tblCellMar>
            <w:top w:w="0" w:type="dxa"/>
            <w:left w:w="108" w:type="dxa"/>
            <w:bottom w:w="0" w:type="dxa"/>
            <w:right w:w="108" w:type="dxa"/>
          </w:tblCellMar>
        </w:tblPrEx>
        <w:trPr>
          <w:trHeight w:val="336" w:hRule="atLeast"/>
        </w:trPr>
        <w:tc>
          <w:tcPr>
            <w:tcW w:w="2950" w:type="dxa"/>
            <w:tcBorders>
              <w:top w:val="nil"/>
              <w:left w:val="single" w:color="auto" w:sz="4" w:space="0"/>
              <w:bottom w:val="single" w:color="auto" w:sz="4" w:space="0"/>
              <w:right w:val="single" w:color="auto" w:sz="4" w:space="0"/>
            </w:tcBorders>
            <w:shd w:val="clear" w:color="auto" w:fill="C5E0B3" w:themeFill="accent6" w:themeFillTint="66"/>
            <w:vAlign w:val="center"/>
          </w:tcPr>
          <w:p>
            <w:pPr>
              <w:spacing w:line="276" w:lineRule="auto"/>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Нето-текући суфицит (нето маржа)</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-31.268.084</w:t>
            </w:r>
          </w:p>
        </w:tc>
        <w:tc>
          <w:tcPr>
            <w:tcW w:w="125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-3.701.026</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8.343.638</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6.976.286</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160,7%</w:t>
            </w:r>
          </w:p>
        </w:tc>
      </w:tr>
      <w:tr>
        <w:tblPrEx>
          <w:tblLayout w:type="fixed"/>
          <w:tblCellMar>
            <w:top w:w="0" w:type="dxa"/>
            <w:left w:w="108" w:type="dxa"/>
            <w:bottom w:w="0" w:type="dxa"/>
            <w:right w:w="108" w:type="dxa"/>
          </w:tblCellMar>
        </w:tblPrEx>
        <w:trPr>
          <w:trHeight w:val="88"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 xml:space="preserve">Капитални приходи </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3.370.173</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3.512.335</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2.995.594</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2.522.616</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-9,2%</w:t>
            </w:r>
          </w:p>
        </w:tc>
      </w:tr>
      <w:tr>
        <w:tblPrEx>
          <w:tblLayout w:type="fixed"/>
          <w:tblCellMar>
            <w:top w:w="0" w:type="dxa"/>
            <w:left w:w="108" w:type="dxa"/>
            <w:bottom w:w="0" w:type="dxa"/>
            <w:right w:w="108" w:type="dxa"/>
          </w:tblCellMar>
        </w:tblPrEx>
        <w:trPr>
          <w:trHeight w:val="42"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 xml:space="preserve">Властити капитални приходи </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3.130.171</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3.151.784</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2.905.471</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2.358.115</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-9,0%</w:t>
            </w:r>
          </w:p>
        </w:tc>
      </w:tr>
      <w:tr>
        <w:tblPrEx>
          <w:tblLayout w:type="fixed"/>
          <w:tblCellMar>
            <w:top w:w="0" w:type="dxa"/>
            <w:left w:w="108" w:type="dxa"/>
            <w:bottom w:w="0" w:type="dxa"/>
            <w:right w:w="108" w:type="dxa"/>
          </w:tblCellMar>
        </w:tblPrEx>
        <w:trPr>
          <w:trHeight w:val="289"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Капитални трансфери и донације</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240.002</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360.551</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90.123</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164.501</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-11,8%</w:t>
            </w:r>
          </w:p>
        </w:tc>
      </w:tr>
      <w:tr>
        <w:tblPrEx>
          <w:tblLayout w:type="fixed"/>
          <w:tblCellMar>
            <w:top w:w="0" w:type="dxa"/>
            <w:left w:w="108" w:type="dxa"/>
            <w:bottom w:w="0" w:type="dxa"/>
            <w:right w:w="108" w:type="dxa"/>
          </w:tblCellMar>
        </w:tblPrEx>
        <w:trPr>
          <w:trHeight w:val="42"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Капитални расходи</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31.865.594</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12.525.708</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9.795.741</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right"/>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18.773.229</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-16,2%</w:t>
            </w:r>
          </w:p>
        </w:tc>
      </w:tr>
      <w:tr>
        <w:tblPrEx>
          <w:tblLayout w:type="fixed"/>
          <w:tblCellMar>
            <w:top w:w="0" w:type="dxa"/>
            <w:left w:w="108" w:type="dxa"/>
            <w:bottom w:w="0" w:type="dxa"/>
            <w:right w:w="108" w:type="dxa"/>
          </w:tblCellMar>
        </w:tblPrEx>
        <w:trPr>
          <w:trHeight w:val="127" w:hRule="atLeast"/>
        </w:trPr>
        <w:tc>
          <w:tcPr>
            <w:tcW w:w="2950" w:type="dxa"/>
            <w:tcBorders>
              <w:top w:val="nil"/>
              <w:left w:val="single" w:color="auto" w:sz="4" w:space="0"/>
              <w:bottom w:val="single" w:color="auto" w:sz="4" w:space="0"/>
              <w:right w:val="single" w:color="auto" w:sz="4" w:space="0"/>
            </w:tcBorders>
            <w:shd w:val="clear" w:color="auto" w:fill="C5E0B3" w:themeFill="accent6" w:themeFillTint="66"/>
            <w:vAlign w:val="center"/>
          </w:tcPr>
          <w:p>
            <w:pPr>
              <w:spacing w:line="276" w:lineRule="auto"/>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БИЛАНС НАКОН ИНВЕСТИЦИЈА</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-59.763.505</w:t>
            </w:r>
          </w:p>
        </w:tc>
        <w:tc>
          <w:tcPr>
            <w:tcW w:w="125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-12.714.399</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1.543.491</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-9.274.327</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46,3%</w:t>
            </w:r>
          </w:p>
        </w:tc>
      </w:tr>
      <w:tr>
        <w:tblPrEx>
          <w:tblLayout w:type="fixed"/>
          <w:tblCellMar>
            <w:top w:w="0" w:type="dxa"/>
            <w:left w:w="108" w:type="dxa"/>
            <w:bottom w:w="0" w:type="dxa"/>
            <w:right w:w="108" w:type="dxa"/>
          </w:tblCellMar>
        </w:tblPrEx>
        <w:trPr>
          <w:trHeight w:val="105"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Суфицит у претходној години</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92.124</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60.238</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99.200</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4.962.571</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277,7%</w:t>
            </w:r>
          </w:p>
        </w:tc>
      </w:tr>
      <w:tr>
        <w:tblPrEx>
          <w:tblLayout w:type="fixed"/>
          <w:tblCellMar>
            <w:top w:w="0" w:type="dxa"/>
            <w:left w:w="108" w:type="dxa"/>
            <w:bottom w:w="0" w:type="dxa"/>
            <w:right w:w="108" w:type="dxa"/>
          </w:tblCellMar>
        </w:tblPrEx>
        <w:trPr>
          <w:trHeight w:val="151" w:hRule="atLeast"/>
        </w:trPr>
        <w:tc>
          <w:tcPr>
            <w:tcW w:w="2950" w:type="dxa"/>
            <w:tcBorders>
              <w:top w:val="nil"/>
              <w:left w:val="single" w:color="auto" w:sz="4" w:space="0"/>
              <w:bottom w:val="single" w:color="auto" w:sz="4" w:space="0"/>
              <w:right w:val="single" w:color="auto" w:sz="4" w:space="0"/>
            </w:tcBorders>
            <w:shd w:val="clear" w:color="auto" w:fill="auto"/>
            <w:vAlign w:val="center"/>
          </w:tcPr>
          <w:p>
            <w:pPr>
              <w:spacing w:line="276" w:lineRule="auto"/>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Примици од задуживања</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58.094.155</w:t>
            </w:r>
          </w:p>
        </w:tc>
        <w:tc>
          <w:tcPr>
            <w:tcW w:w="125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5.513.505</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5.397.209</w:t>
            </w:r>
          </w:p>
        </w:tc>
        <w:tc>
          <w:tcPr>
            <w:tcW w:w="1230"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5.687.791</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-53,9%</w:t>
            </w:r>
          </w:p>
        </w:tc>
      </w:tr>
      <w:tr>
        <w:tblPrEx>
          <w:tblLayout w:type="fixed"/>
          <w:tblCellMar>
            <w:top w:w="0" w:type="dxa"/>
            <w:left w:w="108" w:type="dxa"/>
            <w:bottom w:w="0" w:type="dxa"/>
            <w:right w:w="108" w:type="dxa"/>
          </w:tblCellMar>
        </w:tblPrEx>
        <w:trPr>
          <w:trHeight w:val="42" w:hRule="atLeast"/>
        </w:trPr>
        <w:tc>
          <w:tcPr>
            <w:tcW w:w="2950" w:type="dxa"/>
            <w:tcBorders>
              <w:top w:val="nil"/>
              <w:left w:val="single" w:color="auto" w:sz="4" w:space="0"/>
              <w:bottom w:val="single" w:color="auto" w:sz="4" w:space="0"/>
              <w:right w:val="single" w:color="auto" w:sz="4" w:space="0"/>
            </w:tcBorders>
            <w:shd w:val="clear" w:color="auto" w:fill="C5E0B3" w:themeFill="accent6" w:themeFillTint="66"/>
            <w:vAlign w:val="center"/>
          </w:tcPr>
          <w:p>
            <w:pPr>
              <w:spacing w:line="276" w:lineRule="auto"/>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Кумулативно стање</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-1.577.226</w:t>
            </w:r>
          </w:p>
        </w:tc>
        <w:tc>
          <w:tcPr>
            <w:tcW w:w="125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-7.140.656</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7.039.900</w:t>
            </w:r>
          </w:p>
        </w:tc>
        <w:tc>
          <w:tcPr>
            <w:tcW w:w="1230" w:type="dxa"/>
            <w:tcBorders>
              <w:top w:val="nil"/>
              <w:left w:val="nil"/>
              <w:bottom w:val="single" w:color="auto" w:sz="4" w:space="0"/>
              <w:right w:val="single" w:color="auto" w:sz="4" w:space="0"/>
            </w:tcBorders>
            <w:shd w:val="clear" w:color="auto" w:fill="C5E0B3" w:themeFill="accent6" w:themeFillTint="66"/>
            <w:noWrap/>
            <w:vAlign w:val="center"/>
          </w:tcPr>
          <w:p>
            <w:pPr>
              <w:spacing w:line="276" w:lineRule="auto"/>
              <w:jc w:val="right"/>
              <w:rPr>
                <w:rFonts w:eastAsia="Times New Roman" w:asciiTheme="minorHAnsi" w:hAnsiTheme="minorHAnsi" w:cstheme="minorHAnsi"/>
                <w:b/>
                <w:bCs/>
                <w:color w:val="000000"/>
                <w:sz w:val="20"/>
                <w:szCs w:val="20"/>
                <w:lang w:val="sr-Latn-RS" w:eastAsia="sr-Latn-RS"/>
              </w:rPr>
            </w:pPr>
            <w:r>
              <w:rPr>
                <w:rFonts w:eastAsia="Times New Roman" w:asciiTheme="minorHAnsi" w:hAnsiTheme="minorHAnsi" w:cstheme="minorHAnsi"/>
                <w:b/>
                <w:bCs/>
                <w:color w:val="000000"/>
                <w:sz w:val="20"/>
                <w:szCs w:val="20"/>
                <w:lang w:val="sr-Latn-RS" w:eastAsia="sr-Latn-RS"/>
              </w:rPr>
              <w:t>1.376.035</w:t>
            </w:r>
          </w:p>
        </w:tc>
        <w:tc>
          <w:tcPr>
            <w:tcW w:w="1523" w:type="dxa"/>
            <w:tcBorders>
              <w:top w:val="nil"/>
              <w:left w:val="nil"/>
              <w:bottom w:val="single" w:color="auto" w:sz="4" w:space="0"/>
              <w:right w:val="single" w:color="auto" w:sz="4" w:space="0"/>
            </w:tcBorders>
            <w:shd w:val="clear" w:color="auto" w:fill="auto"/>
            <w:noWrap/>
            <w:vAlign w:val="center"/>
          </w:tcPr>
          <w:p>
            <w:pPr>
              <w:spacing w:line="276" w:lineRule="auto"/>
              <w:jc w:val="center"/>
              <w:rPr>
                <w:rFonts w:eastAsia="Times New Roman" w:asciiTheme="minorHAnsi" w:hAnsiTheme="minorHAnsi" w:cstheme="minorHAnsi"/>
                <w:color w:val="000000"/>
                <w:sz w:val="20"/>
                <w:szCs w:val="20"/>
                <w:lang w:val="sr-Latn-RS" w:eastAsia="sr-Latn-RS"/>
              </w:rPr>
            </w:pPr>
            <w:r>
              <w:rPr>
                <w:rFonts w:eastAsia="Times New Roman" w:asciiTheme="minorHAnsi" w:hAnsiTheme="minorHAnsi" w:cstheme="minorHAnsi"/>
                <w:color w:val="000000"/>
                <w:sz w:val="20"/>
                <w:szCs w:val="20"/>
                <w:lang w:val="sr-Latn-RS" w:eastAsia="sr-Latn-RS"/>
              </w:rPr>
              <w:t>н/а</w:t>
            </w:r>
          </w:p>
        </w:tc>
      </w:tr>
    </w:tbl>
    <w:p>
      <w:pPr>
        <w:spacing w:line="276" w:lineRule="auto"/>
        <w:jc w:val="both"/>
        <w:rPr>
          <w:rFonts w:ascii="Times New Roman" w:hAnsi="Times New Roman" w:eastAsia="Times New Roman"/>
          <w:sz w:val="24"/>
          <w:szCs w:val="24"/>
          <w:lang w:val="sr-Cyrl-RS"/>
        </w:rPr>
      </w:pPr>
    </w:p>
    <w:p>
      <w:pPr>
        <w:pStyle w:val="46"/>
        <w:numPr>
          <w:ilvl w:val="0"/>
          <w:numId w:val="30"/>
        </w:numPr>
        <w:rPr>
          <w:rFonts w:asciiTheme="minorHAnsi" w:hAnsiTheme="minorHAnsi" w:cstheme="minorHAnsi"/>
          <w:lang w:val="sr-Latn-CS"/>
        </w:rPr>
      </w:pPr>
      <w:r>
        <w:rPr>
          <w:rFonts w:asciiTheme="minorHAnsi" w:hAnsiTheme="minorHAnsi" w:cstheme="minorHAnsi"/>
          <w:b/>
          <w:lang w:val="sr-Latn-CS"/>
        </w:rPr>
        <w:t xml:space="preserve">У </w:t>
      </w:r>
      <w:r>
        <w:rPr>
          <w:rFonts w:asciiTheme="minorHAnsi" w:hAnsiTheme="minorHAnsi" w:cstheme="minorHAnsi"/>
          <w:b/>
          <w:bCs/>
          <w:lang w:val="sr-Latn-CS"/>
        </w:rPr>
        <w:t>2016. стварни буџет</w:t>
      </w:r>
      <w:r>
        <w:rPr>
          <w:rFonts w:asciiTheme="minorHAnsi" w:hAnsiTheme="minorHAnsi" w:cstheme="minorHAnsi"/>
          <w:bCs/>
          <w:lang w:val="sr-Latn-CS"/>
        </w:rPr>
        <w:t xml:space="preserve"> града Бања Лука износио је </w:t>
      </w:r>
      <w:r>
        <w:rPr>
          <w:rFonts w:asciiTheme="minorHAnsi" w:hAnsiTheme="minorHAnsi" w:cstheme="minorHAnsi"/>
          <w:bCs/>
          <w:lang w:val="sr-Cyrl-RS"/>
        </w:rPr>
        <w:t>127,5</w:t>
      </w:r>
      <w:r>
        <w:rPr>
          <w:rFonts w:asciiTheme="minorHAnsi" w:hAnsiTheme="minorHAnsi" w:cstheme="minorHAnsi"/>
          <w:bCs/>
          <w:lang w:val="sr-Latn-CS"/>
        </w:rPr>
        <w:t xml:space="preserve"> миллиона</w:t>
      </w:r>
      <w:r>
        <w:rPr>
          <w:rFonts w:asciiTheme="minorHAnsi" w:hAnsiTheme="minorHAnsi" w:cstheme="minorHAnsi"/>
          <w:bCs/>
          <w:lang w:val="sr-Cyrl-RS"/>
        </w:rPr>
        <w:t xml:space="preserve"> КМ</w:t>
      </w:r>
      <w:r>
        <w:rPr>
          <w:rFonts w:asciiTheme="minorHAnsi" w:hAnsiTheme="minorHAnsi" w:cstheme="minorHAnsi"/>
          <w:bCs/>
          <w:lang w:val="sr-Latn-CS"/>
        </w:rPr>
        <w:t>, од чега ј</w:t>
      </w:r>
      <w:r>
        <w:rPr>
          <w:rFonts w:asciiTheme="minorHAnsi" w:hAnsiTheme="minorHAnsi" w:cstheme="minorHAnsi"/>
          <w:bCs/>
          <w:lang w:val="sr-Cyrl-RS"/>
        </w:rPr>
        <w:t>е</w:t>
      </w:r>
      <w:r>
        <w:rPr>
          <w:rFonts w:asciiTheme="minorHAnsi" w:hAnsiTheme="minorHAnsi" w:cstheme="minorHAnsi"/>
          <w:bCs/>
          <w:lang w:val="sr-Latn-CS"/>
        </w:rPr>
        <w:t xml:space="preserve"> </w:t>
      </w:r>
      <w:r>
        <w:rPr>
          <w:rFonts w:asciiTheme="minorHAnsi" w:hAnsiTheme="minorHAnsi" w:cstheme="minorHAnsi"/>
          <w:bCs/>
          <w:lang w:val="sr-Cyrl-RS"/>
        </w:rPr>
        <w:t>116,6</w:t>
      </w:r>
      <w:r>
        <w:rPr>
          <w:rFonts w:asciiTheme="minorHAnsi" w:hAnsiTheme="minorHAnsi" w:cstheme="minorHAnsi"/>
          <w:bCs/>
          <w:lang w:val="sr-Latn-CS"/>
        </w:rPr>
        <w:t xml:space="preserve"> миллиона</w:t>
      </w:r>
      <w:r>
        <w:rPr>
          <w:rFonts w:asciiTheme="minorHAnsi" w:hAnsiTheme="minorHAnsi" w:cstheme="minorHAnsi"/>
          <w:bCs/>
          <w:lang w:val="sr-Cyrl-RS"/>
        </w:rPr>
        <w:t xml:space="preserve"> КМ</w:t>
      </w:r>
      <w:r>
        <w:rPr>
          <w:rFonts w:asciiTheme="minorHAnsi" w:hAnsiTheme="minorHAnsi" w:cstheme="minorHAnsi"/>
          <w:bCs/>
          <w:lang w:val="sr-Latn-CS"/>
        </w:rPr>
        <w:t xml:space="preserve"> из текућих прихода</w:t>
      </w:r>
      <w:r>
        <w:rPr>
          <w:rFonts w:asciiTheme="minorHAnsi" w:hAnsiTheme="minorHAnsi" w:cstheme="minorHAnsi"/>
          <w:lang w:val="sr-Latn-CS"/>
        </w:rPr>
        <w:t>.</w:t>
      </w:r>
    </w:p>
    <w:p>
      <w:pPr>
        <w:pStyle w:val="46"/>
        <w:numPr>
          <w:ilvl w:val="0"/>
          <w:numId w:val="30"/>
        </w:numPr>
        <w:rPr>
          <w:rFonts w:asciiTheme="minorHAnsi" w:hAnsiTheme="minorHAnsi" w:cstheme="minorHAnsi"/>
          <w:lang w:val="sr-Latn-CS"/>
        </w:rPr>
      </w:pPr>
      <w:r>
        <w:rPr>
          <w:rFonts w:asciiTheme="minorHAnsi" w:hAnsiTheme="minorHAnsi" w:cstheme="minorHAnsi"/>
          <w:b/>
          <w:lang w:val="sr-Latn-CS"/>
        </w:rPr>
        <w:t>Просјечни годиш</w:t>
      </w:r>
      <w:r>
        <w:rPr>
          <w:rFonts w:asciiTheme="minorHAnsi" w:hAnsiTheme="minorHAnsi" w:cstheme="minorHAnsi"/>
          <w:b/>
          <w:lang w:val="sr-Cyrl-RS"/>
        </w:rPr>
        <w:t>њ</w:t>
      </w:r>
      <w:r>
        <w:rPr>
          <w:rFonts w:asciiTheme="minorHAnsi" w:hAnsiTheme="minorHAnsi" w:cstheme="minorHAnsi"/>
          <w:b/>
          <w:lang w:val="sr-Latn-CS"/>
        </w:rPr>
        <w:t xml:space="preserve">и раст </w:t>
      </w:r>
      <w:r>
        <w:rPr>
          <w:rFonts w:asciiTheme="minorHAnsi" w:hAnsiTheme="minorHAnsi" w:cstheme="minorHAnsi"/>
          <w:lang w:val="sr-Latn-CS"/>
        </w:rPr>
        <w:t>текућих прихода је био</w:t>
      </w:r>
      <w:r>
        <w:rPr>
          <w:rFonts w:asciiTheme="minorHAnsi" w:hAnsiTheme="minorHAnsi" w:cstheme="minorHAnsi"/>
          <w:b/>
          <w:lang w:val="sr-Latn-CS"/>
        </w:rPr>
        <w:t xml:space="preserve"> </w:t>
      </w:r>
      <w:r>
        <w:rPr>
          <w:rFonts w:asciiTheme="minorHAnsi" w:hAnsiTheme="minorHAnsi" w:cstheme="minorHAnsi"/>
          <w:lang w:val="sr-Latn-CS"/>
        </w:rPr>
        <w:t>1,6%, што је резултат мање дозначених државних пореских трансфера, уз раст властитих прихода.</w:t>
      </w:r>
    </w:p>
    <w:p>
      <w:pPr>
        <w:pStyle w:val="46"/>
        <w:numPr>
          <w:ilvl w:val="0"/>
          <w:numId w:val="30"/>
        </w:numPr>
        <w:rPr>
          <w:rFonts w:asciiTheme="minorHAnsi" w:hAnsiTheme="minorHAnsi" w:cstheme="minorHAnsi"/>
          <w:lang w:val="sr-Latn-CS"/>
        </w:rPr>
      </w:pPr>
      <w:r>
        <w:rPr>
          <w:rFonts w:asciiTheme="minorHAnsi" w:hAnsiTheme="minorHAnsi" w:cstheme="minorHAnsi"/>
          <w:b/>
          <w:lang w:val="sr-Latn-CS"/>
        </w:rPr>
        <w:t>Отплате дуга:</w:t>
      </w:r>
      <w:r>
        <w:rPr>
          <w:rFonts w:asciiTheme="minorHAnsi" w:hAnsiTheme="minorHAnsi" w:cstheme="minorHAnsi"/>
          <w:b/>
          <w:lang w:val="sr-Cyrl-RS"/>
        </w:rPr>
        <w:t xml:space="preserve"> </w:t>
      </w:r>
      <w:r>
        <w:rPr>
          <w:rFonts w:asciiTheme="minorHAnsi" w:hAnsiTheme="minorHAnsi" w:cstheme="minorHAnsi"/>
          <w:lang w:val="sr-Latn-CS"/>
        </w:rPr>
        <w:t>У 2013. проведено је рефинансиранје кредитних задуженја, што је значајно тренутно уманјило нето маржу.</w:t>
      </w:r>
      <w:r>
        <w:rPr>
          <w:rFonts w:asciiTheme="minorHAnsi" w:hAnsiTheme="minorHAnsi" w:cstheme="minorHAnsi"/>
          <w:lang w:val="sr-Cyrl-RS"/>
        </w:rPr>
        <w:t xml:space="preserve"> </w:t>
      </w:r>
      <w:r>
        <w:rPr>
          <w:rFonts w:asciiTheme="minorHAnsi" w:hAnsiTheme="minorHAnsi" w:cstheme="minorHAnsi"/>
          <w:lang w:val="sr-Latn-CS"/>
        </w:rPr>
        <w:t>Након тога, због смањења текућих расхода и раста прихода, нето маржа биљежи раст од 2014.</w:t>
      </w:r>
      <w:r>
        <w:rPr>
          <w:rFonts w:asciiTheme="minorHAnsi" w:hAnsiTheme="minorHAnsi" w:cstheme="minorHAnsi"/>
          <w:lang w:val="sr-Cyrl-RS"/>
        </w:rPr>
        <w:t xml:space="preserve"> години.</w:t>
      </w:r>
      <w:r>
        <w:rPr>
          <w:rFonts w:asciiTheme="minorHAnsi" w:hAnsiTheme="minorHAnsi" w:cstheme="minorHAnsi"/>
          <w:lang w:val="sr-Latn-CS"/>
        </w:rPr>
        <w:t xml:space="preserve"> У 2017. поново је извршено рефинансирање дугова, те је годишња  отплата дугова смањена са </w:t>
      </w:r>
      <w:r>
        <w:rPr>
          <w:rFonts w:asciiTheme="minorHAnsi" w:hAnsiTheme="minorHAnsi" w:cstheme="minorHAnsi"/>
          <w:lang w:val="sr-Cyrl-RS"/>
        </w:rPr>
        <w:t>22,7</w:t>
      </w:r>
      <w:r>
        <w:rPr>
          <w:rFonts w:asciiTheme="minorHAnsi" w:hAnsiTheme="minorHAnsi" w:cstheme="minorHAnsi"/>
          <w:lang w:val="sr-Latn-CS"/>
        </w:rPr>
        <w:t xml:space="preserve"> милиона </w:t>
      </w:r>
      <w:r>
        <w:rPr>
          <w:rFonts w:asciiTheme="minorHAnsi" w:hAnsiTheme="minorHAnsi" w:cstheme="minorHAnsi"/>
          <w:lang w:val="sr-Cyrl-RS"/>
        </w:rPr>
        <w:t>КМ</w:t>
      </w:r>
      <w:r>
        <w:rPr>
          <w:rFonts w:asciiTheme="minorHAnsi" w:hAnsiTheme="minorHAnsi" w:cstheme="minorHAnsi"/>
          <w:lang w:val="sr-Latn-CS"/>
        </w:rPr>
        <w:t xml:space="preserve"> на </w:t>
      </w:r>
      <w:r>
        <w:rPr>
          <w:rFonts w:asciiTheme="minorHAnsi" w:hAnsiTheme="minorHAnsi" w:cstheme="minorHAnsi"/>
          <w:lang w:val="sr-Cyrl-RS"/>
        </w:rPr>
        <w:t>17,8</w:t>
      </w:r>
      <w:r>
        <w:rPr>
          <w:rFonts w:asciiTheme="minorHAnsi" w:hAnsiTheme="minorHAnsi" w:cstheme="minorHAnsi"/>
          <w:lang w:val="sr-Latn-CS"/>
        </w:rPr>
        <w:t xml:space="preserve"> милиона </w:t>
      </w:r>
      <w:r>
        <w:rPr>
          <w:rFonts w:asciiTheme="minorHAnsi" w:hAnsiTheme="minorHAnsi" w:cstheme="minorHAnsi"/>
          <w:lang w:val="sr-Cyrl-RS"/>
        </w:rPr>
        <w:t>КМ</w:t>
      </w:r>
      <w:r>
        <w:rPr>
          <w:rFonts w:asciiTheme="minorHAnsi" w:hAnsiTheme="minorHAnsi" w:cstheme="minorHAnsi"/>
          <w:lang w:val="sr-Latn-CS"/>
        </w:rPr>
        <w:t xml:space="preserve"> (око </w:t>
      </w:r>
      <w:r>
        <w:rPr>
          <w:rFonts w:asciiTheme="minorHAnsi" w:hAnsiTheme="minorHAnsi" w:cstheme="minorHAnsi"/>
          <w:lang w:val="sr-Cyrl-RS"/>
        </w:rPr>
        <w:t>12</w:t>
      </w:r>
      <w:r>
        <w:rPr>
          <w:rFonts w:asciiTheme="minorHAnsi" w:hAnsiTheme="minorHAnsi" w:cstheme="minorHAnsi"/>
          <w:lang w:val="sr-Latn-CS"/>
        </w:rPr>
        <w:t xml:space="preserve"> мил</w:t>
      </w:r>
      <w:r>
        <w:rPr>
          <w:rFonts w:asciiTheme="minorHAnsi" w:hAnsiTheme="minorHAnsi" w:cstheme="minorHAnsi"/>
          <w:lang w:val="sr-Cyrl-RS"/>
        </w:rPr>
        <w:t>иона</w:t>
      </w:r>
      <w:r>
        <w:rPr>
          <w:rFonts w:asciiTheme="minorHAnsi" w:hAnsiTheme="minorHAnsi" w:cstheme="minorHAnsi"/>
          <w:lang w:val="sr-Latn-CS"/>
        </w:rPr>
        <w:t xml:space="preserve"> </w:t>
      </w:r>
      <w:r>
        <w:rPr>
          <w:rFonts w:asciiTheme="minorHAnsi" w:hAnsiTheme="minorHAnsi" w:cstheme="minorHAnsi"/>
          <w:lang w:val="sr-Cyrl-RS"/>
        </w:rPr>
        <w:t>КМ</w:t>
      </w:r>
      <w:r>
        <w:rPr>
          <w:rFonts w:asciiTheme="minorHAnsi" w:hAnsiTheme="minorHAnsi" w:cstheme="minorHAnsi"/>
          <w:lang w:val="sr-Latn-CS"/>
        </w:rPr>
        <w:t xml:space="preserve"> у наредним годинама).</w:t>
      </w:r>
    </w:p>
    <w:p>
      <w:pPr>
        <w:pStyle w:val="46"/>
        <w:numPr>
          <w:ilvl w:val="0"/>
          <w:numId w:val="30"/>
        </w:numPr>
        <w:rPr>
          <w:rFonts w:asciiTheme="minorHAnsi" w:hAnsiTheme="minorHAnsi" w:cstheme="minorHAnsi"/>
          <w:lang w:val="sr-Latn-CS"/>
        </w:rPr>
      </w:pPr>
      <w:r>
        <w:rPr>
          <w:rFonts w:asciiTheme="minorHAnsi" w:hAnsiTheme="minorHAnsi" w:cstheme="minorHAnsi"/>
          <w:b/>
          <w:lang w:val="sr-Latn-CS"/>
        </w:rPr>
        <w:t>Текући расходи</w:t>
      </w:r>
      <w:r>
        <w:rPr>
          <w:rFonts w:asciiTheme="minorHAnsi" w:hAnsiTheme="minorHAnsi" w:cstheme="minorHAnsi"/>
          <w:lang w:val="sr-Latn-CS"/>
        </w:rPr>
        <w:t xml:space="preserve"> су у 2016. износили </w:t>
      </w:r>
      <w:r>
        <w:rPr>
          <w:rFonts w:asciiTheme="minorHAnsi" w:hAnsiTheme="minorHAnsi" w:cstheme="minorHAnsi"/>
          <w:lang w:val="sr-Cyrl-RS"/>
        </w:rPr>
        <w:t>82,6</w:t>
      </w:r>
      <w:r>
        <w:rPr>
          <w:rFonts w:asciiTheme="minorHAnsi" w:hAnsiTheme="minorHAnsi" w:cstheme="minorHAnsi"/>
          <w:lang w:val="sr-Latn-CS"/>
        </w:rPr>
        <w:t xml:space="preserve"> милиона </w:t>
      </w:r>
      <w:r>
        <w:rPr>
          <w:rFonts w:asciiTheme="minorHAnsi" w:hAnsiTheme="minorHAnsi" w:cstheme="minorHAnsi"/>
          <w:lang w:val="sr-Cyrl-RS"/>
        </w:rPr>
        <w:t>КМ</w:t>
      </w:r>
      <w:r>
        <w:rPr>
          <w:rFonts w:asciiTheme="minorHAnsi" w:hAnsiTheme="minorHAnsi" w:cstheme="minorHAnsi"/>
          <w:lang w:val="sr-Latn-CS"/>
        </w:rPr>
        <w:t xml:space="preserve">, уз пад од 1,3% у посматраном периоду. </w:t>
      </w:r>
    </w:p>
    <w:p>
      <w:pPr>
        <w:pStyle w:val="46"/>
        <w:numPr>
          <w:ilvl w:val="0"/>
          <w:numId w:val="30"/>
        </w:numPr>
        <w:rPr>
          <w:rFonts w:asciiTheme="minorHAnsi" w:hAnsiTheme="minorHAnsi" w:cstheme="minorHAnsi"/>
          <w:lang w:val="sr-Latn-CS"/>
        </w:rPr>
      </w:pPr>
      <w:r>
        <w:rPr>
          <w:rFonts w:asciiTheme="minorHAnsi" w:hAnsiTheme="minorHAnsi" w:cstheme="minorHAnsi"/>
          <w:b/>
          <w:lang w:val="sr-Latn-CS"/>
        </w:rPr>
        <w:t xml:space="preserve">Капитални расходи су у 2016. износили 18,7 милиона КМ. </w:t>
      </w:r>
      <w:r>
        <w:rPr>
          <w:rFonts w:asciiTheme="minorHAnsi" w:hAnsiTheme="minorHAnsi" w:cstheme="minorHAnsi"/>
          <w:lang w:val="sr-Latn-CS"/>
        </w:rPr>
        <w:t xml:space="preserve">У 2013., </w:t>
      </w:r>
      <w:r>
        <w:rPr>
          <w:rFonts w:asciiTheme="minorHAnsi" w:hAnsiTheme="minorHAnsi" w:cstheme="minorHAnsi"/>
          <w:lang w:val="sr-Cyrl-RS"/>
        </w:rPr>
        <w:t>10</w:t>
      </w:r>
      <w:r>
        <w:rPr>
          <w:rFonts w:asciiTheme="minorHAnsi" w:hAnsiTheme="minorHAnsi" w:cstheme="minorHAnsi"/>
          <w:lang w:val="sr-Latn-CS"/>
        </w:rPr>
        <w:t xml:space="preserve"> милиона </w:t>
      </w:r>
      <w:r>
        <w:rPr>
          <w:rFonts w:asciiTheme="minorHAnsi" w:hAnsiTheme="minorHAnsi" w:cstheme="minorHAnsi"/>
          <w:lang w:val="sr-Cyrl-RS"/>
        </w:rPr>
        <w:t>КМ</w:t>
      </w:r>
      <w:r>
        <w:rPr>
          <w:rFonts w:asciiTheme="minorHAnsi" w:hAnsiTheme="minorHAnsi" w:cstheme="minorHAnsi"/>
          <w:lang w:val="sr-Latn-CS"/>
        </w:rPr>
        <w:t xml:space="preserve"> уложено је у докапитализацију Топлане. Посматрано у односу на 2013., пад инвестиција је за 16,2%, што је највећим дијелом послједица сма</w:t>
      </w:r>
      <w:r>
        <w:rPr>
          <w:rFonts w:asciiTheme="minorHAnsi" w:hAnsiTheme="minorHAnsi" w:cstheme="minorHAnsi"/>
          <w:lang w:val="sr-Cyrl-RS"/>
        </w:rPr>
        <w:t>њ</w:t>
      </w:r>
      <w:r>
        <w:rPr>
          <w:rFonts w:asciiTheme="minorHAnsi" w:hAnsiTheme="minorHAnsi" w:cstheme="minorHAnsi"/>
          <w:lang w:val="sr-Latn-CS"/>
        </w:rPr>
        <w:t>еног кредитног прилива, пада капиталних прихода и извршених санира</w:t>
      </w:r>
      <w:r>
        <w:rPr>
          <w:rFonts w:asciiTheme="minorHAnsi" w:hAnsiTheme="minorHAnsi" w:cstheme="minorHAnsi"/>
          <w:lang w:val="sr-Cyrl-CS"/>
        </w:rPr>
        <w:t>њ</w:t>
      </w:r>
      <w:r>
        <w:rPr>
          <w:rFonts w:asciiTheme="minorHAnsi" w:hAnsiTheme="minorHAnsi" w:cstheme="minorHAnsi"/>
          <w:lang w:val="sr-Latn-CS"/>
        </w:rPr>
        <w:t>а штета од поплава у 2014. године из текућих прихода.</w:t>
      </w:r>
    </w:p>
    <w:p>
      <w:pPr>
        <w:spacing w:line="276" w:lineRule="auto"/>
        <w:jc w:val="both"/>
        <w:rPr>
          <w:rFonts w:ascii="Times New Roman" w:hAnsi="Times New Roman" w:eastAsia="Times New Roman"/>
          <w:sz w:val="18"/>
          <w:szCs w:val="18"/>
          <w:lang w:val="sr-Latn-CS"/>
        </w:rPr>
      </w:pPr>
    </w:p>
    <w:p>
      <w:pPr>
        <w:spacing w:line="276" w:lineRule="auto"/>
        <w:jc w:val="both"/>
        <w:rPr>
          <w:rFonts w:eastAsia="Times New Roman" w:asciiTheme="minorHAnsi" w:hAnsiTheme="minorHAnsi" w:cstheme="minorHAnsi"/>
          <w:b/>
          <w:lang w:val="sr-Cyrl-RS"/>
        </w:rPr>
      </w:pPr>
      <w:r>
        <w:rPr>
          <w:rFonts w:eastAsia="Times New Roman" w:asciiTheme="minorHAnsi" w:hAnsiTheme="minorHAnsi" w:cstheme="minorHAnsi"/>
          <w:b/>
          <w:lang w:val="sr-Cyrl-RS"/>
        </w:rPr>
        <w:t>Табела: Анализа показатеља</w:t>
      </w:r>
    </w:p>
    <w:tbl>
      <w:tblPr>
        <w:tblStyle w:val="36"/>
        <w:tblW w:w="90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3"/>
        <w:gridCol w:w="1280"/>
        <w:gridCol w:w="675"/>
        <w:gridCol w:w="731"/>
        <w:gridCol w:w="671"/>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5143" w:type="dxa"/>
            <w:shd w:val="clear" w:color="auto" w:fill="C5E0B3" w:themeFill="accent6" w:themeFillTint="66"/>
            <w:vAlign w:val="center"/>
          </w:tcPr>
          <w:p>
            <w:pPr>
              <w:spacing w:line="276" w:lineRule="auto"/>
              <w:jc w:val="center"/>
              <w:rPr>
                <w:rFonts w:eastAsia="Times New Roman" w:asciiTheme="minorHAnsi" w:hAnsiTheme="minorHAnsi" w:cstheme="minorHAnsi"/>
                <w:b/>
                <w:color w:val="000000"/>
                <w:sz w:val="18"/>
                <w:szCs w:val="20"/>
                <w:lang w:val="sr-Latn-RS" w:eastAsia="sr-Latn-RS"/>
              </w:rPr>
            </w:pPr>
            <w:r>
              <w:rPr>
                <w:rFonts w:eastAsia="Times New Roman" w:asciiTheme="minorHAnsi" w:hAnsiTheme="minorHAnsi" w:cstheme="minorHAnsi"/>
                <w:b/>
                <w:color w:val="000000"/>
                <w:sz w:val="18"/>
                <w:szCs w:val="20"/>
                <w:lang w:val="sr-Latn-RS" w:eastAsia="sr-Latn-RS"/>
              </w:rPr>
              <w:t>Критеријум/Индикатор</w:t>
            </w:r>
          </w:p>
        </w:tc>
        <w:tc>
          <w:tcPr>
            <w:tcW w:w="1280" w:type="dxa"/>
            <w:shd w:val="clear" w:color="auto" w:fill="C5E0B3" w:themeFill="accent6" w:themeFillTint="66"/>
            <w:vAlign w:val="center"/>
          </w:tcPr>
          <w:p>
            <w:pPr>
              <w:spacing w:line="276" w:lineRule="auto"/>
              <w:jc w:val="center"/>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Репер</w:t>
            </w:r>
          </w:p>
        </w:tc>
        <w:tc>
          <w:tcPr>
            <w:tcW w:w="675" w:type="dxa"/>
            <w:shd w:val="clear" w:color="auto" w:fill="C5E0B3" w:themeFill="accent6" w:themeFillTint="66"/>
            <w:noWrap/>
            <w:vAlign w:val="center"/>
          </w:tcPr>
          <w:p>
            <w:pPr>
              <w:spacing w:line="276" w:lineRule="auto"/>
              <w:jc w:val="center"/>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2013</w:t>
            </w:r>
          </w:p>
        </w:tc>
        <w:tc>
          <w:tcPr>
            <w:tcW w:w="731" w:type="dxa"/>
            <w:shd w:val="clear" w:color="auto" w:fill="C5E0B3" w:themeFill="accent6" w:themeFillTint="66"/>
            <w:noWrap/>
            <w:vAlign w:val="center"/>
          </w:tcPr>
          <w:p>
            <w:pPr>
              <w:spacing w:line="276" w:lineRule="auto"/>
              <w:jc w:val="center"/>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2014</w:t>
            </w:r>
          </w:p>
        </w:tc>
        <w:tc>
          <w:tcPr>
            <w:tcW w:w="671" w:type="dxa"/>
            <w:shd w:val="clear" w:color="auto" w:fill="C5E0B3" w:themeFill="accent6" w:themeFillTint="66"/>
            <w:noWrap/>
            <w:vAlign w:val="center"/>
          </w:tcPr>
          <w:p>
            <w:pPr>
              <w:spacing w:line="276" w:lineRule="auto"/>
              <w:jc w:val="center"/>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2015</w:t>
            </w:r>
          </w:p>
        </w:tc>
        <w:tc>
          <w:tcPr>
            <w:tcW w:w="581" w:type="dxa"/>
            <w:shd w:val="clear" w:color="auto" w:fill="C5E0B3" w:themeFill="accent6" w:themeFillTint="66"/>
            <w:noWrap/>
            <w:vAlign w:val="center"/>
          </w:tcPr>
          <w:p>
            <w:pPr>
              <w:spacing w:line="276" w:lineRule="auto"/>
              <w:jc w:val="center"/>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9081" w:type="dxa"/>
            <w:gridSpan w:val="6"/>
            <w:shd w:val="clear" w:color="auto" w:fill="E2EFD9" w:themeFill="accent6" w:themeFillTint="33"/>
            <w:noWrap/>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1.  Кредитна способност</w:t>
            </w:r>
            <w:r>
              <w:rPr>
                <w:rFonts w:eastAsia="Times New Roman" w:asciiTheme="minorHAnsi" w:hAnsiTheme="minorHAnsi" w:cstheme="minorHAnsi"/>
                <w:color w:val="000000"/>
                <w:sz w:val="18"/>
                <w:szCs w:val="20"/>
                <w:lang w:val="sr-Latn-RS" w:eastAsia="sr-Latn-R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5143" w:type="dxa"/>
            <w:shd w:val="clear" w:color="000000" w:fill="FFFFFF"/>
            <w:noWrap/>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Текући суфицит пре камата / Текући приходи</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&gt; 0.3</w:t>
            </w:r>
          </w:p>
        </w:tc>
        <w:tc>
          <w:tcPr>
            <w:tcW w:w="675"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0,23</w:t>
            </w:r>
          </w:p>
        </w:tc>
        <w:tc>
          <w:tcPr>
            <w:tcW w:w="73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0,23</w:t>
            </w:r>
          </w:p>
        </w:tc>
        <w:tc>
          <w:tcPr>
            <w:tcW w:w="67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0,29</w:t>
            </w:r>
          </w:p>
        </w:tc>
        <w:tc>
          <w:tcPr>
            <w:tcW w:w="58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5143" w:type="dxa"/>
            <w:shd w:val="clear" w:color="000000" w:fill="FFFFFF"/>
            <w:noWrap/>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 xml:space="preserve">Нето текући суфицит (након отплате дуга) / Текући приходи </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&gt; 0.2</w:t>
            </w:r>
          </w:p>
        </w:tc>
        <w:tc>
          <w:tcPr>
            <w:tcW w:w="675"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-0,28</w:t>
            </w:r>
          </w:p>
        </w:tc>
        <w:tc>
          <w:tcPr>
            <w:tcW w:w="73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-0,03</w:t>
            </w:r>
          </w:p>
        </w:tc>
        <w:tc>
          <w:tcPr>
            <w:tcW w:w="67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0,08</w:t>
            </w:r>
          </w:p>
        </w:tc>
        <w:tc>
          <w:tcPr>
            <w:tcW w:w="58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9081" w:type="dxa"/>
            <w:gridSpan w:val="6"/>
            <w:shd w:val="clear" w:color="auto" w:fill="E2EFD9" w:themeFill="accent6" w:themeFillTint="33"/>
            <w:noWrap/>
            <w:vAlign w:val="center"/>
          </w:tcPr>
          <w:p>
            <w:pPr>
              <w:spacing w:line="276" w:lineRule="auto"/>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2. Задуженост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Станје дуга / Текући суфицит</w:t>
            </w:r>
          </w:p>
        </w:tc>
        <w:tc>
          <w:tcPr>
            <w:tcW w:w="1280" w:type="dxa"/>
            <w:shd w:val="clear" w:color="000000" w:fill="FFFFFF"/>
            <w:vAlign w:val="center"/>
          </w:tcPr>
          <w:p>
            <w:pPr>
              <w:spacing w:line="276" w:lineRule="auto"/>
              <w:jc w:val="center"/>
              <w:rPr>
                <w:rFonts w:eastAsia="Times New Roman" w:asciiTheme="minorHAnsi" w:hAnsiTheme="minorHAnsi" w:cstheme="minorHAnsi"/>
                <w:color w:val="000000"/>
                <w:sz w:val="18"/>
                <w:szCs w:val="20"/>
                <w:lang w:val="sr-Cyrl-RS" w:eastAsia="sr-Latn-RS"/>
              </w:rPr>
            </w:pPr>
            <w:r>
              <w:rPr>
                <w:rFonts w:eastAsia="Times New Roman" w:asciiTheme="minorHAnsi" w:hAnsiTheme="minorHAnsi" w:cstheme="minorHAnsi"/>
                <w:color w:val="000000"/>
                <w:sz w:val="18"/>
                <w:szCs w:val="20"/>
                <w:lang w:val="sr-Latn-RS" w:eastAsia="sr-Latn-RS"/>
              </w:rPr>
              <w:t>&lt; 10 год</w:t>
            </w:r>
            <w:r>
              <w:rPr>
                <w:rFonts w:eastAsia="Times New Roman" w:asciiTheme="minorHAnsi" w:hAnsiTheme="minorHAnsi" w:cstheme="minorHAnsi"/>
                <w:color w:val="000000"/>
                <w:sz w:val="18"/>
                <w:szCs w:val="20"/>
                <w:lang w:val="sr-Cyrl-RS" w:eastAsia="sr-Latn-RS"/>
              </w:rPr>
              <w:t>.</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7,9</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7,9</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5,4</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 xml:space="preserve">Отплата дуга / Укупни текући приходи </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&lt; 10 %</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51%</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26%</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21%</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9081" w:type="dxa"/>
            <w:gridSpan w:val="6"/>
            <w:shd w:val="clear" w:color="auto" w:fill="E2EFD9" w:themeFill="accent6" w:themeFillTint="33"/>
            <w:noWrap/>
            <w:vAlign w:val="center"/>
          </w:tcPr>
          <w:p>
            <w:pPr>
              <w:spacing w:line="276" w:lineRule="auto"/>
              <w:rPr>
                <w:rFonts w:eastAsia="Times New Roman" w:asciiTheme="minorHAnsi" w:hAnsiTheme="minorHAnsi" w:cstheme="minorHAnsi"/>
                <w:color w:val="FF0000"/>
                <w:sz w:val="18"/>
                <w:szCs w:val="20"/>
                <w:lang w:val="sr-Latn-RS" w:eastAsia="sr-Latn-RS"/>
              </w:rPr>
            </w:pPr>
            <w:r>
              <w:rPr>
                <w:rFonts w:eastAsia="Times New Roman" w:asciiTheme="minorHAnsi" w:hAnsiTheme="minorHAnsi" w:cstheme="minorHAnsi"/>
                <w:b/>
                <w:bCs/>
                <w:color w:val="000000"/>
                <w:sz w:val="18"/>
                <w:szCs w:val="20"/>
                <w:lang w:val="sr-Latn-RS" w:eastAsia="sr-Latn-RS"/>
              </w:rPr>
              <w:t>3. Фискална аутономиј</w:t>
            </w:r>
            <w:r>
              <w:rPr>
                <w:rFonts w:eastAsia="Times New Roman" w:asciiTheme="minorHAnsi" w:hAnsiTheme="minorHAnsi" w:cstheme="minorHAnsi"/>
                <w:b/>
                <w:bCs/>
                <w:color w:val="000000"/>
                <w:sz w:val="18"/>
                <w:szCs w:val="20"/>
                <w:lang w:val="sr-Cyrl-RS" w:eastAsia="sr-Latn-RS"/>
              </w:rPr>
              <w:t>а</w:t>
            </w:r>
            <w:r>
              <w:rPr>
                <w:rFonts w:eastAsia="Times New Roman" w:asciiTheme="minorHAnsi" w:hAnsiTheme="minorHAnsi" w:cstheme="minorHAnsi"/>
                <w:color w:val="FF0000"/>
                <w:sz w:val="18"/>
                <w:szCs w:val="20"/>
                <w:lang w:val="sr-Latn-RS" w:eastAsia="sr-Latn-R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 xml:space="preserve">Сопствени порези и ненаменски трансфери/Укупни текући приходи </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&gt; 80 %</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35%</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37%</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38%</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9081" w:type="dxa"/>
            <w:gridSpan w:val="6"/>
            <w:shd w:val="clear" w:color="auto" w:fill="E2EFD9" w:themeFill="accent6" w:themeFillTint="33"/>
            <w:noWrap/>
            <w:vAlign w:val="center"/>
          </w:tcPr>
          <w:p>
            <w:pPr>
              <w:spacing w:line="276" w:lineRule="auto"/>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4. Капитална улага</w:t>
            </w:r>
            <w:r>
              <w:rPr>
                <w:rFonts w:eastAsia="Times New Roman" w:asciiTheme="minorHAnsi" w:hAnsiTheme="minorHAnsi" w:cstheme="minorHAnsi"/>
                <w:b/>
                <w:bCs/>
                <w:color w:val="000000"/>
                <w:sz w:val="18"/>
                <w:szCs w:val="20"/>
                <w:lang w:val="sr-Cyrl-RS" w:eastAsia="sr-Latn-RS"/>
              </w:rPr>
              <w:t>њ</w:t>
            </w:r>
            <w:r>
              <w:rPr>
                <w:rFonts w:eastAsia="Times New Roman" w:asciiTheme="minorHAnsi" w:hAnsiTheme="minorHAnsi" w:cstheme="minorHAnsi"/>
                <w:b/>
                <w:bCs/>
                <w:color w:val="000000"/>
                <w:sz w:val="18"/>
                <w:szCs w:val="20"/>
                <w:lang w:val="sr-Latn-RS" w:eastAsia="sr-Latn-RS"/>
              </w:rPr>
              <w:t>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 xml:space="preserve">Капитални расходи / Текући приходи </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&gt; 40 %</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29%</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11%</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9%</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9081" w:type="dxa"/>
            <w:gridSpan w:val="6"/>
            <w:shd w:val="clear" w:color="000000" w:fill="FFFFFF"/>
            <w:noWrap/>
            <w:vAlign w:val="center"/>
          </w:tcPr>
          <w:p>
            <w:pPr>
              <w:spacing w:line="276" w:lineRule="auto"/>
              <w:rPr>
                <w:rFonts w:eastAsia="Times New Roman" w:asciiTheme="minorHAnsi" w:hAnsiTheme="minorHAnsi" w:cstheme="minorHAnsi"/>
                <w:color w:val="FF0000"/>
                <w:sz w:val="18"/>
                <w:szCs w:val="20"/>
                <w:lang w:val="sr-Latn-RS" w:eastAsia="sr-Latn-RS"/>
              </w:rPr>
            </w:pPr>
            <w:r>
              <w:rPr>
                <w:rFonts w:eastAsia="Times New Roman" w:asciiTheme="minorHAnsi" w:hAnsiTheme="minorHAnsi" w:cstheme="minorHAnsi"/>
                <w:b/>
                <w:bCs/>
                <w:color w:val="000000"/>
                <w:sz w:val="18"/>
                <w:szCs w:val="20"/>
                <w:lang w:val="sr-Latn-RS" w:eastAsia="sr-Latn-RS"/>
              </w:rPr>
              <w:t>5. Ниво услуга</w:t>
            </w:r>
            <w:r>
              <w:rPr>
                <w:rFonts w:eastAsia="Times New Roman" w:asciiTheme="minorHAnsi" w:hAnsiTheme="minorHAnsi" w:cstheme="minorHAnsi"/>
                <w:color w:val="FF0000"/>
                <w:sz w:val="18"/>
                <w:szCs w:val="20"/>
                <w:lang w:val="sr-Latn-RS" w:eastAsia="sr-Latn-R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Трошкови одржаванја / Текући расходи</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&gt; 30 %</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8%</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7%</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8%</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9081" w:type="dxa"/>
            <w:gridSpan w:val="6"/>
            <w:shd w:val="clear" w:color="auto" w:fill="E2EFD9" w:themeFill="accent6" w:themeFillTint="33"/>
            <w:noWrap/>
            <w:vAlign w:val="center"/>
          </w:tcPr>
          <w:p>
            <w:pPr>
              <w:spacing w:line="276" w:lineRule="auto"/>
              <w:rPr>
                <w:rFonts w:eastAsia="Times New Roman" w:asciiTheme="minorHAnsi" w:hAnsiTheme="minorHAnsi" w:cstheme="minorHAnsi"/>
                <w:b/>
                <w:bCs/>
                <w:color w:val="000000"/>
                <w:sz w:val="18"/>
                <w:szCs w:val="20"/>
                <w:lang w:val="sr-Latn-RS" w:eastAsia="sr-Latn-RS"/>
              </w:rPr>
            </w:pPr>
            <w:r>
              <w:rPr>
                <w:rFonts w:eastAsia="Times New Roman" w:asciiTheme="minorHAnsi" w:hAnsiTheme="minorHAnsi" w:cstheme="minorHAnsi"/>
                <w:b/>
                <w:bCs/>
                <w:color w:val="000000"/>
                <w:sz w:val="18"/>
                <w:szCs w:val="20"/>
                <w:lang w:val="sr-Latn-RS" w:eastAsia="sr-Latn-RS"/>
              </w:rPr>
              <w:t>6 Остало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 xml:space="preserve">Плате и наднице / Текући расходи </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&gt; 40 %</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43%</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43%</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45%</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Остварени приходи / Планирани приходи</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&gt; 95 %</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94%</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92%</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6"/>
                <w:szCs w:val="20"/>
                <w:lang w:val="sr-Latn-RS" w:eastAsia="sr-Latn-RS"/>
              </w:rPr>
              <w:t>102%</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Укупна финансијска имовина / Укупне финансијске обвезе</w:t>
            </w:r>
          </w:p>
        </w:tc>
        <w:tc>
          <w:tcPr>
            <w:tcW w:w="1280"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1,02</w:t>
            </w:r>
          </w:p>
        </w:tc>
        <w:tc>
          <w:tcPr>
            <w:tcW w:w="675"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1,12</w:t>
            </w:r>
          </w:p>
        </w:tc>
        <w:tc>
          <w:tcPr>
            <w:tcW w:w="73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1,12</w:t>
            </w:r>
          </w:p>
        </w:tc>
        <w:tc>
          <w:tcPr>
            <w:tcW w:w="67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1,22</w:t>
            </w:r>
          </w:p>
        </w:tc>
        <w:tc>
          <w:tcPr>
            <w:tcW w:w="581" w:type="dxa"/>
            <w:shd w:val="clear" w:color="000000" w:fill="FFFFFF"/>
            <w:noWrap/>
            <w:vAlign w:val="center"/>
          </w:tcPr>
          <w:p>
            <w:pPr>
              <w:spacing w:line="276" w:lineRule="auto"/>
              <w:jc w:val="cente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5143" w:type="dxa"/>
            <w:shd w:val="clear" w:color="000000" w:fill="FFFFFF"/>
            <w:vAlign w:val="center"/>
          </w:tcPr>
          <w:p>
            <w:pPr>
              <w:spacing w:line="276" w:lineRule="auto"/>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Укупан број локалних слузбеника/становниство</w:t>
            </w:r>
          </w:p>
        </w:tc>
        <w:tc>
          <w:tcPr>
            <w:tcW w:w="1280" w:type="dxa"/>
            <w:shd w:val="clear" w:color="000000" w:fill="FFFFFF"/>
            <w:vAlign w:val="center"/>
          </w:tcPr>
          <w:p>
            <w:pPr>
              <w:spacing w:line="276" w:lineRule="auto"/>
              <w:jc w:val="center"/>
              <w:rPr>
                <w:rFonts w:eastAsia="Times New Roman" w:asciiTheme="minorHAnsi" w:hAnsiTheme="minorHAnsi" w:cstheme="minorHAnsi"/>
                <w:color w:val="000000"/>
                <w:sz w:val="14"/>
                <w:szCs w:val="14"/>
                <w:lang w:val="sr-Latn-RS" w:eastAsia="sr-Latn-RS"/>
              </w:rPr>
            </w:pPr>
            <w:r>
              <w:rPr>
                <w:rFonts w:eastAsia="Times New Roman" w:asciiTheme="minorHAnsi" w:hAnsiTheme="minorHAnsi" w:cstheme="minorHAnsi"/>
                <w:color w:val="000000"/>
                <w:sz w:val="14"/>
                <w:szCs w:val="14"/>
                <w:lang w:val="sr-Latn-RS" w:eastAsia="sr-Latn-RS"/>
              </w:rPr>
              <w:t>&gt;25 запосл. на 1000 становн.</w:t>
            </w:r>
          </w:p>
        </w:tc>
        <w:tc>
          <w:tcPr>
            <w:tcW w:w="675"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7,5</w:t>
            </w:r>
          </w:p>
        </w:tc>
        <w:tc>
          <w:tcPr>
            <w:tcW w:w="73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7,4</w:t>
            </w:r>
          </w:p>
        </w:tc>
        <w:tc>
          <w:tcPr>
            <w:tcW w:w="67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7,3</w:t>
            </w:r>
          </w:p>
        </w:tc>
        <w:tc>
          <w:tcPr>
            <w:tcW w:w="581" w:type="dxa"/>
            <w:shd w:val="clear" w:color="000000" w:fill="FFFFFF"/>
            <w:noWrap/>
            <w:vAlign w:val="center"/>
          </w:tcPr>
          <w:p>
            <w:pPr>
              <w:spacing w:line="276" w:lineRule="auto"/>
              <w:jc w:val="center"/>
              <w:rPr>
                <w:rFonts w:eastAsia="Times New Roman" w:asciiTheme="minorHAnsi" w:hAnsiTheme="minorHAnsi" w:cstheme="minorHAnsi"/>
                <w:color w:val="000000"/>
                <w:sz w:val="18"/>
                <w:szCs w:val="20"/>
                <w:lang w:val="sr-Latn-RS" w:eastAsia="sr-Latn-RS"/>
              </w:rPr>
            </w:pPr>
            <w:r>
              <w:rPr>
                <w:rFonts w:eastAsia="Times New Roman" w:asciiTheme="minorHAnsi" w:hAnsiTheme="minorHAnsi" w:cstheme="minorHAnsi"/>
                <w:color w:val="000000"/>
                <w:sz w:val="18"/>
                <w:szCs w:val="20"/>
                <w:lang w:val="sr-Latn-RS" w:eastAsia="sr-Latn-RS"/>
              </w:rPr>
              <w:t>7,4</w:t>
            </w:r>
          </w:p>
        </w:tc>
      </w:tr>
    </w:tbl>
    <w:p>
      <w:pPr>
        <w:spacing w:line="276" w:lineRule="auto"/>
        <w:jc w:val="both"/>
        <w:rPr>
          <w:rFonts w:ascii="Times New Roman" w:hAnsi="Times New Roman" w:eastAsia="Times New Roman"/>
          <w:b/>
          <w:bCs/>
          <w:color w:val="231F20"/>
          <w:sz w:val="20"/>
          <w:szCs w:val="18"/>
          <w:lang w:val="sr-Cyrl-RS"/>
        </w:rPr>
      </w:pPr>
    </w:p>
    <w:p>
      <w:pPr>
        <w:pStyle w:val="46"/>
        <w:numPr>
          <w:ilvl w:val="0"/>
          <w:numId w:val="31"/>
        </w:numPr>
        <w:rPr>
          <w:rFonts w:asciiTheme="minorHAnsi" w:hAnsiTheme="minorHAnsi" w:cstheme="minorHAnsi"/>
          <w:color w:val="231F20"/>
          <w:lang w:val="sr-Latn-CS"/>
        </w:rPr>
      </w:pPr>
      <w:r>
        <w:rPr>
          <w:rFonts w:asciiTheme="minorHAnsi" w:hAnsiTheme="minorHAnsi" w:cstheme="minorHAnsi"/>
          <w:b/>
          <w:bCs/>
          <w:color w:val="231F20"/>
          <w:lang w:val="sr-Latn-CS"/>
        </w:rPr>
        <w:t xml:space="preserve">Оперативна маржа </w:t>
      </w:r>
      <w:r>
        <w:rPr>
          <w:rFonts w:asciiTheme="minorHAnsi" w:hAnsiTheme="minorHAnsi" w:cstheme="minorHAnsi"/>
          <w:bCs/>
          <w:color w:val="231F20"/>
          <w:lang w:val="sr-Latn-CS"/>
        </w:rPr>
        <w:t xml:space="preserve">се повећала са </w:t>
      </w:r>
      <w:r>
        <w:rPr>
          <w:rFonts w:asciiTheme="minorHAnsi" w:hAnsiTheme="minorHAnsi" w:cstheme="minorHAnsi"/>
          <w:color w:val="231F20"/>
          <w:lang w:val="sr-Latn-CS"/>
        </w:rPr>
        <w:t xml:space="preserve">23% на 32% текућих прихода, а и </w:t>
      </w:r>
      <w:r>
        <w:rPr>
          <w:rFonts w:asciiTheme="minorHAnsi" w:hAnsiTheme="minorHAnsi" w:cstheme="minorHAnsi"/>
          <w:b/>
          <w:color w:val="231F20"/>
          <w:lang w:val="sr-Latn-CS"/>
        </w:rPr>
        <w:t>нето маржа</w:t>
      </w:r>
      <w:r>
        <w:rPr>
          <w:rFonts w:asciiTheme="minorHAnsi" w:hAnsiTheme="minorHAnsi" w:cstheme="minorHAnsi"/>
          <w:color w:val="231F20"/>
          <w:lang w:val="sr-Latn-CS"/>
        </w:rPr>
        <w:t xml:space="preserve"> показује знакове пораста, што су позитивне промјене. </w:t>
      </w:r>
    </w:p>
    <w:p>
      <w:pPr>
        <w:pStyle w:val="46"/>
        <w:numPr>
          <w:ilvl w:val="0"/>
          <w:numId w:val="31"/>
        </w:numPr>
        <w:rPr>
          <w:rFonts w:asciiTheme="minorHAnsi" w:hAnsiTheme="minorHAnsi" w:cstheme="minorHAnsi"/>
          <w:b/>
          <w:bCs/>
          <w:color w:val="231F20"/>
          <w:lang w:val="sr-Latn-CS"/>
        </w:rPr>
      </w:pPr>
      <w:r>
        <w:rPr>
          <w:rFonts w:asciiTheme="minorHAnsi" w:hAnsiTheme="minorHAnsi" w:cstheme="minorHAnsi"/>
          <w:b/>
          <w:bCs/>
          <w:color w:val="231F20"/>
          <w:lang w:val="sr-Latn-CS"/>
        </w:rPr>
        <w:t xml:space="preserve">Терет дуга </w:t>
      </w:r>
      <w:r>
        <w:rPr>
          <w:rFonts w:asciiTheme="minorHAnsi" w:hAnsiTheme="minorHAnsi" w:cstheme="minorHAnsi"/>
          <w:bCs/>
          <w:color w:val="231F20"/>
          <w:lang w:val="sr-Latn-CS"/>
        </w:rPr>
        <w:t>се сманјује, што је позитивно, али је још увијек висок годишнји удио отплате дуга у текућим приходима.</w:t>
      </w:r>
    </w:p>
    <w:p>
      <w:pPr>
        <w:pStyle w:val="46"/>
        <w:numPr>
          <w:ilvl w:val="0"/>
          <w:numId w:val="31"/>
        </w:numPr>
        <w:rPr>
          <w:rFonts w:asciiTheme="minorHAnsi" w:hAnsiTheme="minorHAnsi" w:cstheme="minorHAnsi"/>
          <w:color w:val="231F20"/>
          <w:lang w:val="sr-Latn-CS"/>
        </w:rPr>
      </w:pPr>
      <w:r>
        <w:rPr>
          <w:rFonts w:asciiTheme="minorHAnsi" w:hAnsiTheme="minorHAnsi" w:cstheme="minorHAnsi"/>
          <w:color w:val="000000"/>
          <w:lang w:val="sr-Latn-CS"/>
        </w:rPr>
        <w:t xml:space="preserve">Анализа омјера показује потребу за повећанјем градске </w:t>
      </w:r>
      <w:r>
        <w:rPr>
          <w:rFonts w:asciiTheme="minorHAnsi" w:hAnsiTheme="minorHAnsi" w:cstheme="minorHAnsi"/>
          <w:b/>
          <w:color w:val="000000"/>
          <w:lang w:val="sr-Latn-CS"/>
        </w:rPr>
        <w:t>фискалне аутономије.</w:t>
      </w:r>
    </w:p>
    <w:p>
      <w:pPr>
        <w:pStyle w:val="46"/>
        <w:numPr>
          <w:ilvl w:val="0"/>
          <w:numId w:val="31"/>
        </w:numPr>
        <w:rPr>
          <w:rFonts w:asciiTheme="minorHAnsi" w:hAnsiTheme="minorHAnsi" w:cstheme="minorHAnsi"/>
          <w:color w:val="000000"/>
          <w:lang w:val="sr-Latn-CS"/>
        </w:rPr>
      </w:pPr>
      <w:r>
        <w:rPr>
          <w:rFonts w:asciiTheme="minorHAnsi" w:hAnsiTheme="minorHAnsi" w:cstheme="minorHAnsi"/>
          <w:color w:val="000000"/>
          <w:lang w:val="sr-Latn-CS"/>
        </w:rPr>
        <w:t xml:space="preserve">Учешће </w:t>
      </w:r>
      <w:r>
        <w:rPr>
          <w:rFonts w:asciiTheme="minorHAnsi" w:hAnsiTheme="minorHAnsi" w:cstheme="minorHAnsi"/>
          <w:b/>
          <w:color w:val="000000"/>
          <w:lang w:val="sr-Latn-CS"/>
        </w:rPr>
        <w:t xml:space="preserve">капиталних улагања </w:t>
      </w:r>
      <w:r>
        <w:rPr>
          <w:rFonts w:asciiTheme="minorHAnsi" w:hAnsiTheme="minorHAnsi" w:cstheme="minorHAnsi"/>
          <w:color w:val="000000"/>
          <w:lang w:val="sr-Latn-CS"/>
        </w:rPr>
        <w:t xml:space="preserve">осцилира (2013. </w:t>
      </w:r>
      <w:r>
        <w:rPr>
          <w:rFonts w:asciiTheme="minorHAnsi" w:hAnsiTheme="minorHAnsi" w:cstheme="minorHAnsi"/>
          <w:color w:val="000000"/>
          <w:lang w:val="sr-Cyrl-RS"/>
        </w:rPr>
        <w:t>10 милиона КМ</w:t>
      </w:r>
      <w:r>
        <w:rPr>
          <w:rFonts w:asciiTheme="minorHAnsi" w:hAnsiTheme="minorHAnsi" w:cstheme="minorHAnsi"/>
          <w:color w:val="000000"/>
          <w:lang w:val="sr-Latn-CS"/>
        </w:rPr>
        <w:t xml:space="preserve"> уложено у докапитализацију Топлане). Изузимајући 2013. учешће ових издатака је у лаганом порасту.</w:t>
      </w:r>
      <w:r>
        <w:rPr>
          <w:rFonts w:asciiTheme="minorHAnsi" w:hAnsiTheme="minorHAnsi" w:cstheme="minorHAnsi"/>
          <w:color w:val="000000"/>
          <w:lang w:val="sr-Cyrl-RS"/>
        </w:rPr>
        <w:t xml:space="preserve"> </w:t>
      </w:r>
      <w:r>
        <w:rPr>
          <w:rFonts w:asciiTheme="minorHAnsi" w:hAnsiTheme="minorHAnsi" w:cstheme="minorHAnsi"/>
          <w:color w:val="000000"/>
          <w:lang w:val="sr-Latn-CS"/>
        </w:rPr>
        <w:t>Како је успјешно окончан поступак рефинансиранја кредитних задуженја у 2017. години,</w:t>
      </w:r>
      <w:r>
        <w:rPr>
          <w:rFonts w:asciiTheme="minorHAnsi" w:hAnsiTheme="minorHAnsi" w:cstheme="minorHAnsi"/>
          <w:color w:val="000000"/>
          <w:lang w:val="sr-Cyrl-RS"/>
        </w:rPr>
        <w:t xml:space="preserve"> </w:t>
      </w:r>
      <w:r>
        <w:rPr>
          <w:rFonts w:asciiTheme="minorHAnsi" w:hAnsiTheme="minorHAnsi" w:cstheme="minorHAnsi"/>
          <w:color w:val="000000"/>
          <w:lang w:val="sr-Latn-CS"/>
        </w:rPr>
        <w:t>створени су услови за додатна капитална улаганја у наредном периоду.</w:t>
      </w:r>
    </w:p>
    <w:p>
      <w:pPr>
        <w:spacing w:line="276" w:lineRule="auto"/>
        <w:jc w:val="both"/>
        <w:rPr>
          <w:rFonts w:ascii="Times New Roman" w:hAnsi="Times New Roman" w:eastAsia="Times New Roman"/>
          <w:color w:val="000000"/>
          <w:sz w:val="20"/>
          <w:szCs w:val="18"/>
          <w:lang w:val="sr-Latn-CS"/>
        </w:rPr>
      </w:pPr>
    </w:p>
    <w:p>
      <w:pPr>
        <w:spacing w:line="276" w:lineRule="auto"/>
        <w:contextualSpacing/>
        <w:jc w:val="both"/>
        <w:rPr>
          <w:rFonts w:eastAsia="Times New Roman" w:asciiTheme="minorHAnsi" w:hAnsiTheme="minorHAnsi" w:cstheme="minorHAnsi"/>
          <w:lang w:val="sr-Cyrl-BA"/>
        </w:rPr>
      </w:pPr>
      <w:r>
        <w:rPr>
          <w:rFonts w:eastAsia="Times New Roman" w:asciiTheme="minorHAnsi" w:hAnsiTheme="minorHAnsi" w:cstheme="minorHAnsi"/>
          <w:b/>
          <w:i/>
          <w:lang w:val="sr-Latn-RS"/>
        </w:rPr>
        <w:t>А</w:t>
      </w:r>
      <w:r>
        <w:rPr>
          <w:rFonts w:eastAsia="Times New Roman" w:asciiTheme="minorHAnsi" w:hAnsiTheme="minorHAnsi" w:cstheme="minorHAnsi"/>
          <w:b/>
          <w:i/>
          <w:lang w:val="sr-Cyrl-CS"/>
        </w:rPr>
        <w:t xml:space="preserve">нализа реализације планираних буџетских средстава (Фонд 01-усвојени Буџет) у претходном периоду.  </w:t>
      </w:r>
      <w:r>
        <w:rPr>
          <w:rFonts w:eastAsia="Times New Roman" w:asciiTheme="minorHAnsi" w:hAnsiTheme="minorHAnsi" w:cstheme="minorHAnsi"/>
          <w:b/>
          <w:lang w:val="sr-Latn-CS"/>
        </w:rPr>
        <w:t>Порески</w:t>
      </w:r>
      <w:r>
        <w:rPr>
          <w:rFonts w:eastAsia="Times New Roman" w:asciiTheme="minorHAnsi" w:hAnsiTheme="minorHAnsi" w:cstheme="minorHAnsi"/>
          <w:b/>
          <w:lang w:val="sr-Cyrl-RS"/>
        </w:rPr>
        <w:t xml:space="preserve"> </w:t>
      </w:r>
      <w:r>
        <w:rPr>
          <w:rFonts w:eastAsia="Times New Roman" w:asciiTheme="minorHAnsi" w:hAnsiTheme="minorHAnsi" w:cstheme="minorHAnsi"/>
          <w:b/>
          <w:lang w:val="sr-Latn-CS"/>
        </w:rPr>
        <w:t>и</w:t>
      </w:r>
      <w:r>
        <w:rPr>
          <w:rFonts w:eastAsia="Times New Roman" w:asciiTheme="minorHAnsi" w:hAnsiTheme="minorHAnsi" w:cstheme="minorHAnsi"/>
          <w:b/>
          <w:lang w:val="sr-Cyrl-RS"/>
        </w:rPr>
        <w:t xml:space="preserve"> </w:t>
      </w:r>
      <w:r>
        <w:rPr>
          <w:rFonts w:eastAsia="Times New Roman" w:asciiTheme="minorHAnsi" w:hAnsiTheme="minorHAnsi" w:cstheme="minorHAnsi"/>
          <w:b/>
          <w:lang w:val="sr-Latn-CS"/>
        </w:rPr>
        <w:t>непорески</w:t>
      </w:r>
      <w:r>
        <w:rPr>
          <w:rFonts w:eastAsia="Times New Roman" w:asciiTheme="minorHAnsi" w:hAnsiTheme="minorHAnsi" w:cstheme="minorHAnsi"/>
          <w:b/>
          <w:lang w:val="sr-Cyrl-RS"/>
        </w:rPr>
        <w:t xml:space="preserve"> </w:t>
      </w:r>
      <w:r>
        <w:rPr>
          <w:rFonts w:eastAsia="Times New Roman" w:asciiTheme="minorHAnsi" w:hAnsiTheme="minorHAnsi" w:cstheme="minorHAnsi"/>
          <w:b/>
          <w:lang w:val="sr-Latn-CS"/>
        </w:rPr>
        <w:t>приходи</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Града</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у</w:t>
      </w:r>
      <w:r>
        <w:rPr>
          <w:rFonts w:eastAsia="Times New Roman" w:asciiTheme="minorHAnsi" w:hAnsiTheme="minorHAnsi" w:cstheme="minorHAnsi"/>
          <w:lang w:val="sr-Cyrl-RS"/>
        </w:rPr>
        <w:t xml:space="preserve"> 2016. </w:t>
      </w:r>
      <w:r>
        <w:rPr>
          <w:rFonts w:eastAsia="Times New Roman" w:asciiTheme="minorHAnsi" w:hAnsiTheme="minorHAnsi" w:cstheme="minorHAnsi"/>
          <w:lang w:val="sr-Latn-CS"/>
        </w:rPr>
        <w:t>години</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реализовани</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су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износу</w:t>
      </w:r>
      <w:r>
        <w:rPr>
          <w:rFonts w:eastAsia="Times New Roman" w:asciiTheme="minorHAnsi" w:hAnsiTheme="minorHAnsi" w:cstheme="minorHAnsi"/>
          <w:lang w:val="sr-Cyrl-RS"/>
        </w:rPr>
        <w:t xml:space="preserve"> 112.112.282,26 </w:t>
      </w:r>
      <w:r>
        <w:rPr>
          <w:rFonts w:eastAsia="Times New Roman" w:asciiTheme="minorHAnsi" w:hAnsiTheme="minorHAnsi" w:cstheme="minorHAnsi"/>
          <w:lang w:val="sr-Latn-CS"/>
        </w:rPr>
        <w:t>КМ</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а</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посматрано</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односу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на</w:t>
      </w:r>
      <w:r>
        <w:rPr>
          <w:rFonts w:eastAsia="Times New Roman" w:asciiTheme="minorHAnsi" w:hAnsiTheme="minorHAnsi" w:cstheme="minorHAnsi"/>
          <w:lang w:val="sr-Cyrl-RS"/>
        </w:rPr>
        <w:t xml:space="preserve"> 2015. </w:t>
      </w:r>
      <w:r>
        <w:rPr>
          <w:rFonts w:eastAsia="Times New Roman" w:asciiTheme="minorHAnsi" w:hAnsiTheme="minorHAnsi" w:cstheme="minorHAnsi"/>
          <w:lang w:val="sr-Latn-CS"/>
        </w:rPr>
        <w:t>годину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када</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су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ови</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приходи</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реализовани</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износу</w:t>
      </w:r>
      <w:r>
        <w:rPr>
          <w:rFonts w:eastAsia="Times New Roman" w:asciiTheme="minorHAnsi" w:hAnsiTheme="minorHAnsi" w:cstheme="minorHAnsi"/>
          <w:lang w:val="sr-Cyrl-RS"/>
        </w:rPr>
        <w:t xml:space="preserve"> </w:t>
      </w:r>
      <w:r>
        <w:rPr>
          <w:rFonts w:eastAsia="Times New Roman" w:asciiTheme="minorHAnsi" w:hAnsiTheme="minorHAnsi" w:cstheme="minorHAnsi"/>
          <w:lang w:val="sr-Latn-CS"/>
        </w:rPr>
        <w:t>од</w:t>
      </w:r>
      <w:r>
        <w:rPr>
          <w:rFonts w:eastAsia="Times New Roman" w:asciiTheme="minorHAnsi" w:hAnsiTheme="minorHAnsi" w:cstheme="minorHAnsi"/>
          <w:lang w:val="sr-Cyrl-RS"/>
        </w:rPr>
        <w:t xml:space="preserve"> </w:t>
      </w:r>
      <w:r>
        <w:rPr>
          <w:rFonts w:eastAsia="Times New Roman" w:asciiTheme="minorHAnsi" w:hAnsiTheme="minorHAnsi" w:cstheme="minorHAnsi"/>
          <w:lang w:val="sr-Cyrl-CS"/>
        </w:rPr>
        <w:t>106.690.047,63</w:t>
      </w:r>
      <w:r>
        <w:rPr>
          <w:rFonts w:eastAsia="Times New Roman" w:asciiTheme="minorHAnsi" w:hAnsiTheme="minorHAnsi" w:cstheme="minorHAnsi"/>
          <w:lang w:val="sr-Latn-CS"/>
        </w:rPr>
        <w:t xml:space="preserve"> КМ</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видљиво</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је</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ве</w:t>
      </w:r>
      <w:r>
        <w:rPr>
          <w:rFonts w:eastAsia="Times New Roman" w:asciiTheme="minorHAnsi" w:hAnsiTheme="minorHAnsi" w:cstheme="minorHAnsi"/>
          <w:lang w:val="sr-Cyrl-CS"/>
        </w:rPr>
        <w:t>ћ</w:t>
      </w:r>
      <w:r>
        <w:rPr>
          <w:rFonts w:eastAsia="Times New Roman" w:asciiTheme="minorHAnsi" w:hAnsiTheme="minorHAnsi" w:cstheme="minorHAnsi"/>
          <w:lang w:val="sr-Latn-CS"/>
        </w:rPr>
        <w:t>е</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извр</w:t>
      </w:r>
      <w:r>
        <w:rPr>
          <w:rFonts w:eastAsia="Times New Roman" w:asciiTheme="minorHAnsi" w:hAnsiTheme="minorHAnsi" w:cstheme="minorHAnsi"/>
          <w:lang w:val="sr-Cyrl-CS"/>
        </w:rPr>
        <w:t>ш</w:t>
      </w:r>
      <w:r>
        <w:rPr>
          <w:rFonts w:eastAsia="Times New Roman" w:asciiTheme="minorHAnsi" w:hAnsiTheme="minorHAnsi" w:cstheme="minorHAnsi"/>
          <w:lang w:val="sr-Latn-CS"/>
        </w:rPr>
        <w:t>ење</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прихода</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у</w:t>
      </w:r>
      <w:r>
        <w:rPr>
          <w:rFonts w:eastAsia="Times New Roman" w:asciiTheme="minorHAnsi" w:hAnsiTheme="minorHAnsi" w:cstheme="minorHAnsi"/>
          <w:lang w:val="sr-Cyrl-CS"/>
        </w:rPr>
        <w:t xml:space="preserve"> 2016. </w:t>
      </w:r>
      <w:r>
        <w:rPr>
          <w:rFonts w:eastAsia="Times New Roman" w:asciiTheme="minorHAnsi" w:hAnsiTheme="minorHAnsi" w:cstheme="minorHAnsi"/>
          <w:lang w:val="sr-Latn-CS"/>
        </w:rPr>
        <w:t>години</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за</w:t>
      </w:r>
      <w:r>
        <w:rPr>
          <w:rFonts w:eastAsia="Times New Roman" w:asciiTheme="minorHAnsi" w:hAnsiTheme="minorHAnsi" w:cstheme="minorHAnsi"/>
          <w:lang w:val="sr-Cyrl-CS"/>
        </w:rPr>
        <w:t xml:space="preserve"> 5.422.234,63 </w:t>
      </w:r>
      <w:r>
        <w:rPr>
          <w:rFonts w:eastAsia="Times New Roman" w:asciiTheme="minorHAnsi" w:hAnsiTheme="minorHAnsi" w:cstheme="minorHAnsi"/>
          <w:lang w:val="sr-Latn-CS"/>
        </w:rPr>
        <w:t>КМ</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или</w:t>
      </w:r>
      <w:r>
        <w:rPr>
          <w:rFonts w:eastAsia="Times New Roman" w:asciiTheme="minorHAnsi" w:hAnsiTheme="minorHAnsi" w:cstheme="minorHAnsi"/>
          <w:lang w:val="sr-Cyrl-CS"/>
        </w:rPr>
        <w:t xml:space="preserve"> </w:t>
      </w:r>
      <w:r>
        <w:rPr>
          <w:rFonts w:eastAsia="Times New Roman" w:asciiTheme="minorHAnsi" w:hAnsiTheme="minorHAnsi" w:cstheme="minorHAnsi"/>
          <w:lang w:val="sr-Latn-CS"/>
        </w:rPr>
        <w:t>за</w:t>
      </w:r>
      <w:r>
        <w:rPr>
          <w:rFonts w:eastAsia="Times New Roman" w:asciiTheme="minorHAnsi" w:hAnsiTheme="minorHAnsi" w:cstheme="minorHAnsi"/>
          <w:lang w:val="sr-Cyrl-CS"/>
        </w:rPr>
        <w:t xml:space="preserve"> 5,1%.</w:t>
      </w:r>
      <w:r>
        <w:rPr>
          <w:rFonts w:eastAsia="Times New Roman" w:asciiTheme="minorHAnsi" w:hAnsiTheme="minorHAnsi" w:cstheme="minorHAnsi"/>
          <w:lang w:val="sr-Latn-RS"/>
        </w:rPr>
        <w:t xml:space="preserve"> </w:t>
      </w:r>
      <w:r>
        <w:rPr>
          <w:rFonts w:eastAsia="Times New Roman" w:asciiTheme="minorHAnsi" w:hAnsiTheme="minorHAnsi" w:cstheme="minorHAnsi"/>
          <w:lang w:val="sr-Cyrl-BA"/>
        </w:rPr>
        <w:t>У 2014. години, реализација пореских и непореских прихода износила је 103.772.258,39 КМ.</w:t>
      </w:r>
    </w:p>
    <w:p>
      <w:pPr>
        <w:spacing w:line="276" w:lineRule="auto"/>
        <w:jc w:val="both"/>
        <w:rPr>
          <w:rFonts w:eastAsia="Times New Roman" w:asciiTheme="minorHAnsi" w:hAnsiTheme="minorHAnsi" w:cstheme="minorHAnsi"/>
          <w:lang w:val="sr-Latn-CS"/>
        </w:rPr>
      </w:pPr>
    </w:p>
    <w:p>
      <w:pPr>
        <w:shd w:val="clear" w:color="auto" w:fill="E2EFD9" w:themeFill="accent6" w:themeFillTint="33"/>
        <w:spacing w:line="276" w:lineRule="auto"/>
        <w:jc w:val="both"/>
        <w:rPr>
          <w:rFonts w:eastAsia="Times New Roman" w:asciiTheme="minorHAnsi" w:hAnsiTheme="minorHAnsi" w:cstheme="minorHAnsi"/>
          <w:i/>
          <w:lang w:val="sr-Cyrl-RS"/>
        </w:rPr>
      </w:pPr>
      <w:r>
        <w:rPr>
          <w:rFonts w:eastAsia="Times New Roman" w:asciiTheme="minorHAnsi" w:hAnsiTheme="minorHAnsi" w:cstheme="minorHAnsi"/>
          <w:i/>
          <w:lang w:val="sr-Cyrl-RS"/>
        </w:rPr>
        <w:t xml:space="preserve">У 2016. </w:t>
      </w:r>
      <w:r>
        <w:rPr>
          <w:rFonts w:eastAsia="Times New Roman" w:asciiTheme="minorHAnsi" w:hAnsiTheme="minorHAnsi" w:cstheme="minorHAnsi"/>
          <w:i/>
          <w:lang w:val="sr-Latn-CS"/>
        </w:rPr>
        <w:t>години</w:t>
      </w:r>
      <w:r>
        <w:rPr>
          <w:rFonts w:eastAsia="Times New Roman" w:asciiTheme="minorHAnsi" w:hAnsiTheme="minorHAnsi" w:cstheme="minorHAnsi"/>
          <w:i/>
          <w:lang w:val="sr-Cyrl-RS"/>
        </w:rPr>
        <w:t xml:space="preserve">, по први пут је </w:t>
      </w:r>
      <w:r>
        <w:rPr>
          <w:rFonts w:eastAsia="Times New Roman" w:asciiTheme="minorHAnsi" w:hAnsiTheme="minorHAnsi" w:cstheme="minorHAnsi"/>
          <w:i/>
          <w:lang w:val="sr-Latn-CS"/>
        </w:rPr>
        <w:t>планирана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реализована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Накнада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уре</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ење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гра</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евинског</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земљи</w:t>
      </w:r>
      <w:r>
        <w:rPr>
          <w:rFonts w:eastAsia="Times New Roman" w:asciiTheme="minorHAnsi" w:hAnsiTheme="minorHAnsi" w:cstheme="minorHAnsi"/>
          <w:i/>
          <w:lang w:val="sr-Cyrl-RS"/>
        </w:rPr>
        <w:t>ш</w:t>
      </w:r>
      <w:r>
        <w:rPr>
          <w:rFonts w:eastAsia="Times New Roman" w:asciiTheme="minorHAnsi" w:hAnsiTheme="minorHAnsi" w:cstheme="minorHAnsi"/>
          <w:i/>
          <w:lang w:val="sr-Latn-CS"/>
        </w:rPr>
        <w:t>та</w:t>
      </w:r>
      <w:r>
        <w:rPr>
          <w:rFonts w:eastAsia="Times New Roman" w:asciiTheme="minorHAnsi" w:hAnsiTheme="minorHAnsi" w:cstheme="minorHAnsi"/>
          <w:i/>
          <w:lang w:val="sr-Cyrl-RS"/>
        </w:rPr>
        <w:t xml:space="preserve"> – </w:t>
      </w:r>
      <w:r>
        <w:rPr>
          <w:rFonts w:eastAsia="Times New Roman" w:asciiTheme="minorHAnsi" w:hAnsiTheme="minorHAnsi" w:cstheme="minorHAnsi"/>
          <w:i/>
          <w:lang w:val="sr-Latn-CS"/>
        </w:rPr>
        <w:t>по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уговорима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инвеститорима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финансирање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опремања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градског</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гра</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евинског</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земљи</w:t>
      </w:r>
      <w:r>
        <w:rPr>
          <w:rFonts w:eastAsia="Times New Roman" w:asciiTheme="minorHAnsi" w:hAnsiTheme="minorHAnsi" w:cstheme="minorHAnsi"/>
          <w:i/>
          <w:lang w:val="sr-Cyrl-RS"/>
        </w:rPr>
        <w:t>ш</w:t>
      </w:r>
      <w:r>
        <w:rPr>
          <w:rFonts w:eastAsia="Times New Roman" w:asciiTheme="minorHAnsi" w:hAnsiTheme="minorHAnsi" w:cstheme="minorHAnsi"/>
          <w:i/>
          <w:lang w:val="sr-Latn-CS"/>
        </w:rPr>
        <w:t>та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Ова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накнада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реализована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је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w:t>
      </w:r>
      <w:r>
        <w:rPr>
          <w:rFonts w:eastAsia="Times New Roman" w:asciiTheme="minorHAnsi" w:hAnsiTheme="minorHAnsi" w:cstheme="minorHAnsi"/>
          <w:i/>
          <w:lang w:val="sr-Cyrl-RS"/>
        </w:rPr>
        <w:t xml:space="preserve"> 2016. </w:t>
      </w:r>
      <w:r>
        <w:rPr>
          <w:rFonts w:eastAsia="Times New Roman" w:asciiTheme="minorHAnsi" w:hAnsiTheme="minorHAnsi" w:cstheme="minorHAnsi"/>
          <w:i/>
          <w:lang w:val="sr-Latn-CS"/>
        </w:rPr>
        <w:t>години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износу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од</w:t>
      </w:r>
      <w:r>
        <w:rPr>
          <w:rFonts w:eastAsia="Times New Roman" w:asciiTheme="minorHAnsi" w:hAnsiTheme="minorHAnsi" w:cstheme="minorHAnsi"/>
          <w:i/>
          <w:lang w:val="sr-Cyrl-RS"/>
        </w:rPr>
        <w:t xml:space="preserve"> 4.434.090,16 </w:t>
      </w:r>
      <w:r>
        <w:rPr>
          <w:rFonts w:eastAsia="Times New Roman" w:asciiTheme="minorHAnsi" w:hAnsiTheme="minorHAnsi" w:cstheme="minorHAnsi"/>
          <w:i/>
          <w:lang w:val="sr-Latn-CS"/>
        </w:rPr>
        <w:t>КМ</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складу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законским</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подзаконским</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прописима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из</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области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уре</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ења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простора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гра</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ења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Наведеним</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актима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дата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је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могу</w:t>
      </w:r>
      <w:r>
        <w:rPr>
          <w:rFonts w:eastAsia="Times New Roman" w:asciiTheme="minorHAnsi" w:hAnsiTheme="minorHAnsi" w:cstheme="minorHAnsi"/>
          <w:i/>
          <w:lang w:val="sr-Cyrl-RS"/>
        </w:rPr>
        <w:t>ћ</w:t>
      </w:r>
      <w:r>
        <w:rPr>
          <w:rFonts w:eastAsia="Times New Roman" w:asciiTheme="minorHAnsi" w:hAnsiTheme="minorHAnsi" w:cstheme="minorHAnsi"/>
          <w:i/>
          <w:lang w:val="sr-Latn-CS"/>
        </w:rPr>
        <w:t>ност</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да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инвеститорима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који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неизгра</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ено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градско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гра</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евинско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земљи</w:t>
      </w:r>
      <w:r>
        <w:rPr>
          <w:rFonts w:eastAsia="Times New Roman" w:asciiTheme="minorHAnsi" w:hAnsiTheme="minorHAnsi" w:cstheme="minorHAnsi"/>
          <w:i/>
          <w:lang w:val="sr-Cyrl-RS"/>
        </w:rPr>
        <w:t>ш</w:t>
      </w:r>
      <w:r>
        <w:rPr>
          <w:rFonts w:eastAsia="Times New Roman" w:asciiTheme="minorHAnsi" w:hAnsiTheme="minorHAnsi" w:cstheme="minorHAnsi"/>
          <w:i/>
          <w:lang w:val="sr-Latn-CS"/>
        </w:rPr>
        <w:t>те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опремају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властитим</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средствима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исти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износ</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умањи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износ</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накнаде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који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ду</w:t>
      </w:r>
      <w:r>
        <w:rPr>
          <w:rFonts w:eastAsia="Times New Roman" w:asciiTheme="minorHAnsi" w:hAnsiTheme="minorHAnsi" w:cstheme="minorHAnsi"/>
          <w:i/>
          <w:lang w:val="sr-Cyrl-RS"/>
        </w:rPr>
        <w:t>ж</w:t>
      </w:r>
      <w:r>
        <w:rPr>
          <w:rFonts w:eastAsia="Times New Roman" w:asciiTheme="minorHAnsi" w:hAnsiTheme="minorHAnsi" w:cstheme="minorHAnsi"/>
          <w:i/>
          <w:lang w:val="sr-Latn-CS"/>
        </w:rPr>
        <w:t>ни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уплатити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поступку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изградње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стамбено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пословних</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објеката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вр</w:t>
      </w:r>
      <w:r>
        <w:rPr>
          <w:rFonts w:eastAsia="Times New Roman" w:asciiTheme="minorHAnsi" w:hAnsiTheme="minorHAnsi" w:cstheme="minorHAnsi"/>
          <w:i/>
          <w:lang w:val="sr-Cyrl-RS"/>
        </w:rPr>
        <w:t>ш</w:t>
      </w:r>
      <w:r>
        <w:rPr>
          <w:rFonts w:eastAsia="Times New Roman" w:asciiTheme="minorHAnsi" w:hAnsiTheme="minorHAnsi" w:cstheme="minorHAnsi"/>
          <w:i/>
          <w:lang w:val="sr-Latn-CS"/>
        </w:rPr>
        <w:t>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компензација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инвеститорима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дио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прихода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који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ду</w:t>
      </w:r>
      <w:r>
        <w:rPr>
          <w:rFonts w:eastAsia="Times New Roman" w:asciiTheme="minorHAnsi" w:hAnsiTheme="minorHAnsi" w:cstheme="minorHAnsi"/>
          <w:i/>
          <w:lang w:val="sr-Cyrl-RS"/>
        </w:rPr>
        <w:t>ж</w:t>
      </w:r>
      <w:r>
        <w:rPr>
          <w:rFonts w:eastAsia="Times New Roman" w:asciiTheme="minorHAnsi" w:hAnsiTheme="minorHAnsi" w:cstheme="minorHAnsi"/>
          <w:i/>
          <w:lang w:val="sr-Latn-CS"/>
        </w:rPr>
        <w:t>ни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уплатити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њиховим</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улагањима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сталну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имовину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земљи</w:t>
      </w:r>
      <w:r>
        <w:rPr>
          <w:rFonts w:eastAsia="Times New Roman" w:asciiTheme="minorHAnsi" w:hAnsiTheme="minorHAnsi" w:cstheme="minorHAnsi"/>
          <w:i/>
          <w:lang w:val="sr-Cyrl-RS"/>
        </w:rPr>
        <w:t>ш</w:t>
      </w:r>
      <w:r>
        <w:rPr>
          <w:rFonts w:eastAsia="Times New Roman" w:asciiTheme="minorHAnsi" w:hAnsiTheme="minorHAnsi" w:cstheme="minorHAnsi"/>
          <w:i/>
          <w:lang w:val="sr-Latn-CS"/>
        </w:rPr>
        <w:t>те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изгра</w:t>
      </w:r>
      <w:r>
        <w:rPr>
          <w:rFonts w:eastAsia="Times New Roman" w:asciiTheme="minorHAnsi" w:hAnsiTheme="minorHAnsi" w:cstheme="minorHAnsi"/>
          <w:i/>
          <w:lang w:val="sr-Cyrl-RS"/>
        </w:rPr>
        <w:t>ђ</w:t>
      </w:r>
      <w:r>
        <w:rPr>
          <w:rFonts w:eastAsia="Times New Roman" w:asciiTheme="minorHAnsi" w:hAnsiTheme="minorHAnsi" w:cstheme="minorHAnsi"/>
          <w:i/>
          <w:lang w:val="sr-Latn-CS"/>
        </w:rPr>
        <w:t>ену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комуналну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инфраструктуру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коју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складу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закљу</w:t>
      </w:r>
      <w:r>
        <w:rPr>
          <w:rFonts w:eastAsia="Times New Roman" w:asciiTheme="minorHAnsi" w:hAnsiTheme="minorHAnsi" w:cstheme="minorHAnsi"/>
          <w:i/>
          <w:lang w:val="sr-Cyrl-RS"/>
        </w:rPr>
        <w:t>ч</w:t>
      </w:r>
      <w:r>
        <w:rPr>
          <w:rFonts w:eastAsia="Times New Roman" w:asciiTheme="minorHAnsi" w:hAnsiTheme="minorHAnsi" w:cstheme="minorHAnsi"/>
          <w:i/>
          <w:lang w:val="sr-Latn-CS"/>
        </w:rPr>
        <w:t>еним</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уговорима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исти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ду</w:t>
      </w:r>
      <w:r>
        <w:rPr>
          <w:rFonts w:eastAsia="Times New Roman" w:asciiTheme="minorHAnsi" w:hAnsiTheme="minorHAnsi" w:cstheme="minorHAnsi"/>
          <w:i/>
          <w:lang w:val="sr-Cyrl-RS"/>
        </w:rPr>
        <w:t>ж</w:t>
      </w:r>
      <w:r>
        <w:rPr>
          <w:rFonts w:eastAsia="Times New Roman" w:asciiTheme="minorHAnsi" w:hAnsiTheme="minorHAnsi" w:cstheme="minorHAnsi"/>
          <w:i/>
          <w:lang w:val="sr-Latn-CS"/>
        </w:rPr>
        <w:t>ни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предати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Граду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у</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власни</w:t>
      </w:r>
      <w:r>
        <w:rPr>
          <w:rFonts w:eastAsia="Times New Roman" w:asciiTheme="minorHAnsi" w:hAnsiTheme="minorHAnsi" w:cstheme="minorHAnsi"/>
          <w:i/>
          <w:lang w:val="sr-Cyrl-RS"/>
        </w:rPr>
        <w:t>ш</w:t>
      </w:r>
      <w:r>
        <w:rPr>
          <w:rFonts w:eastAsia="Times New Roman" w:asciiTheme="minorHAnsi" w:hAnsiTheme="minorHAnsi" w:cstheme="minorHAnsi"/>
          <w:i/>
          <w:lang w:val="sr-Latn-CS"/>
        </w:rPr>
        <w:t>тво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Поменуте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трансакције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не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прати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кретање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нов</w:t>
      </w:r>
      <w:r>
        <w:rPr>
          <w:rFonts w:eastAsia="Times New Roman" w:asciiTheme="minorHAnsi" w:hAnsiTheme="minorHAnsi" w:cstheme="minorHAnsi"/>
          <w:i/>
          <w:lang w:val="sr-Cyrl-RS"/>
        </w:rPr>
        <w:t>ч</w:t>
      </w:r>
      <w:r>
        <w:rPr>
          <w:rFonts w:eastAsia="Times New Roman" w:asciiTheme="minorHAnsi" w:hAnsiTheme="minorHAnsi" w:cstheme="minorHAnsi"/>
          <w:i/>
          <w:lang w:val="sr-Latn-CS"/>
        </w:rPr>
        <w:t>аног</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тока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јер</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се</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ради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о</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књиговодственој</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категорији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прихода</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и</w:t>
      </w:r>
      <w:r>
        <w:rPr>
          <w:rFonts w:eastAsia="Times New Roman" w:asciiTheme="minorHAnsi" w:hAnsiTheme="minorHAnsi" w:cstheme="minorHAnsi"/>
          <w:i/>
          <w:lang w:val="sr-Cyrl-RS"/>
        </w:rPr>
        <w:t xml:space="preserve"> </w:t>
      </w:r>
      <w:r>
        <w:rPr>
          <w:rFonts w:eastAsia="Times New Roman" w:asciiTheme="minorHAnsi" w:hAnsiTheme="minorHAnsi" w:cstheme="minorHAnsi"/>
          <w:i/>
          <w:lang w:val="sr-Latn-CS"/>
        </w:rPr>
        <w:t>расхода</w:t>
      </w:r>
      <w:r>
        <w:rPr>
          <w:rFonts w:eastAsia="Times New Roman" w:asciiTheme="minorHAnsi" w:hAnsiTheme="minorHAnsi" w:cstheme="minorHAnsi"/>
          <w:i/>
          <w:lang w:val="sr-Cyrl-RS"/>
        </w:rPr>
        <w:t>.</w:t>
      </w:r>
    </w:p>
    <w:p>
      <w:pPr>
        <w:spacing w:line="276" w:lineRule="auto"/>
        <w:jc w:val="both"/>
        <w:rPr>
          <w:rFonts w:eastAsia="Times New Roman" w:asciiTheme="minorHAnsi" w:hAnsiTheme="minorHAnsi" w:cstheme="minorHAnsi"/>
          <w:lang w:val="sr-Cyrl-RS"/>
        </w:rPr>
      </w:pPr>
    </w:p>
    <w:p>
      <w:pPr>
        <w:spacing w:line="276" w:lineRule="auto"/>
        <w:jc w:val="both"/>
        <w:rPr>
          <w:rFonts w:eastAsia="Times New Roman" w:asciiTheme="minorHAnsi" w:hAnsiTheme="minorHAnsi" w:cstheme="minorHAnsi"/>
          <w:lang w:val="sr-Cyrl-RS"/>
        </w:rPr>
      </w:pPr>
      <w:r>
        <w:rPr>
          <w:rFonts w:eastAsia="Times New Roman" w:asciiTheme="minorHAnsi" w:hAnsiTheme="minorHAnsi" w:cstheme="minorHAnsi"/>
          <w:lang w:val="sr-Cyrl-RS"/>
        </w:rPr>
        <w:t xml:space="preserve">Детаљније информације о реализацији пореских и непореских прихода у 2016. години, у односу на 2015. годину, налазе се у дужој верзији ситуационе анализе. Даље, у тексту је приказана финансијска пројекција за период од 2018-2025. године, за </w:t>
      </w:r>
      <w:r>
        <w:rPr>
          <w:rFonts w:eastAsia="Times New Roman" w:asciiTheme="minorHAnsi" w:hAnsiTheme="minorHAnsi" w:cstheme="minorHAnsi"/>
          <w:lang w:val="sr-Cyrl-CS"/>
        </w:rPr>
        <w:t>текуће</w:t>
      </w:r>
      <w:r>
        <w:rPr>
          <w:rFonts w:eastAsia="Times New Roman" w:asciiTheme="minorHAnsi" w:hAnsiTheme="minorHAnsi" w:cstheme="minorHAnsi"/>
          <w:lang w:val="sr-Cyrl-RS"/>
        </w:rPr>
        <w:t xml:space="preserve"> дугорочне кредите код домаћих комерцијалних банака и ино банака, на дан 31.01. 2018. године, а након проведеног поступка рефинансирања: </w:t>
      </w:r>
    </w:p>
    <w:p>
      <w:pPr>
        <w:spacing w:line="276" w:lineRule="auto"/>
        <w:jc w:val="both"/>
        <w:rPr>
          <w:rFonts w:ascii="Times New Roman" w:hAnsi="Times New Roman" w:eastAsia="Times New Roman"/>
          <w:sz w:val="24"/>
          <w:szCs w:val="24"/>
          <w:lang w:val="sr-Cyrl-RS"/>
        </w:rPr>
      </w:pPr>
    </w:p>
    <w:tbl>
      <w:tblPr>
        <w:tblStyle w:val="36"/>
        <w:tblW w:w="9566" w:type="dxa"/>
        <w:jc w:val="center"/>
        <w:tblInd w:w="0" w:type="dxa"/>
        <w:tblLayout w:type="fixed"/>
        <w:tblCellMar>
          <w:top w:w="0" w:type="dxa"/>
          <w:left w:w="108" w:type="dxa"/>
          <w:bottom w:w="0" w:type="dxa"/>
          <w:right w:w="108" w:type="dxa"/>
        </w:tblCellMar>
      </w:tblPr>
      <w:tblGrid>
        <w:gridCol w:w="1310"/>
        <w:gridCol w:w="1032"/>
        <w:gridCol w:w="1032"/>
        <w:gridCol w:w="1032"/>
        <w:gridCol w:w="1032"/>
        <w:gridCol w:w="1032"/>
        <w:gridCol w:w="1032"/>
        <w:gridCol w:w="1032"/>
        <w:gridCol w:w="1032"/>
      </w:tblGrid>
      <w:tr>
        <w:tblPrEx>
          <w:tblLayout w:type="fixed"/>
          <w:tblCellMar>
            <w:top w:w="0" w:type="dxa"/>
            <w:left w:w="108" w:type="dxa"/>
            <w:bottom w:w="0" w:type="dxa"/>
            <w:right w:w="108" w:type="dxa"/>
          </w:tblCellMar>
        </w:tblPrEx>
        <w:trPr>
          <w:trHeight w:val="647" w:hRule="atLeast"/>
          <w:jc w:val="center"/>
        </w:trPr>
        <w:tc>
          <w:tcPr>
            <w:tcW w:w="131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 </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2018</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2019</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2020</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2021</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2022</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2023</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2024</w:t>
            </w:r>
          </w:p>
        </w:tc>
        <w:tc>
          <w:tcPr>
            <w:tcW w:w="1032" w:type="dxa"/>
            <w:tcBorders>
              <w:top w:val="single" w:color="auto" w:sz="4" w:space="0"/>
              <w:left w:val="nil"/>
              <w:bottom w:val="single" w:color="auto" w:sz="4" w:space="0"/>
              <w:right w:val="single" w:color="auto" w:sz="4" w:space="0"/>
            </w:tcBorders>
            <w:shd w:val="clear" w:color="auto" w:fill="C5E0B3" w:themeFill="accent6" w:themeFillTint="66"/>
            <w:noWrap/>
            <w:vAlign w:val="center"/>
          </w:tcPr>
          <w:p>
            <w:pPr>
              <w:jc w:val="center"/>
              <w:rPr>
                <w:rFonts w:eastAsia="Times New Roman" w:asciiTheme="minorHAnsi" w:hAnsiTheme="minorHAnsi" w:cstheme="minorHAnsi"/>
                <w:b/>
                <w:sz w:val="18"/>
                <w:szCs w:val="20"/>
                <w:lang w:val="sr-Latn-RS" w:eastAsia="sr-Latn-RS"/>
              </w:rPr>
            </w:pPr>
            <w:r>
              <w:rPr>
                <w:rFonts w:eastAsia="Times New Roman" w:asciiTheme="minorHAnsi" w:hAnsiTheme="minorHAnsi" w:cstheme="minorHAnsi"/>
                <w:b/>
                <w:sz w:val="18"/>
                <w:szCs w:val="20"/>
                <w:lang w:val="sr-Latn-RS" w:eastAsia="sr-Latn-RS"/>
              </w:rPr>
              <w:t>План 2025</w:t>
            </w:r>
          </w:p>
        </w:tc>
      </w:tr>
      <w:tr>
        <w:tblPrEx>
          <w:tblLayout w:type="fixed"/>
          <w:tblCellMar>
            <w:top w:w="0" w:type="dxa"/>
            <w:left w:w="108" w:type="dxa"/>
            <w:bottom w:w="0" w:type="dxa"/>
            <w:right w:w="108" w:type="dxa"/>
          </w:tblCellMar>
        </w:tblPrEx>
        <w:trPr>
          <w:trHeight w:val="570" w:hRule="atLeast"/>
          <w:jc w:val="center"/>
        </w:trPr>
        <w:tc>
          <w:tcPr>
            <w:tcW w:w="1310" w:type="dxa"/>
            <w:tcBorders>
              <w:top w:val="nil"/>
              <w:left w:val="single" w:color="auto" w:sz="4" w:space="0"/>
              <w:bottom w:val="single" w:color="auto" w:sz="4" w:space="0"/>
              <w:right w:val="single" w:color="auto" w:sz="4" w:space="0"/>
            </w:tcBorders>
            <w:shd w:val="clear" w:color="auto" w:fill="auto"/>
            <w:vAlign w:val="center"/>
          </w:tcPr>
          <w:p>
            <w:pP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1. Редовни приходи у 2017. години</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114.050.121</w:t>
            </w:r>
          </w:p>
        </w:tc>
      </w:tr>
      <w:tr>
        <w:tblPrEx>
          <w:tblLayout w:type="fixed"/>
          <w:tblCellMar>
            <w:top w:w="0" w:type="dxa"/>
            <w:left w:w="108" w:type="dxa"/>
            <w:bottom w:w="0" w:type="dxa"/>
            <w:right w:w="108" w:type="dxa"/>
          </w:tblCellMar>
        </w:tblPrEx>
        <w:trPr>
          <w:trHeight w:val="540" w:hRule="atLeast"/>
          <w:jc w:val="center"/>
        </w:trPr>
        <w:tc>
          <w:tcPr>
            <w:tcW w:w="1310" w:type="dxa"/>
            <w:tcBorders>
              <w:top w:val="nil"/>
              <w:left w:val="single" w:color="auto" w:sz="4" w:space="0"/>
              <w:bottom w:val="single" w:color="auto" w:sz="4" w:space="0"/>
              <w:right w:val="single" w:color="auto" w:sz="4" w:space="0"/>
            </w:tcBorders>
            <w:shd w:val="clear" w:color="auto" w:fill="auto"/>
            <w:vAlign w:val="center"/>
          </w:tcPr>
          <w:p>
            <w:pP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 xml:space="preserve">2. Годишњи ануитет   </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11.863.960</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11.850.828</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12.378.494</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12.907.849</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12.795.914</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12.683.979</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10.764.809</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10.650.691</w:t>
            </w:r>
          </w:p>
        </w:tc>
      </w:tr>
      <w:tr>
        <w:tblPrEx>
          <w:tblLayout w:type="fixed"/>
          <w:tblCellMar>
            <w:top w:w="0" w:type="dxa"/>
            <w:left w:w="108" w:type="dxa"/>
            <w:bottom w:w="0" w:type="dxa"/>
            <w:right w:w="108" w:type="dxa"/>
          </w:tblCellMar>
        </w:tblPrEx>
        <w:trPr>
          <w:trHeight w:val="645" w:hRule="atLeast"/>
          <w:jc w:val="center"/>
        </w:trPr>
        <w:tc>
          <w:tcPr>
            <w:tcW w:w="1310" w:type="dxa"/>
            <w:tcBorders>
              <w:top w:val="nil"/>
              <w:left w:val="single" w:color="auto" w:sz="4" w:space="0"/>
              <w:bottom w:val="single" w:color="auto" w:sz="4" w:space="0"/>
              <w:right w:val="single" w:color="auto" w:sz="4" w:space="0"/>
            </w:tcBorders>
            <w:shd w:val="clear" w:color="auto" w:fill="auto"/>
            <w:vAlign w:val="center"/>
          </w:tcPr>
          <w:p>
            <w:pPr>
              <w:rPr>
                <w:rFonts w:eastAsia="Times New Roman" w:asciiTheme="minorHAnsi" w:hAnsiTheme="minorHAnsi" w:cstheme="minorHAnsi"/>
                <w:sz w:val="18"/>
                <w:szCs w:val="20"/>
                <w:lang w:val="sr-Cyrl-RS" w:eastAsia="sr-Latn-RS"/>
              </w:rPr>
            </w:pPr>
            <w:r>
              <w:rPr>
                <w:rFonts w:eastAsia="Times New Roman" w:asciiTheme="minorHAnsi" w:hAnsiTheme="minorHAnsi" w:cstheme="minorHAnsi"/>
                <w:sz w:val="18"/>
                <w:szCs w:val="20"/>
                <w:lang w:val="sr-Latn-RS" w:eastAsia="sr-Latn-RS"/>
              </w:rPr>
              <w:t>3. Проценат задуженост</w:t>
            </w:r>
            <w:r>
              <w:rPr>
                <w:rFonts w:eastAsia="Times New Roman" w:asciiTheme="minorHAnsi" w:hAnsiTheme="minorHAnsi" w:cstheme="minorHAnsi"/>
                <w:sz w:val="18"/>
                <w:szCs w:val="20"/>
                <w:lang w:val="sr-Cyrl-RS" w:eastAsia="sr-Latn-RS"/>
              </w:rPr>
              <w:t>и</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10,40%</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10,39%</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10,85%</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11,32%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11,12%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9,44%</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b/>
                <w:bCs/>
                <w:sz w:val="16"/>
                <w:szCs w:val="16"/>
                <w:lang w:val="sr-Latn-RS" w:eastAsia="sr-Latn-RS"/>
              </w:rPr>
            </w:pPr>
            <w:r>
              <w:rPr>
                <w:rFonts w:eastAsia="Times New Roman" w:asciiTheme="minorHAnsi" w:hAnsiTheme="minorHAnsi" w:cstheme="minorHAnsi"/>
                <w:b/>
                <w:bCs/>
                <w:sz w:val="16"/>
                <w:szCs w:val="16"/>
                <w:lang w:val="sr-Latn-RS" w:eastAsia="sr-Latn-RS"/>
              </w:rPr>
              <w:t>9,34%</w:t>
            </w:r>
          </w:p>
        </w:tc>
      </w:tr>
      <w:tr>
        <w:tblPrEx>
          <w:tblLayout w:type="fixed"/>
          <w:tblCellMar>
            <w:top w:w="0" w:type="dxa"/>
            <w:left w:w="108" w:type="dxa"/>
            <w:bottom w:w="0" w:type="dxa"/>
            <w:right w:w="108" w:type="dxa"/>
          </w:tblCellMar>
        </w:tblPrEx>
        <w:trPr>
          <w:trHeight w:val="132" w:hRule="atLeast"/>
          <w:jc w:val="center"/>
        </w:trPr>
        <w:tc>
          <w:tcPr>
            <w:tcW w:w="1310" w:type="dxa"/>
            <w:tcBorders>
              <w:top w:val="nil"/>
              <w:left w:val="single" w:color="auto" w:sz="4" w:space="0"/>
              <w:bottom w:val="single" w:color="auto" w:sz="4" w:space="0"/>
              <w:right w:val="single" w:color="auto" w:sz="4" w:space="0"/>
            </w:tcBorders>
            <w:shd w:val="clear" w:color="auto" w:fill="auto"/>
            <w:vAlign w:val="center"/>
          </w:tcPr>
          <w:p>
            <w:pPr>
              <w:rPr>
                <w:rFonts w:eastAsia="Times New Roman" w:asciiTheme="minorHAnsi" w:hAnsiTheme="minorHAnsi" w:cstheme="minorHAnsi"/>
                <w:sz w:val="18"/>
                <w:szCs w:val="20"/>
                <w:lang w:val="sr-Latn-RS" w:eastAsia="sr-Latn-RS"/>
              </w:rPr>
            </w:pPr>
            <w:r>
              <w:rPr>
                <w:rFonts w:eastAsia="Times New Roman" w:asciiTheme="minorHAnsi" w:hAnsiTheme="minorHAnsi" w:cstheme="minorHAnsi"/>
                <w:sz w:val="18"/>
                <w:szCs w:val="20"/>
                <w:lang w:val="sr-Latn-RS" w:eastAsia="sr-Latn-RS"/>
              </w:rPr>
              <w:t>4.Законско ограничење       задужења</w:t>
            </w:r>
            <w:r>
              <w:rPr>
                <w:rFonts w:eastAsia="Times New Roman" w:asciiTheme="minorHAnsi" w:hAnsiTheme="minorHAnsi" w:cstheme="minorHAnsi"/>
                <w:sz w:val="18"/>
                <w:szCs w:val="20"/>
                <w:lang w:val="sr-Cyrl-CS" w:eastAsia="sr-Latn-RS"/>
              </w:rPr>
              <w:t>1</w:t>
            </w:r>
            <w:r>
              <w:rPr>
                <w:rFonts w:eastAsia="Times New Roman" w:asciiTheme="minorHAnsi" w:hAnsiTheme="minorHAnsi" w:cstheme="minorHAnsi"/>
                <w:sz w:val="18"/>
                <w:szCs w:val="20"/>
                <w:lang w:val="sr-Latn-RS" w:eastAsia="sr-Latn-RS"/>
              </w:rPr>
              <w:t>8%</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c>
          <w:tcPr>
            <w:tcW w:w="1032" w:type="dxa"/>
            <w:tcBorders>
              <w:top w:val="nil"/>
              <w:left w:val="nil"/>
              <w:bottom w:val="single" w:color="auto" w:sz="4" w:space="0"/>
              <w:right w:val="single" w:color="auto" w:sz="4" w:space="0"/>
            </w:tcBorders>
            <w:shd w:val="clear" w:color="auto" w:fill="auto"/>
            <w:noWrap/>
            <w:vAlign w:val="center"/>
          </w:tcPr>
          <w:p>
            <w:pPr>
              <w:jc w:val="right"/>
              <w:rPr>
                <w:rFonts w:eastAsia="Times New Roman" w:asciiTheme="minorHAnsi" w:hAnsiTheme="minorHAnsi" w:cstheme="minorHAnsi"/>
                <w:sz w:val="16"/>
                <w:szCs w:val="16"/>
                <w:lang w:val="sr-Latn-RS" w:eastAsia="sr-Latn-RS"/>
              </w:rPr>
            </w:pPr>
            <w:r>
              <w:rPr>
                <w:rFonts w:eastAsia="Times New Roman" w:asciiTheme="minorHAnsi" w:hAnsiTheme="minorHAnsi" w:cstheme="minorHAnsi"/>
                <w:sz w:val="16"/>
                <w:szCs w:val="16"/>
                <w:lang w:val="sr-Latn-RS" w:eastAsia="sr-Latn-RS"/>
              </w:rPr>
              <w:t>20.529.022</w:t>
            </w:r>
          </w:p>
        </w:tc>
      </w:tr>
    </w:tbl>
    <w:p>
      <w:pPr>
        <w:spacing w:line="276" w:lineRule="auto"/>
        <w:jc w:val="both"/>
        <w:rPr>
          <w:rFonts w:ascii="Times New Roman" w:hAnsi="Times New Roman" w:eastAsia="Times New Roman"/>
          <w:sz w:val="24"/>
          <w:szCs w:val="24"/>
          <w:lang w:val="sr-Cyrl-RS"/>
        </w:rPr>
      </w:pPr>
    </w:p>
    <w:p>
      <w:pPr>
        <w:spacing w:line="276" w:lineRule="auto"/>
        <w:jc w:val="both"/>
        <w:rPr>
          <w:rFonts w:eastAsia="Times New Roman" w:asciiTheme="minorHAnsi" w:hAnsiTheme="minorHAnsi" w:cstheme="minorHAnsi"/>
          <w:lang w:val="sr-Cyrl-RS"/>
        </w:rPr>
      </w:pPr>
      <w:r>
        <w:rPr>
          <w:rFonts w:eastAsia="Times New Roman" w:asciiTheme="minorHAnsi" w:hAnsiTheme="minorHAnsi" w:cstheme="minorHAnsi"/>
          <w:lang w:val="sr-Cyrl-RS"/>
        </w:rPr>
        <w:t xml:space="preserve">Финансијска пројекција пословања пружа гаранцију сервисирања дуга из остварених текућих прихода као испуњење законских ограничења у погледу задуживања Града. Ова пројекција је урађена за реализоване (текуће) кредите код домаћих комерцијалних и ино банака на дан 31.01.2018. године, под претпоставком да ће изворни приходи Града Б. Лука у свим годинама отплате кредита бити у нивоу прихода из претходне године (изворни приходи Града у 2017. г. износе 114.050.121,00 КМ).                                                              </w:t>
      </w:r>
    </w:p>
    <w:p>
      <w:pPr>
        <w:spacing w:line="276" w:lineRule="auto"/>
        <w:contextualSpacing/>
        <w:jc w:val="both"/>
        <w:rPr>
          <w:rFonts w:eastAsia="Times New Roman" w:asciiTheme="minorHAnsi" w:hAnsiTheme="minorHAnsi" w:cstheme="minorHAnsi"/>
          <w:b/>
          <w:lang w:val="sr-Cyrl-RS"/>
        </w:rPr>
      </w:pPr>
    </w:p>
    <w:p>
      <w:pPr>
        <w:spacing w:line="276" w:lineRule="auto"/>
        <w:contextualSpacing/>
        <w:jc w:val="both"/>
        <w:rPr>
          <w:rFonts w:eastAsia="Times New Roman" w:asciiTheme="minorHAnsi" w:hAnsiTheme="minorHAnsi" w:cstheme="minorHAnsi"/>
          <w:b/>
          <w:lang w:val="sr-Cyrl-RS"/>
        </w:rPr>
      </w:pPr>
      <w:r>
        <w:rPr>
          <w:rFonts w:eastAsia="Times New Roman" w:asciiTheme="minorHAnsi" w:hAnsiTheme="minorHAnsi" w:cstheme="minorHAnsi"/>
          <w:b/>
          <w:lang w:val="sr-Cyrl-RS"/>
        </w:rPr>
        <w:t>Активности у будућем периоду</w:t>
      </w:r>
    </w:p>
    <w:p>
      <w:pPr>
        <w:spacing w:line="276" w:lineRule="auto"/>
        <w:jc w:val="both"/>
        <w:rPr>
          <w:rFonts w:eastAsia="Times New Roman" w:asciiTheme="minorHAnsi" w:hAnsiTheme="minorHAnsi" w:cstheme="minorHAnsi"/>
          <w:lang w:val="sr-Cyrl-RS"/>
        </w:rPr>
      </w:pPr>
    </w:p>
    <w:p>
      <w:pPr>
        <w:spacing w:line="276" w:lineRule="auto"/>
        <w:jc w:val="both"/>
        <w:rPr>
          <w:rFonts w:eastAsia="Times New Roman" w:asciiTheme="minorHAnsi" w:hAnsiTheme="minorHAnsi" w:cstheme="minorHAnsi"/>
          <w:lang w:val="sr-Cyrl-RS"/>
        </w:rPr>
      </w:pPr>
      <w:r>
        <w:rPr>
          <w:rFonts w:eastAsia="Times New Roman" w:asciiTheme="minorHAnsi" w:hAnsiTheme="minorHAnsi" w:cstheme="minorHAnsi"/>
          <w:lang w:val="sr-Cyrl-RS"/>
        </w:rPr>
        <w:t>У будућем периоду, а у циљу повећања буџетског оквира и ефикасног и ефективног трошења буџетских средстава, планиране су следеће активности:</w:t>
      </w:r>
    </w:p>
    <w:p>
      <w:pPr>
        <w:pStyle w:val="46"/>
        <w:numPr>
          <w:ilvl w:val="0"/>
          <w:numId w:val="32"/>
        </w:numPr>
        <w:rPr>
          <w:rFonts w:asciiTheme="minorHAnsi" w:hAnsiTheme="minorHAnsi" w:cstheme="minorHAnsi"/>
          <w:lang w:val="sr-Cyrl-CS"/>
        </w:rPr>
      </w:pPr>
      <w:r>
        <w:rPr>
          <w:rFonts w:asciiTheme="minorHAnsi" w:hAnsiTheme="minorHAnsi" w:cstheme="minorHAnsi"/>
          <w:lang w:val="sr-Cyrl-RS"/>
        </w:rPr>
        <w:t>Н</w:t>
      </w:r>
      <w:r>
        <w:rPr>
          <w:rFonts w:asciiTheme="minorHAnsi" w:hAnsiTheme="minorHAnsi" w:cstheme="minorHAnsi"/>
          <w:lang w:val="sr-Cyrl-CS"/>
        </w:rPr>
        <w:t>аставиће се пројекти везани за повећање ефикасности рада Градске управе: дигитална трансформација и „Управљање имовином“. У 2018. години наставиће се активности на потпуном обухвату имовине Града (земљиште, станови, пословни простори, гараже, јавне површине и др.), успостављању потребних евиденција, а све у циљу стварања прихода и одржавања стабилности буџета Града,</w:t>
      </w:r>
    </w:p>
    <w:p>
      <w:pPr>
        <w:pStyle w:val="46"/>
        <w:numPr>
          <w:ilvl w:val="0"/>
          <w:numId w:val="32"/>
        </w:numPr>
        <w:rPr>
          <w:rFonts w:asciiTheme="minorHAnsi" w:hAnsiTheme="minorHAnsi" w:cstheme="minorHAnsi"/>
          <w:lang w:val="sr-Cyrl-CS"/>
        </w:rPr>
      </w:pPr>
      <w:r>
        <w:rPr>
          <w:rFonts w:asciiTheme="minorHAnsi" w:hAnsiTheme="minorHAnsi" w:cstheme="minorHAnsi"/>
          <w:lang w:val="sr-Cyrl-CS"/>
        </w:rPr>
        <w:t>Предузеће се активности на већем обухвату обвезника пореза на непокретности, као једног од кључног прихода,</w:t>
      </w:r>
    </w:p>
    <w:p>
      <w:pPr>
        <w:pStyle w:val="46"/>
        <w:numPr>
          <w:ilvl w:val="0"/>
          <w:numId w:val="32"/>
        </w:numPr>
        <w:rPr>
          <w:rFonts w:asciiTheme="minorHAnsi" w:hAnsiTheme="minorHAnsi" w:cstheme="minorHAnsi"/>
          <w:lang w:val="sr-Cyrl-CS"/>
        </w:rPr>
      </w:pPr>
      <w:r>
        <w:rPr>
          <w:rFonts w:asciiTheme="minorHAnsi" w:hAnsiTheme="minorHAnsi" w:cstheme="minorHAnsi"/>
          <w:lang w:val="sr-Cyrl-CS"/>
        </w:rPr>
        <w:t>Извршиће се ажурирање постојећих и креирање нових база података о непореским приходима, што укључује и податке о обвезницима и друге информације битне за утврђивање, обрачун и наплату непореских прихода, који су у надлежности Града, те ће се наставити активности на повећању реализације непореских прихода (програм "Мјере за повећање прихода"),</w:t>
      </w:r>
    </w:p>
    <w:p>
      <w:pPr>
        <w:pStyle w:val="46"/>
        <w:numPr>
          <w:ilvl w:val="0"/>
          <w:numId w:val="32"/>
        </w:numPr>
        <w:rPr>
          <w:rFonts w:asciiTheme="minorHAnsi" w:hAnsiTheme="minorHAnsi" w:cstheme="minorHAnsi"/>
          <w:lang w:val="sr-Cyrl-CS"/>
        </w:rPr>
      </w:pPr>
      <w:r>
        <w:rPr>
          <w:rFonts w:asciiTheme="minorHAnsi" w:hAnsiTheme="minorHAnsi" w:cstheme="minorHAnsi"/>
          <w:lang w:val="sr-Cyrl-CS"/>
        </w:rPr>
        <w:t>Радиће се на унапређењу механизама и предузимање мјера за повећање властитих прихода  осталих  буџетских корисника и</w:t>
      </w:r>
    </w:p>
    <w:p>
      <w:pPr>
        <w:pStyle w:val="46"/>
        <w:numPr>
          <w:ilvl w:val="0"/>
          <w:numId w:val="32"/>
        </w:numPr>
        <w:rPr>
          <w:rFonts w:asciiTheme="minorHAnsi" w:hAnsiTheme="minorHAnsi" w:cstheme="minorHAnsi"/>
          <w:lang w:val="sr-Cyrl-CS"/>
        </w:rPr>
      </w:pPr>
      <w:r>
        <w:rPr>
          <w:rFonts w:asciiTheme="minorHAnsi" w:hAnsiTheme="minorHAnsi" w:cstheme="minorHAnsi"/>
          <w:lang w:val="sr-Cyrl-CS"/>
        </w:rPr>
        <w:t>Проводиће се активности на унапређењу финансијске дисциплине и рационализације буџетске потрошње код свих буџетских корисника.</w:t>
      </w:r>
      <w:r>
        <w:rPr>
          <w:rFonts w:asciiTheme="minorHAnsi" w:hAnsiTheme="minorHAnsi" w:cstheme="minorHAnsi"/>
          <w:b/>
          <w:bCs/>
          <w:iCs/>
          <w:w w:val="102"/>
          <w:lang w:val="sr-Cyrl-RS"/>
        </w:rPr>
        <w:br w:type="page"/>
      </w:r>
    </w:p>
    <w:p>
      <w:pPr>
        <w:pStyle w:val="3"/>
      </w:pPr>
      <w:bookmarkStart w:id="99" w:name="_Toc526761926"/>
      <w:r>
        <w:t>IV.2.</w:t>
      </w:r>
      <w:r>
        <w:tab/>
      </w:r>
      <w:r>
        <w:t>Стратешко фокусирање</w:t>
      </w:r>
      <w:bookmarkEnd w:id="98"/>
      <w:bookmarkEnd w:id="99"/>
    </w:p>
    <w:p>
      <w:pPr>
        <w:pStyle w:val="13"/>
        <w:spacing w:before="120" w:after="120"/>
        <w:jc w:val="both"/>
        <w:rPr>
          <w:rFonts w:eastAsia="Times New Roman"/>
          <w:bCs/>
          <w:kern w:val="32"/>
          <w:sz w:val="22"/>
          <w:szCs w:val="22"/>
        </w:rPr>
      </w:pPr>
      <w:r>
        <w:rPr>
          <w:rFonts w:eastAsia="Times New Roman"/>
          <w:bCs/>
          <w:kern w:val="32"/>
          <w:sz w:val="22"/>
          <w:szCs w:val="22"/>
        </w:rPr>
        <w:t xml:space="preserve">SWOT анализа представља мост између садашњег стања, које је утврђено анализом, и жељеног будућег стања које се дефинише стратешким планом развоја. Овај концепт нам систематску анализу пријетњи и прилика као и њихово усаглашавање са јаким и слабим странама </w:t>
      </w:r>
      <w:r>
        <w:rPr>
          <w:rFonts w:eastAsia="Times New Roman"/>
          <w:bCs/>
          <w:kern w:val="32"/>
          <w:sz w:val="22"/>
          <w:szCs w:val="22"/>
          <w:lang w:val="sr-Cyrl-RS"/>
        </w:rPr>
        <w:t>града</w:t>
      </w:r>
      <w:r>
        <w:rPr>
          <w:rFonts w:eastAsia="Times New Roman"/>
          <w:bCs/>
          <w:kern w:val="32"/>
          <w:sz w:val="22"/>
          <w:szCs w:val="22"/>
        </w:rPr>
        <w:t>. SWOT анализа обезбјеђује информације корисне за усклађивање капацитета и способности</w:t>
      </w:r>
      <w:r>
        <w:rPr>
          <w:rFonts w:eastAsia="Times New Roman"/>
          <w:bCs/>
          <w:kern w:val="32"/>
          <w:sz w:val="22"/>
          <w:szCs w:val="22"/>
          <w:lang w:val="sr-Cyrl-RS"/>
        </w:rPr>
        <w:t xml:space="preserve"> Градске управе</w:t>
      </w:r>
      <w:r>
        <w:rPr>
          <w:rFonts w:eastAsia="Times New Roman"/>
          <w:bCs/>
          <w:kern w:val="32"/>
          <w:sz w:val="22"/>
          <w:szCs w:val="22"/>
        </w:rPr>
        <w:t xml:space="preserve"> са окружењем у којем дјелује.</w:t>
      </w:r>
    </w:p>
    <w:p>
      <w:pPr>
        <w:spacing w:line="276" w:lineRule="auto"/>
        <w:jc w:val="both"/>
        <w:rPr>
          <w:rFonts w:asciiTheme="minorHAnsi" w:hAnsiTheme="minorHAnsi" w:cstheme="minorHAnsi"/>
        </w:rPr>
      </w:pPr>
    </w:p>
    <w:tbl>
      <w:tblPr>
        <w:tblStyle w:val="37"/>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5"/>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shd w:val="clear" w:color="auto" w:fill="385623" w:themeFill="accent6" w:themeFillShade="80"/>
          </w:tcPr>
          <w:p>
            <w:pPr>
              <w:jc w:val="center"/>
              <w:rPr>
                <w:rFonts w:asciiTheme="minorHAnsi" w:hAnsiTheme="minorHAnsi" w:cstheme="minorHAnsi"/>
                <w:b/>
                <w:lang w:val="sr-Cyrl-RS"/>
              </w:rPr>
            </w:pPr>
            <w:r>
              <w:rPr>
                <w:rFonts w:asciiTheme="minorHAnsi" w:hAnsiTheme="minorHAnsi" w:cstheme="minorHAnsi"/>
                <w:b/>
                <w:lang w:val="sr-Cyrl-RS"/>
              </w:rPr>
              <w:t>СНАГЕ</w:t>
            </w:r>
          </w:p>
        </w:tc>
        <w:tc>
          <w:tcPr>
            <w:tcW w:w="5035" w:type="dxa"/>
            <w:shd w:val="clear" w:color="auto" w:fill="A8D08D" w:themeFill="accent6" w:themeFillTint="99"/>
          </w:tcPr>
          <w:p>
            <w:pPr>
              <w:jc w:val="center"/>
              <w:rPr>
                <w:rFonts w:asciiTheme="minorHAnsi" w:hAnsiTheme="minorHAnsi" w:cstheme="minorHAnsi"/>
                <w:b/>
                <w:lang w:val="sr-Cyrl-RS"/>
              </w:rPr>
            </w:pPr>
            <w:r>
              <w:rPr>
                <w:rFonts w:asciiTheme="minorHAnsi" w:hAnsiTheme="minorHAnsi" w:cstheme="minorHAnsi"/>
                <w:b/>
                <w:lang w:val="sr-Cyrl-RS"/>
              </w:rPr>
              <w:t>СЛАБОСТИ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Pr>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Карактеристике главног града – сједиште институција РС</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Средњ</w:t>
            </w:r>
            <w:r>
              <w:rPr>
                <w:rFonts w:cstheme="minorHAnsi"/>
                <w:lang w:val="sr-Cyrl-RS"/>
              </w:rPr>
              <w:t>о</w:t>
            </w:r>
            <w:r>
              <w:rPr>
                <w:rFonts w:asciiTheme="minorHAnsi" w:hAnsiTheme="minorHAnsi" w:cstheme="minorHAnsi"/>
                <w:lang w:val="sr-Cyrl-RS"/>
              </w:rPr>
              <w:t>европски дух Града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Отвореност Града, са великим приливом љу</w:t>
            </w:r>
            <w:r>
              <w:rPr>
                <w:rFonts w:cstheme="minorHAnsi"/>
                <w:lang w:val="sr-Cyrl-RS"/>
              </w:rPr>
              <w:t>ди, добара и услуга</w:t>
            </w:r>
          </w:p>
          <w:p>
            <w:pPr>
              <w:pStyle w:val="46"/>
              <w:numPr>
                <w:ilvl w:val="0"/>
                <w:numId w:val="33"/>
              </w:numPr>
              <w:autoSpaceDE w:val="0"/>
              <w:autoSpaceDN w:val="0"/>
              <w:adjustRightInd w:val="0"/>
              <w:spacing w:before="0" w:line="240" w:lineRule="auto"/>
              <w:ind w:left="330" w:hanging="270"/>
              <w:jc w:val="left"/>
              <w:rPr>
                <w:rFonts w:cstheme="minorHAnsi"/>
                <w:lang w:val="bs-Latn-BA"/>
              </w:rPr>
            </w:pPr>
            <w:r>
              <w:rPr>
                <w:rFonts w:asciiTheme="minorHAnsi" w:hAnsiTheme="minorHAnsi" w:cstheme="minorHAnsi"/>
                <w:lang w:val="bs-Latn-BA"/>
              </w:rPr>
              <w:t>Одличан географски положај</w:t>
            </w:r>
            <w:r>
              <w:rPr>
                <w:rFonts w:cstheme="minorHAnsi"/>
                <w:lang w:val="sr-Cyrl-RS"/>
              </w:rPr>
              <w:t xml:space="preserve"> Града</w:t>
            </w:r>
          </w:p>
          <w:p>
            <w:pPr>
              <w:pStyle w:val="46"/>
              <w:numPr>
                <w:ilvl w:val="0"/>
                <w:numId w:val="33"/>
              </w:numPr>
              <w:autoSpaceDE w:val="0"/>
              <w:autoSpaceDN w:val="0"/>
              <w:adjustRightInd w:val="0"/>
              <w:spacing w:before="0" w:line="240" w:lineRule="auto"/>
              <w:ind w:left="330" w:hanging="270"/>
              <w:jc w:val="left"/>
              <w:rPr>
                <w:rFonts w:cstheme="minorHAnsi"/>
                <w:lang w:val="bs-Latn-BA"/>
              </w:rPr>
            </w:pPr>
            <w:r>
              <w:rPr>
                <w:rFonts w:cstheme="minorHAnsi"/>
                <w:lang w:val="sr-Cyrl-RS"/>
              </w:rPr>
              <w:t xml:space="preserve">Центар природне регије </w:t>
            </w:r>
          </w:p>
          <w:p>
            <w:pPr>
              <w:pStyle w:val="46"/>
              <w:numPr>
                <w:ilvl w:val="0"/>
                <w:numId w:val="33"/>
              </w:numPr>
              <w:autoSpaceDE w:val="0"/>
              <w:autoSpaceDN w:val="0"/>
              <w:adjustRightInd w:val="0"/>
              <w:spacing w:before="0" w:line="240" w:lineRule="auto"/>
              <w:ind w:left="330" w:hanging="270"/>
              <w:jc w:val="left"/>
              <w:rPr>
                <w:rFonts w:cstheme="minorHAnsi"/>
                <w:lang w:val="bs-Latn-BA"/>
              </w:rPr>
            </w:pPr>
            <w:r>
              <w:rPr>
                <w:rFonts w:cstheme="minorHAnsi"/>
                <w:lang w:val="sr-Cyrl-RS"/>
              </w:rPr>
              <w:t>Центар друштвених збивања на међуентитетском нивоу</w:t>
            </w:r>
          </w:p>
          <w:p>
            <w:pPr>
              <w:pStyle w:val="46"/>
              <w:numPr>
                <w:ilvl w:val="0"/>
                <w:numId w:val="33"/>
              </w:numPr>
              <w:autoSpaceDE w:val="0"/>
              <w:autoSpaceDN w:val="0"/>
              <w:adjustRightInd w:val="0"/>
              <w:spacing w:before="0" w:line="240" w:lineRule="auto"/>
              <w:ind w:left="330" w:hanging="270"/>
              <w:jc w:val="left"/>
              <w:rPr>
                <w:rFonts w:cstheme="minorHAnsi"/>
                <w:lang w:val="bs-Latn-BA"/>
              </w:rPr>
            </w:pPr>
            <w:r>
              <w:rPr>
                <w:rFonts w:cstheme="minorHAnsi"/>
                <w:lang w:val="sr-Cyrl-RS"/>
              </w:rPr>
              <w:t>Регионални центар у прекограничном смислу - близина</w:t>
            </w:r>
            <w:r>
              <w:rPr>
                <w:rFonts w:asciiTheme="minorHAnsi" w:hAnsiTheme="minorHAnsi" w:cstheme="minorHAnsi"/>
                <w:lang w:val="sr-Cyrl-RS"/>
              </w:rPr>
              <w:t xml:space="preserve"> Хрватске, Србије и Словеније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Универзитетски, културни и здравствени центар регије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Квалитетни високообразовани људски ресурси</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П</w:t>
            </w:r>
            <w:r>
              <w:rPr>
                <w:rFonts w:asciiTheme="minorHAnsi" w:hAnsiTheme="minorHAnsi" w:cstheme="minorHAnsi"/>
                <w:lang w:val="bs-Latn-BA"/>
              </w:rPr>
              <w:t>овезаност са домаћим</w:t>
            </w:r>
            <w:r>
              <w:rPr>
                <w:rFonts w:asciiTheme="minorHAnsi" w:hAnsiTheme="minorHAnsi" w:cstheme="minorHAnsi"/>
                <w:lang w:val="sr-Cyrl-RS"/>
              </w:rPr>
              <w:t xml:space="preserve">, </w:t>
            </w:r>
            <w:r>
              <w:rPr>
                <w:rFonts w:asciiTheme="minorHAnsi" w:hAnsiTheme="minorHAnsi" w:cstheme="minorHAnsi"/>
                <w:lang w:val="bs-Latn-BA"/>
              </w:rPr>
              <w:t xml:space="preserve"> регионалним</w:t>
            </w:r>
            <w:r>
              <w:rPr>
                <w:rFonts w:asciiTheme="minorHAnsi" w:hAnsiTheme="minorHAnsi" w:cstheme="minorHAnsi"/>
                <w:lang w:val="sr-Cyrl-RS"/>
              </w:rPr>
              <w:t xml:space="preserve"> и </w:t>
            </w:r>
            <w:r>
              <w:rPr>
                <w:rFonts w:asciiTheme="minorHAnsi" w:hAnsiTheme="minorHAnsi" w:cstheme="minorHAnsi"/>
                <w:lang w:val="bs-Latn-BA"/>
              </w:rPr>
              <w:t xml:space="preserve"> </w:t>
            </w:r>
            <w:r>
              <w:rPr>
                <w:rFonts w:asciiTheme="minorHAnsi" w:hAnsiTheme="minorHAnsi" w:cstheme="minorHAnsi"/>
                <w:lang w:val="sr-Cyrl-RS"/>
              </w:rPr>
              <w:t xml:space="preserve">међународним </w:t>
            </w:r>
            <w:r>
              <w:rPr>
                <w:rFonts w:asciiTheme="minorHAnsi" w:hAnsiTheme="minorHAnsi" w:cstheme="minorHAnsi"/>
                <w:lang w:val="bs-Latn-BA"/>
              </w:rPr>
              <w:t>тржиштем</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cstheme="minorHAnsi"/>
                <w:lang w:val="sr-Cyrl-RS"/>
              </w:rPr>
              <w:t>Добра с</w:t>
            </w:r>
            <w:r>
              <w:rPr>
                <w:rFonts w:asciiTheme="minorHAnsi" w:hAnsiTheme="minorHAnsi" w:cstheme="minorHAnsi"/>
                <w:lang w:val="bs-Latn-BA"/>
              </w:rPr>
              <w:t xml:space="preserve">аобраћајна повезаност са сусједним земљама </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Близина аеродрома „Бања Лука“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Добра мрежа локалних и магистралних путева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 xml:space="preserve">Просјечна старост становништва нижа од просјека РС </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 xml:space="preserve">Позитиван природни прираштај </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70,2% радно активног становништва (15-64 године)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 xml:space="preserve">Град је сертификован као повољно пословно окружење – </w:t>
            </w:r>
            <w:r>
              <w:rPr>
                <w:rFonts w:asciiTheme="minorHAnsi" w:hAnsiTheme="minorHAnsi" w:cstheme="minorHAnsi"/>
                <w:lang w:val="sr-Latn-RS"/>
              </w:rPr>
              <w:t>BFC SEE</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Позитиван тренд раста и развоја предузетништва и предузетнике иницијативе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bs-Latn-BA"/>
              </w:rPr>
              <w:t>Приватни сектор чине углавном микро предузећа и предузетници</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Унапређене процедуре - смањени трошкови и вријеме регистрације предузетника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Дјелимично смањени парафискални намети на локалном нивоу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Град додјељује подстицаје у области предузетништва на локалном нивоу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Постоји градска инфраструктура за развој предузетништва (</w:t>
            </w:r>
            <w:r>
              <w:rPr>
                <w:rFonts w:asciiTheme="minorHAnsi" w:hAnsiTheme="minorHAnsi" w:cstheme="minorHAnsi"/>
                <w:lang w:val="sr-Latn-RS"/>
              </w:rPr>
              <w:t>ICBL, CIDEA)</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 xml:space="preserve">Доступна подршка за </w:t>
            </w:r>
            <w:r>
              <w:rPr>
                <w:rFonts w:asciiTheme="minorHAnsi" w:hAnsiTheme="minorHAnsi" w:cstheme="minorHAnsi"/>
                <w:lang w:val="sr-Latn-RS"/>
              </w:rPr>
              <w:t>start up</w:t>
            </w:r>
            <w:r>
              <w:rPr>
                <w:rFonts w:asciiTheme="minorHAnsi" w:hAnsiTheme="minorHAnsi" w:cstheme="minorHAnsi"/>
                <w:lang w:val="sr-Cyrl-RS"/>
              </w:rPr>
              <w:t xml:space="preserve"> </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Расположиви пословни простори и транспарентна додјела пословних простора у власништву Града</w:t>
            </w:r>
          </w:p>
          <w:p>
            <w:pPr>
              <w:pStyle w:val="46"/>
              <w:numPr>
                <w:ilvl w:val="0"/>
                <w:numId w:val="33"/>
              </w:numPr>
              <w:autoSpaceDE w:val="0"/>
              <w:autoSpaceDN w:val="0"/>
              <w:adjustRightInd w:val="0"/>
              <w:spacing w:before="0" w:line="240" w:lineRule="auto"/>
              <w:ind w:left="330" w:hanging="270"/>
              <w:rPr>
                <w:rFonts w:asciiTheme="minorHAnsi" w:hAnsiTheme="minorHAnsi" w:cstheme="minorHAnsi"/>
                <w:lang w:val="bs-Latn-BA"/>
              </w:rPr>
            </w:pPr>
            <w:r>
              <w:rPr>
                <w:rFonts w:asciiTheme="minorHAnsi" w:hAnsiTheme="minorHAnsi" w:cstheme="minorHAnsi"/>
                <w:lang w:val="sr-Cyrl-RS"/>
              </w:rPr>
              <w:t>Добро организована Градска управа</w:t>
            </w:r>
          </w:p>
          <w:p>
            <w:pPr>
              <w:pStyle w:val="46"/>
              <w:numPr>
                <w:ilvl w:val="0"/>
                <w:numId w:val="33"/>
              </w:numPr>
              <w:autoSpaceDE w:val="0"/>
              <w:autoSpaceDN w:val="0"/>
              <w:adjustRightInd w:val="0"/>
              <w:spacing w:before="0" w:line="240" w:lineRule="auto"/>
              <w:ind w:left="330" w:hanging="270"/>
              <w:rPr>
                <w:rFonts w:asciiTheme="minorHAnsi" w:hAnsiTheme="minorHAnsi" w:cstheme="minorHAnsi"/>
                <w:lang w:val="bs-Latn-BA"/>
              </w:rPr>
            </w:pPr>
            <w:r>
              <w:rPr>
                <w:rFonts w:asciiTheme="minorHAnsi" w:hAnsiTheme="minorHAnsi" w:cstheme="minorHAnsi"/>
                <w:lang w:val="sr-Cyrl-RS"/>
              </w:rPr>
              <w:t>Транспарентан рад Градске управе</w:t>
            </w:r>
          </w:p>
          <w:p>
            <w:pPr>
              <w:pStyle w:val="46"/>
              <w:numPr>
                <w:ilvl w:val="0"/>
                <w:numId w:val="33"/>
              </w:numPr>
              <w:autoSpaceDE w:val="0"/>
              <w:autoSpaceDN w:val="0"/>
              <w:adjustRightInd w:val="0"/>
              <w:spacing w:before="0" w:line="240" w:lineRule="auto"/>
              <w:ind w:left="330" w:hanging="270"/>
              <w:rPr>
                <w:rFonts w:asciiTheme="minorHAnsi" w:hAnsiTheme="minorHAnsi" w:cstheme="minorHAnsi"/>
                <w:lang w:val="bs-Latn-BA"/>
              </w:rPr>
            </w:pPr>
            <w:r>
              <w:rPr>
                <w:rFonts w:asciiTheme="minorHAnsi" w:hAnsiTheme="minorHAnsi" w:cstheme="minorHAnsi"/>
                <w:lang w:val="sr-Cyrl-RS"/>
              </w:rPr>
              <w:t>Буџет Града је стабилан и у потпуности ликвидан</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 xml:space="preserve">Дефинисане јавне политике у великом броју области </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Разноврсни природни ресурси</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Велика површина пољопривредног земљишта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Град са великим бројем зелених површина - један од најзеленијих градова у Европи</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Добра покривеност планском документацијом</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Бања Лука има утемељен отворени систем изградње, која није блоковска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Постојање кључних инфраструктурних објеката: фабрика воде, регионална депонија, еко топлана</w:t>
            </w:r>
          </w:p>
          <w:p>
            <w:pPr>
              <w:pStyle w:val="53"/>
              <w:numPr>
                <w:ilvl w:val="0"/>
                <w:numId w:val="33"/>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Довољ</w:t>
            </w:r>
            <w:r>
              <w:rPr>
                <w:rFonts w:asciiTheme="minorHAnsi" w:hAnsiTheme="minorHAnsi" w:cstheme="minorHAnsi"/>
                <w:color w:val="auto"/>
                <w:sz w:val="22"/>
                <w:szCs w:val="22"/>
                <w:lang w:val="sr-Latn-RS"/>
              </w:rPr>
              <w:t>a</w:t>
            </w:r>
            <w:r>
              <w:rPr>
                <w:rFonts w:asciiTheme="minorHAnsi" w:hAnsiTheme="minorHAnsi" w:cstheme="minorHAnsi"/>
                <w:color w:val="auto"/>
                <w:sz w:val="22"/>
                <w:szCs w:val="22"/>
                <w:lang w:val="sr-Cyrl-RS"/>
              </w:rPr>
              <w:t xml:space="preserve">н капацитет фабрике воде за будући развој Града и веома добар квалитет воде за пиће </w:t>
            </w:r>
          </w:p>
          <w:p>
            <w:pPr>
              <w:pStyle w:val="53"/>
              <w:numPr>
                <w:ilvl w:val="0"/>
                <w:numId w:val="33"/>
              </w:numPr>
              <w:ind w:left="330" w:hanging="270"/>
              <w:rPr>
                <w:rFonts w:asciiTheme="minorHAnsi" w:hAnsiTheme="minorHAnsi" w:cstheme="minorHAnsi"/>
                <w:color w:val="auto"/>
                <w:sz w:val="22"/>
                <w:szCs w:val="22"/>
                <w:lang w:val="sr-Cyrl-RS"/>
              </w:rPr>
            </w:pPr>
            <w:r>
              <w:rPr>
                <w:rFonts w:asciiTheme="minorHAnsi" w:hAnsiTheme="minorHAnsi" w:cstheme="minorHAnsi"/>
                <w:sz w:val="22"/>
                <w:szCs w:val="22"/>
                <w:lang w:val="sr-Cyrl-RS"/>
              </w:rPr>
              <w:t>Губици воде у водоводној мрежи на задовољавајућем нивоу</w:t>
            </w:r>
          </w:p>
          <w:p>
            <w:pPr>
              <w:pStyle w:val="53"/>
              <w:numPr>
                <w:ilvl w:val="0"/>
                <w:numId w:val="33"/>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Повећан обухват услугама водоснабдијевања и одводње отпадних вода</w:t>
            </w:r>
          </w:p>
          <w:p>
            <w:pPr>
              <w:pStyle w:val="53"/>
              <w:numPr>
                <w:ilvl w:val="0"/>
                <w:numId w:val="33"/>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Локални водоводи прелазе у надлежност „Водовода“ а.д. Бања Лука, што ће омогућити већу ефикасност у управљању овим системима</w:t>
            </w:r>
          </w:p>
          <w:p>
            <w:pPr>
              <w:pStyle w:val="53"/>
              <w:numPr>
                <w:ilvl w:val="0"/>
                <w:numId w:val="33"/>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Постојање регионалне санитарне депоније за одлагање комуналног отпада</w:t>
            </w:r>
          </w:p>
          <w:p>
            <w:pPr>
              <w:pStyle w:val="53"/>
              <w:numPr>
                <w:ilvl w:val="0"/>
                <w:numId w:val="33"/>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Потпуна покривеност територије Града услугом сакупљања и одвоза комуналног отпада</w:t>
            </w:r>
          </w:p>
          <w:p>
            <w:pPr>
              <w:pStyle w:val="46"/>
              <w:numPr>
                <w:ilvl w:val="0"/>
                <w:numId w:val="33"/>
              </w:numPr>
              <w:autoSpaceDE w:val="0"/>
              <w:autoSpaceDN w:val="0"/>
              <w:adjustRightInd w:val="0"/>
              <w:spacing w:before="0" w:line="240" w:lineRule="auto"/>
              <w:ind w:left="330" w:hanging="270"/>
              <w:rPr>
                <w:rFonts w:asciiTheme="minorHAnsi" w:hAnsiTheme="minorHAnsi" w:cstheme="minorHAnsi"/>
                <w:lang w:val="bs-Latn-BA"/>
              </w:rPr>
            </w:pPr>
            <w:r>
              <w:rPr>
                <w:rFonts w:asciiTheme="minorHAnsi" w:hAnsiTheme="minorHAnsi" w:cstheme="minorHAnsi"/>
                <w:lang w:val="sr-Cyrl-RS"/>
              </w:rPr>
              <w:t>Добро ријешен стационарни саобраћај – паркинг систем</w:t>
            </w:r>
          </w:p>
          <w:p>
            <w:pPr>
              <w:pStyle w:val="53"/>
              <w:numPr>
                <w:ilvl w:val="0"/>
                <w:numId w:val="33"/>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Уведен систем даљинског гријања на биомасу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Изграђена електродистрибутивна мрежа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Развијен ИТ сектор, нарочито у приватном сектору</w:t>
            </w:r>
          </w:p>
          <w:p>
            <w:pPr>
              <w:pStyle w:val="46"/>
              <w:numPr>
                <w:ilvl w:val="0"/>
                <w:numId w:val="33"/>
              </w:numPr>
              <w:autoSpaceDE w:val="0"/>
              <w:autoSpaceDN w:val="0"/>
              <w:adjustRightInd w:val="0"/>
              <w:spacing w:before="0" w:line="240" w:lineRule="auto"/>
              <w:ind w:left="330" w:hanging="270"/>
              <w:rPr>
                <w:rFonts w:asciiTheme="minorHAnsi" w:hAnsiTheme="minorHAnsi" w:cstheme="minorHAnsi"/>
                <w:lang w:val="bs-Latn-BA"/>
              </w:rPr>
            </w:pPr>
            <w:r>
              <w:rPr>
                <w:rFonts w:asciiTheme="minorHAnsi" w:hAnsiTheme="minorHAnsi" w:cstheme="minorHAnsi"/>
                <w:lang w:val="sr-Cyrl-RS"/>
              </w:rPr>
              <w:t>Квалитетни и компетентни ИТ кадрови</w:t>
            </w:r>
          </w:p>
          <w:p>
            <w:pPr>
              <w:pStyle w:val="46"/>
              <w:numPr>
                <w:ilvl w:val="0"/>
                <w:numId w:val="33"/>
              </w:numPr>
              <w:autoSpaceDE w:val="0"/>
              <w:autoSpaceDN w:val="0"/>
              <w:adjustRightInd w:val="0"/>
              <w:spacing w:before="0" w:line="240" w:lineRule="auto"/>
              <w:ind w:left="330" w:hanging="270"/>
              <w:rPr>
                <w:rFonts w:asciiTheme="minorHAnsi" w:hAnsiTheme="minorHAnsi" w:cstheme="minorHAnsi"/>
                <w:lang w:val="bs-Latn-BA"/>
              </w:rPr>
            </w:pPr>
            <w:r>
              <w:rPr>
                <w:rFonts w:asciiTheme="minorHAnsi" w:hAnsiTheme="minorHAnsi" w:cstheme="minorHAnsi"/>
                <w:lang w:val="sr-Cyrl-RS"/>
              </w:rPr>
              <w:t>Развијен сектор услуга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Изузетна гастро и угоститељска понуда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Развијен манифестациони туризам</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Развијен јавни и приватни сектор у здравству уз карактеристике здравственог туризма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Богато културно-историјско наслијеђе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Развијена мрежа установа и организација у области културе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Развијен НВО сектор</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Развијена брига о рањивим групама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Успостављњени дневни центри за стара и рањива лица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Постојање квалитетних кадрова у основном, средњем и високом образовању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Дуга спортска традиција са врхунским резултатима на највећим свјетским и европским такмичењима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Статус „Европски град спорта 2018. године“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Регионални лидер у области цивилне заштите – добро опремљени савременим средствима, опремом и обученим кадровима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Безбиједна заједница која промовише сигурност кроз превенцију повреда и насиља, те ублажавања посљедица природних катастрофа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Град издваја буџетска средства за вантјелесну оплодњу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Развијена инфраструктура и добра повезаност са градовима и општинама у региону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Квалификована и конкурентна радна снага – постојање великог броја високо образованих кадрова на тржишту рада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Диверзификована привредна структура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 xml:space="preserve">Добра сарадња локалне самоуправе и привредника </w:t>
            </w:r>
          </w:p>
          <w:p>
            <w:pPr>
              <w:pStyle w:val="46"/>
              <w:autoSpaceDE w:val="0"/>
              <w:autoSpaceDN w:val="0"/>
              <w:adjustRightInd w:val="0"/>
              <w:spacing w:before="0" w:line="240" w:lineRule="auto"/>
              <w:ind w:left="330"/>
              <w:rPr>
                <w:rFonts w:asciiTheme="minorHAnsi" w:hAnsiTheme="minorHAnsi" w:cstheme="minorHAnsi"/>
                <w:lang w:val="bs-Latn-BA"/>
              </w:rPr>
            </w:pPr>
          </w:p>
        </w:tc>
        <w:tc>
          <w:tcPr>
            <w:tcW w:w="5035" w:type="dxa"/>
          </w:tcPr>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Висока стопа миграције из села у град - 85% територије је рурално подручје, а 75% становника живи у урбаном дјелу</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Миграције младих из села у град</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Велики број старачких сеоских домаћинстава</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У неким руралним МЗ је веома смањен број становника између два пописа, док је у другим знатно повећан</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Неријешена инфраструктура у бројним приградским насељима, а дјелимично и у граду</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rPr>
              <w:t>Ниска</w:t>
            </w:r>
            <w:r>
              <w:rPr>
                <w:rFonts w:asciiTheme="minorHAnsi" w:hAnsiTheme="minorHAnsi" w:cstheme="minorHAnsi"/>
                <w:lang w:val="bs-Latn-BA"/>
              </w:rPr>
              <w:t xml:space="preserve"> </w:t>
            </w:r>
            <w:r>
              <w:rPr>
                <w:rFonts w:asciiTheme="minorHAnsi" w:hAnsiTheme="minorHAnsi" w:cstheme="minorHAnsi"/>
              </w:rPr>
              <w:t>привредна</w:t>
            </w:r>
            <w:r>
              <w:rPr>
                <w:rFonts w:asciiTheme="minorHAnsi" w:hAnsiTheme="minorHAnsi" w:cstheme="minorHAnsi"/>
                <w:lang w:val="bs-Latn-BA"/>
              </w:rPr>
              <w:t xml:space="preserve"> </w:t>
            </w:r>
            <w:r>
              <w:rPr>
                <w:rFonts w:asciiTheme="minorHAnsi" w:hAnsiTheme="minorHAnsi" w:cstheme="minorHAnsi"/>
              </w:rPr>
              <w:t>активност</w:t>
            </w:r>
            <w:r>
              <w:rPr>
                <w:rFonts w:asciiTheme="minorHAnsi" w:hAnsiTheme="minorHAnsi" w:cstheme="minorHAnsi"/>
                <w:lang w:val="bs-Latn-BA"/>
              </w:rPr>
              <w:t xml:space="preserve">, </w:t>
            </w:r>
            <w:r>
              <w:rPr>
                <w:rFonts w:asciiTheme="minorHAnsi" w:hAnsiTheme="minorHAnsi" w:cstheme="minorHAnsi"/>
              </w:rPr>
              <w:t>нарочито</w:t>
            </w:r>
            <w:r>
              <w:rPr>
                <w:rFonts w:asciiTheme="minorHAnsi" w:hAnsiTheme="minorHAnsi" w:cstheme="minorHAnsi"/>
                <w:lang w:val="bs-Latn-BA"/>
              </w:rPr>
              <w:t xml:space="preserve"> </w:t>
            </w:r>
            <w:r>
              <w:rPr>
                <w:rFonts w:asciiTheme="minorHAnsi" w:hAnsiTheme="minorHAnsi" w:cstheme="minorHAnsi"/>
              </w:rPr>
              <w:t>у</w:t>
            </w:r>
            <w:r>
              <w:rPr>
                <w:rFonts w:asciiTheme="minorHAnsi" w:hAnsiTheme="minorHAnsi" w:cstheme="minorHAnsi"/>
                <w:lang w:val="bs-Latn-BA"/>
              </w:rPr>
              <w:t xml:space="preserve"> </w:t>
            </w:r>
            <w:r>
              <w:rPr>
                <w:rFonts w:asciiTheme="minorHAnsi" w:hAnsiTheme="minorHAnsi" w:cstheme="minorHAnsi"/>
              </w:rPr>
              <w:t>руралним</w:t>
            </w:r>
            <w:r>
              <w:rPr>
                <w:rFonts w:asciiTheme="minorHAnsi" w:hAnsiTheme="minorHAnsi" w:cstheme="minorHAnsi"/>
                <w:lang w:val="bs-Latn-BA"/>
              </w:rPr>
              <w:t xml:space="preserve"> </w:t>
            </w:r>
            <w:r>
              <w:rPr>
                <w:rFonts w:asciiTheme="minorHAnsi" w:hAnsiTheme="minorHAnsi" w:cstheme="minorHAnsi"/>
              </w:rPr>
              <w:t>подручјима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Велика површина необрађеног пољопривредног земљишта - недовољно развијена пољопривреда </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Додјела подстицаја за рурални развој не даје довољно резултата</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Недовољно развијена прерађивачка индустрија</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Запосленост доминантно у услужним дјелатностима и/или јавном сектору</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Одлив радне снаге – одлазак у иностранство због боље плаћених послова</w:t>
            </w:r>
          </w:p>
          <w:p>
            <w:pPr>
              <w:pStyle w:val="46"/>
              <w:numPr>
                <w:ilvl w:val="0"/>
                <w:numId w:val="34"/>
              </w:numPr>
              <w:spacing w:before="0" w:line="240" w:lineRule="auto"/>
              <w:jc w:val="left"/>
              <w:rPr>
                <w:rFonts w:asciiTheme="minorHAnsi" w:hAnsiTheme="minorHAnsi" w:cstheme="minorHAnsi"/>
                <w:lang w:val="bs-Latn-BA"/>
              </w:rPr>
            </w:pPr>
            <w:r>
              <w:rPr>
                <w:rFonts w:asciiTheme="minorHAnsi" w:hAnsiTheme="minorHAnsi" w:cstheme="minorHAnsi"/>
                <w:lang w:val="sr-Cyrl-RS"/>
              </w:rPr>
              <w:t>Недостатак радне снаге у ИТ сектору, металопрерађивачкој, грађевинској, дрвопрерађивачкој и кожарској индустрији, те појединим услугама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Непостојање одговарајућих програма и капацитета за преквалификацију и доквалификацију радне снаге </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Није успостављен систем праћења и вредновања програма подстицаја на економски развој</w:t>
            </w:r>
          </w:p>
          <w:p>
            <w:pPr>
              <w:pStyle w:val="46"/>
              <w:numPr>
                <w:ilvl w:val="0"/>
                <w:numId w:val="34"/>
              </w:numPr>
              <w:spacing w:before="0" w:line="240" w:lineRule="auto"/>
              <w:jc w:val="left"/>
              <w:rPr>
                <w:rFonts w:asciiTheme="minorHAnsi" w:hAnsiTheme="minorHAnsi" w:cstheme="minorHAnsi"/>
              </w:rPr>
            </w:pPr>
            <w:r>
              <w:rPr>
                <w:rFonts w:asciiTheme="minorHAnsi" w:hAnsiTheme="minorHAnsi" w:cstheme="minorHAnsi"/>
              </w:rPr>
              <w:t>Слаб прилив страних инвестиција</w:t>
            </w:r>
          </w:p>
          <w:p>
            <w:pPr>
              <w:pStyle w:val="46"/>
              <w:numPr>
                <w:ilvl w:val="0"/>
                <w:numId w:val="34"/>
              </w:numPr>
              <w:spacing w:before="0" w:line="240" w:lineRule="auto"/>
              <w:jc w:val="left"/>
              <w:rPr>
                <w:rFonts w:asciiTheme="minorHAnsi" w:hAnsiTheme="minorHAnsi" w:cstheme="minorHAnsi"/>
              </w:rPr>
            </w:pPr>
            <w:r>
              <w:rPr>
                <w:rFonts w:asciiTheme="minorHAnsi" w:hAnsiTheme="minorHAnsi" w:cstheme="minorHAnsi"/>
              </w:rPr>
              <w:t xml:space="preserve">Неријешени имовински односи на подручју Града </w:t>
            </w:r>
            <w:r>
              <w:rPr>
                <w:rFonts w:asciiTheme="minorHAnsi" w:hAnsiTheme="minorHAnsi" w:cstheme="minorHAnsi"/>
                <w:lang w:val="sr-Cyrl-RS"/>
              </w:rPr>
              <w:t>који стварају</w:t>
            </w:r>
            <w:r>
              <w:rPr>
                <w:rFonts w:asciiTheme="minorHAnsi" w:hAnsiTheme="minorHAnsi" w:cstheme="minorHAnsi"/>
              </w:rPr>
              <w:t xml:space="preserve"> проблем</w:t>
            </w:r>
            <w:r>
              <w:rPr>
                <w:rFonts w:asciiTheme="minorHAnsi" w:hAnsiTheme="minorHAnsi" w:cstheme="minorHAnsi"/>
                <w:lang w:val="sr-Cyrl-RS"/>
              </w:rPr>
              <w:t>е</w:t>
            </w:r>
            <w:r>
              <w:rPr>
                <w:rFonts w:asciiTheme="minorHAnsi" w:hAnsiTheme="minorHAnsi" w:cstheme="minorHAnsi"/>
              </w:rPr>
              <w:t xml:space="preserve"> у обезбијеђ</w:t>
            </w:r>
            <w:r>
              <w:rPr>
                <w:rFonts w:asciiTheme="minorHAnsi" w:hAnsiTheme="minorHAnsi" w:cstheme="minorHAnsi"/>
                <w:lang w:val="sr-Cyrl-RS"/>
              </w:rPr>
              <w:t>ива</w:t>
            </w:r>
            <w:r>
              <w:rPr>
                <w:rFonts w:asciiTheme="minorHAnsi" w:hAnsiTheme="minorHAnsi" w:cstheme="minorHAnsi"/>
              </w:rPr>
              <w:t>њу локација</w:t>
            </w:r>
            <w:r>
              <w:rPr>
                <w:rFonts w:asciiTheme="minorHAnsi" w:hAnsiTheme="minorHAnsi" w:cstheme="minorHAnsi"/>
                <w:lang w:val="sr-Cyrl-RS"/>
              </w:rPr>
              <w:t xml:space="preserve"> за директне стране и домаће инвестиције - лоше јавне евиденције</w:t>
            </w:r>
          </w:p>
          <w:p>
            <w:pPr>
              <w:pStyle w:val="46"/>
              <w:numPr>
                <w:ilvl w:val="0"/>
                <w:numId w:val="34"/>
              </w:numPr>
              <w:spacing w:before="0" w:line="240" w:lineRule="auto"/>
              <w:jc w:val="left"/>
              <w:rPr>
                <w:rFonts w:asciiTheme="minorHAnsi" w:hAnsiTheme="minorHAnsi" w:cstheme="minorHAnsi"/>
              </w:rPr>
            </w:pPr>
            <w:r>
              <w:rPr>
                <w:rFonts w:asciiTheme="minorHAnsi" w:hAnsiTheme="minorHAnsi" w:cstheme="minorHAnsi"/>
                <w:lang w:val="sr-Cyrl-RS"/>
              </w:rPr>
              <w:t>Недовољан број пословних зона за потенцијалне домаће и стране инвеститоре</w:t>
            </w:r>
          </w:p>
          <w:p>
            <w:pPr>
              <w:pStyle w:val="46"/>
              <w:numPr>
                <w:ilvl w:val="0"/>
                <w:numId w:val="34"/>
              </w:numPr>
              <w:spacing w:before="0" w:line="240" w:lineRule="auto"/>
              <w:jc w:val="left"/>
              <w:rPr>
                <w:rFonts w:asciiTheme="minorHAnsi" w:hAnsiTheme="minorHAnsi" w:cstheme="minorHAnsi"/>
              </w:rPr>
            </w:pPr>
            <w:r>
              <w:rPr>
                <w:rFonts w:asciiTheme="minorHAnsi" w:hAnsiTheme="minorHAnsi" w:cstheme="minorHAnsi"/>
                <w:lang w:val="sr-Cyrl-RS"/>
              </w:rPr>
              <w:t>Дугогодишње одлагање израде Урбанистичког плана</w:t>
            </w:r>
          </w:p>
          <w:p>
            <w:pPr>
              <w:pStyle w:val="46"/>
              <w:numPr>
                <w:ilvl w:val="0"/>
                <w:numId w:val="34"/>
              </w:numPr>
              <w:spacing w:before="0" w:line="240" w:lineRule="auto"/>
              <w:jc w:val="left"/>
              <w:rPr>
                <w:rFonts w:asciiTheme="minorHAnsi" w:hAnsiTheme="minorHAnsi" w:cstheme="minorHAnsi"/>
              </w:rPr>
            </w:pPr>
            <w:r>
              <w:rPr>
                <w:rFonts w:asciiTheme="minorHAnsi" w:hAnsiTheme="minorHAnsi" w:cstheme="minorHAnsi"/>
                <w:lang w:val="sr-Cyrl-RS"/>
              </w:rPr>
              <w:t>Неплански развој приградских насеља</w:t>
            </w:r>
          </w:p>
          <w:p>
            <w:pPr>
              <w:pStyle w:val="46"/>
              <w:numPr>
                <w:ilvl w:val="0"/>
                <w:numId w:val="34"/>
              </w:numPr>
              <w:spacing w:before="0" w:line="240" w:lineRule="auto"/>
              <w:jc w:val="left"/>
              <w:rPr>
                <w:rFonts w:asciiTheme="minorHAnsi" w:hAnsiTheme="minorHAnsi" w:cstheme="minorHAnsi"/>
              </w:rPr>
            </w:pPr>
            <w:r>
              <w:rPr>
                <w:rFonts w:asciiTheme="minorHAnsi" w:hAnsiTheme="minorHAnsi" w:cstheme="minorHAnsi"/>
                <w:lang w:val="sr-Cyrl-RS"/>
              </w:rPr>
              <w:t>Споро и неадекватно рјешавање проблема бесправне градње</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Недовољни финансијски капацитети Града за улагања у инфраструктуру </w:t>
            </w:r>
          </w:p>
          <w:p>
            <w:pPr>
              <w:pStyle w:val="46"/>
              <w:numPr>
                <w:ilvl w:val="0"/>
                <w:numId w:val="34"/>
              </w:numPr>
              <w:spacing w:before="0" w:line="240" w:lineRule="auto"/>
              <w:jc w:val="left"/>
              <w:rPr>
                <w:rFonts w:asciiTheme="minorHAnsi" w:hAnsiTheme="minorHAnsi" w:cstheme="minorHAnsi"/>
                <w:lang w:val="sr-Cyrl-RS"/>
              </w:rPr>
            </w:pPr>
            <w:r>
              <w:rPr>
                <w:rFonts w:asciiTheme="minorHAnsi" w:hAnsiTheme="minorHAnsi" w:cstheme="minorHAnsi"/>
                <w:lang w:val="sr-Cyrl-RS"/>
              </w:rPr>
              <w:t>Непостојање система за пречишћавање отпадних вода из јавне канализације</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Испуштање индустријских отпадних вода у површинске водотоке без третмана и у канализациони систем без предтретмана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Недовољна покривеност канализационом мрежом урбаног дијела града, а у руралним подручјима не постоје изграђени канализациони системи</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Недовољна покривеност урбаног дијела града системом даљинског гријања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sz w:val="22"/>
                <w:szCs w:val="22"/>
                <w:lang w:val="sr-Cyrl-RS"/>
              </w:rPr>
              <w:t>Застарјела вреловодна мрежа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Коришћење еколошки неприхватљивих енергената у индивидуалним ложиштима (већином угаљ лошег квалитета)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Ниска ененргетска ефикасност јавних и приватних објеката </w:t>
            </w:r>
          </w:p>
          <w:p>
            <w:pPr>
              <w:pStyle w:val="46"/>
              <w:numPr>
                <w:ilvl w:val="0"/>
                <w:numId w:val="34"/>
              </w:numPr>
              <w:spacing w:before="0" w:line="240" w:lineRule="auto"/>
              <w:jc w:val="left"/>
              <w:rPr>
                <w:rFonts w:asciiTheme="minorHAnsi" w:hAnsiTheme="minorHAnsi" w:cstheme="minorHAnsi"/>
                <w:lang w:val="sr-Cyrl-RS"/>
              </w:rPr>
            </w:pPr>
            <w:r>
              <w:rPr>
                <w:rFonts w:asciiTheme="minorHAnsi" w:hAnsiTheme="minorHAnsi" w:cstheme="minorHAnsi"/>
                <w:lang w:val="sr-Cyrl-RS"/>
              </w:rPr>
              <w:t xml:space="preserve">Недовољна близина електроенергетских извора </w:t>
            </w:r>
          </w:p>
          <w:p>
            <w:pPr>
              <w:pStyle w:val="46"/>
              <w:numPr>
                <w:ilvl w:val="0"/>
                <w:numId w:val="34"/>
              </w:numPr>
              <w:autoSpaceDE w:val="0"/>
              <w:autoSpaceDN w:val="0"/>
              <w:adjustRightInd w:val="0"/>
              <w:spacing w:before="0" w:line="240" w:lineRule="auto"/>
              <w:jc w:val="left"/>
              <w:rPr>
                <w:rFonts w:asciiTheme="minorHAnsi" w:hAnsiTheme="minorHAnsi" w:cstheme="minorHAnsi"/>
                <w:lang w:val="bs-Latn-BA"/>
              </w:rPr>
            </w:pPr>
            <w:r>
              <w:rPr>
                <w:rFonts w:asciiTheme="minorHAnsi" w:hAnsiTheme="minorHAnsi" w:cstheme="minorHAnsi"/>
                <w:lang w:val="sr-Cyrl-RS"/>
              </w:rPr>
              <w:t>Недовољан број паркинг мјеста у центру града и стамбеним блоковима за повећан број возила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Неадекватна контрола квалитета воде у локалним водоводима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Неуређеност обала и корита ријеке Врбас и других водотокова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Непостојање континуираног и системског мониторинга земљишта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Недовољан број зелених острва за одвојено сакупљање искористивих материја из комуналног отпада (PЕТ, МЕТ, стакло и папир)</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Неадекватно збрињавање опасног отпада као и посебних категорија отпада (медицински, анимални и др.)</w:t>
            </w:r>
          </w:p>
          <w:p>
            <w:pPr>
              <w:pStyle w:val="46"/>
              <w:numPr>
                <w:ilvl w:val="0"/>
                <w:numId w:val="34"/>
              </w:numPr>
              <w:spacing w:before="0" w:line="240" w:lineRule="auto"/>
              <w:jc w:val="left"/>
              <w:rPr>
                <w:rFonts w:asciiTheme="minorHAnsi" w:hAnsiTheme="minorHAnsi" w:cstheme="minorHAnsi"/>
                <w:lang w:val="sr-Cyrl-RS"/>
              </w:rPr>
            </w:pPr>
            <w:r>
              <w:rPr>
                <w:rFonts w:asciiTheme="minorHAnsi" w:hAnsiTheme="minorHAnsi" w:cstheme="minorHAnsi"/>
                <w:lang w:val="sr-Cyrl-RS"/>
              </w:rPr>
              <w:t>Недовољно искориштен туристички потенцијал града</w:t>
            </w:r>
          </w:p>
          <w:p>
            <w:pPr>
              <w:pStyle w:val="46"/>
              <w:numPr>
                <w:ilvl w:val="0"/>
                <w:numId w:val="34"/>
              </w:numPr>
              <w:spacing w:before="0" w:line="240" w:lineRule="auto"/>
              <w:jc w:val="left"/>
              <w:rPr>
                <w:rFonts w:asciiTheme="minorHAnsi" w:hAnsiTheme="minorHAnsi" w:cstheme="minorHAnsi"/>
                <w:lang w:val="sr-Cyrl-RS"/>
              </w:rPr>
            </w:pPr>
            <w:r>
              <w:rPr>
                <w:rFonts w:asciiTheme="minorHAnsi" w:hAnsiTheme="minorHAnsi" w:cstheme="minorHAnsi"/>
                <w:lang w:val="sr-Cyrl-RS"/>
              </w:rPr>
              <w:t xml:space="preserve">Недовољна понуда смјештајних капацитета у односу на потражњу </w:t>
            </w:r>
          </w:p>
          <w:p>
            <w:pPr>
              <w:pStyle w:val="46"/>
              <w:numPr>
                <w:ilvl w:val="0"/>
                <w:numId w:val="34"/>
              </w:numPr>
              <w:spacing w:before="0" w:line="240" w:lineRule="auto"/>
              <w:jc w:val="left"/>
              <w:rPr>
                <w:rFonts w:asciiTheme="minorHAnsi" w:hAnsiTheme="minorHAnsi" w:cstheme="minorHAnsi"/>
                <w:lang w:val="sr-Cyrl-RS"/>
              </w:rPr>
            </w:pPr>
            <w:r>
              <w:rPr>
                <w:rFonts w:asciiTheme="minorHAnsi" w:hAnsiTheme="minorHAnsi" w:cstheme="minorHAnsi"/>
                <w:lang w:val="sr-Cyrl-RS"/>
              </w:rPr>
              <w:t>Недостатак инфраструктуре за конгресни туризам – непостојање конгресног центра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Непостојање јединствене и транспарентне евиденције корисника свих видова социјалне заштите и других врста помоћи што негативно утиче на ефикасност и ефективност система</w:t>
            </w:r>
          </w:p>
          <w:p>
            <w:pPr>
              <w:pStyle w:val="46"/>
              <w:numPr>
                <w:ilvl w:val="0"/>
                <w:numId w:val="34"/>
              </w:numPr>
              <w:spacing w:before="0" w:line="240" w:lineRule="auto"/>
              <w:jc w:val="left"/>
              <w:rPr>
                <w:rFonts w:asciiTheme="minorHAnsi" w:hAnsiTheme="minorHAnsi" w:cstheme="minorHAnsi"/>
              </w:rPr>
            </w:pPr>
            <w:r>
              <w:rPr>
                <w:rFonts w:asciiTheme="minorHAnsi" w:hAnsiTheme="minorHAnsi" w:cstheme="minorHAnsi"/>
                <w:lang w:val="sr-Cyrl-RS"/>
              </w:rPr>
              <w:t>Недовољан број објеката предшколског образовања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Недовољан број и неодговарајући квалитет спортске инфрасруктуре </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Недостатак простора за рекреацију и зелених урбаних површина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Повећан број спортских организација али без значајнијих резултата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Недостатак појединих стручних кадрова у здравственим установама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Непостојање система за интегрално управљање отпадом</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Успостављени систем праћења и мониторинга комуналних услуга није свеобухватан и довољно ефикасан</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Град нема у власништву атрактивно и инфраструктурно опремљено земљиште које нуди инвеститорима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Недовољно интересовање привредника за финансирање пројеката и послова на територији града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Недостатак квалитетне практичне наставе током формалног образовања и недовољна укљученост школа у систем неформалног образовања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 врши се селекција/рециклажа отпада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Уситњени и расцјепкани земљишни посједи</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Мали проценат наводњавања и кориштења расположивих водних ресурса за наводњавање</w:t>
            </w:r>
          </w:p>
          <w:p>
            <w:pPr>
              <w:pStyle w:val="53"/>
              <w:numPr>
                <w:ilvl w:val="0"/>
                <w:numId w:val="34"/>
              </w:numPr>
              <w:rPr>
                <w:rFonts w:asciiTheme="minorHAnsi" w:hAnsiTheme="minorHAnsi" w:cstheme="minorHAnsi"/>
                <w:color w:val="auto"/>
                <w:sz w:val="20"/>
                <w:szCs w:val="22"/>
                <w:lang w:val="sr-Cyrl-RS"/>
              </w:rPr>
            </w:pPr>
            <w:r>
              <w:rPr>
                <w:rFonts w:asciiTheme="minorHAnsi" w:hAnsiTheme="minorHAnsi" w:cstheme="minorHAnsi"/>
                <w:sz w:val="22"/>
                <w:lang w:val="sr-Cyrl-BA"/>
              </w:rPr>
              <w:t xml:space="preserve">Недовољно  изграђене институције финансијске, нефинансијске и комбиноване подршке предузетништву (технолошки паркови, кластери, пословни акцелератори, </w:t>
            </w:r>
            <w:r>
              <w:rPr>
                <w:rFonts w:asciiTheme="minorHAnsi" w:hAnsiTheme="minorHAnsi" w:cstheme="minorHAnsi"/>
                <w:sz w:val="22"/>
                <w:lang w:val="en-US"/>
              </w:rPr>
              <w:t>coworking</w:t>
            </w:r>
            <w:r>
              <w:rPr>
                <w:rFonts w:asciiTheme="minorHAnsi" w:hAnsiTheme="minorHAnsi" w:cstheme="minorHAnsi"/>
                <w:sz w:val="22"/>
                <w:lang w:val="sr-Cyrl-RS"/>
              </w:rPr>
              <w:t xml:space="preserve"> </w:t>
            </w:r>
            <w:r>
              <w:rPr>
                <w:rFonts w:asciiTheme="minorHAnsi" w:hAnsiTheme="minorHAnsi" w:cstheme="minorHAnsi"/>
                <w:sz w:val="22"/>
                <w:lang w:val="sr-Cyrl-BA"/>
              </w:rPr>
              <w:t>простори, фондови ризичног капитала, анђели инвеститори, факторинг компаније, уређене индустријске зоне)</w:t>
            </w:r>
          </w:p>
          <w:p>
            <w:pPr>
              <w:pStyle w:val="53"/>
              <w:numPr>
                <w:ilvl w:val="0"/>
                <w:numId w:val="34"/>
              </w:numPr>
              <w:rPr>
                <w:rFonts w:asciiTheme="minorHAnsi" w:hAnsiTheme="minorHAnsi" w:cstheme="minorHAnsi"/>
                <w:color w:val="auto"/>
                <w:sz w:val="20"/>
                <w:szCs w:val="22"/>
                <w:lang w:val="sr-Cyrl-RS"/>
              </w:rPr>
            </w:pPr>
            <w:r>
              <w:rPr>
                <w:rFonts w:asciiTheme="minorHAnsi" w:hAnsiTheme="minorHAnsi" w:cstheme="minorHAnsi"/>
                <w:sz w:val="22"/>
                <w:lang w:val="sr-Cyrl-BA"/>
              </w:rPr>
              <w:t>Непостојање еУправе и апликација за комуникацију са грађанкама и грађанима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Нефункционалан аеродром</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Слаб ниво искоришћености жељезничког саобраћаја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Недовољан број студентских домова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Велике запуштене површине са алергенима (поља зарасла у амброзију)</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Недовољан број контејнера и канти за одлагање смећа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Град није </w:t>
            </w:r>
            <w:r>
              <w:rPr>
                <w:rFonts w:asciiTheme="minorHAnsi" w:hAnsiTheme="minorHAnsi" w:cstheme="minorHAnsi"/>
                <w:color w:val="auto"/>
                <w:sz w:val="22"/>
                <w:szCs w:val="22"/>
                <w:lang w:val="en-US"/>
              </w:rPr>
              <w:t>“pet friendly”.</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BA"/>
              </w:rPr>
              <w:t>Један број недовшених и нефункционалних грађевинских објеката</w:t>
            </w:r>
          </w:p>
          <w:p>
            <w:pPr>
              <w:pStyle w:val="53"/>
              <w:numPr>
                <w:ilvl w:val="0"/>
                <w:numId w:val="34"/>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BA"/>
              </w:rPr>
              <w:t>Велики број неискоришћених простора у власништву Града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shd w:val="clear" w:color="auto" w:fill="385623" w:themeFill="accent6" w:themeFillShade="80"/>
          </w:tcPr>
          <w:p>
            <w:pPr>
              <w:ind w:left="330" w:hanging="270"/>
              <w:jc w:val="center"/>
              <w:rPr>
                <w:rFonts w:asciiTheme="minorHAnsi" w:hAnsiTheme="minorHAnsi" w:cstheme="minorHAnsi"/>
                <w:b/>
                <w:lang w:val="sr-Latn-RS"/>
              </w:rPr>
            </w:pPr>
            <w:r>
              <w:rPr>
                <w:rFonts w:asciiTheme="minorHAnsi" w:hAnsiTheme="minorHAnsi" w:cstheme="minorHAnsi"/>
                <w:b/>
                <w:lang w:val="sr-Latn-RS"/>
              </w:rPr>
              <w:t>ШАНСЕ</w:t>
            </w:r>
          </w:p>
        </w:tc>
        <w:tc>
          <w:tcPr>
            <w:tcW w:w="5035" w:type="dxa"/>
            <w:shd w:val="clear" w:color="auto" w:fill="A8D08D" w:themeFill="accent6" w:themeFillTint="99"/>
          </w:tcPr>
          <w:p>
            <w:pPr>
              <w:ind w:left="346" w:hanging="270"/>
              <w:jc w:val="center"/>
              <w:rPr>
                <w:rFonts w:asciiTheme="minorHAnsi" w:hAnsiTheme="minorHAnsi" w:cstheme="minorHAnsi"/>
                <w:b/>
              </w:rPr>
            </w:pPr>
            <w:r>
              <w:rPr>
                <w:rFonts w:asciiTheme="minorHAnsi" w:hAnsiTheme="minorHAnsi" w:cstheme="minorHAnsi"/>
                <w:b/>
              </w:rPr>
              <w:t>ПР</w:t>
            </w:r>
            <w:r>
              <w:rPr>
                <w:rFonts w:asciiTheme="minorHAnsi" w:hAnsiTheme="minorHAnsi" w:cstheme="minorHAnsi"/>
                <w:b/>
                <w:lang w:val="sr-Cyrl-RS"/>
              </w:rPr>
              <w:t>ИЈЕ</w:t>
            </w:r>
            <w:r>
              <w:rPr>
                <w:rFonts w:asciiTheme="minorHAnsi" w:hAnsiTheme="minorHAnsi" w:cstheme="minorHAnsi"/>
                <w:b/>
              </w:rPr>
              <w:t>ТЊЕ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2" w:hRule="atLeast"/>
        </w:trPr>
        <w:tc>
          <w:tcPr>
            <w:tcW w:w="4315" w:type="dxa"/>
          </w:tcPr>
          <w:p>
            <w:pPr>
              <w:pStyle w:val="46"/>
              <w:numPr>
                <w:ilvl w:val="0"/>
                <w:numId w:val="35"/>
              </w:numPr>
              <w:spacing w:before="0" w:line="240" w:lineRule="auto"/>
              <w:ind w:left="330" w:hanging="270"/>
              <w:jc w:val="left"/>
              <w:rPr>
                <w:rFonts w:asciiTheme="minorHAnsi" w:hAnsiTheme="minorHAnsi" w:cstheme="minorHAnsi"/>
                <w:lang w:val="hr-BA"/>
              </w:rPr>
            </w:pPr>
            <w:r>
              <w:rPr>
                <w:rFonts w:asciiTheme="minorHAnsi" w:hAnsiTheme="minorHAnsi" w:cstheme="minorHAnsi"/>
                <w:lang w:val="sr-Cyrl-RS"/>
              </w:rPr>
              <w:t>Добра сарадња са републичким институцијама, чије је сједиште у Бањој Луци</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Прекогранична и регионална сарадња</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Близина тржишта Европске уније</w:t>
            </w:r>
          </w:p>
          <w:p>
            <w:pPr>
              <w:pStyle w:val="46"/>
              <w:numPr>
                <w:ilvl w:val="0"/>
                <w:numId w:val="35"/>
              </w:numPr>
              <w:spacing w:before="0" w:line="240" w:lineRule="auto"/>
              <w:ind w:left="330" w:hanging="270"/>
              <w:jc w:val="left"/>
              <w:rPr>
                <w:rFonts w:asciiTheme="minorHAnsi" w:hAnsiTheme="minorHAnsi" w:cstheme="minorHAnsi"/>
                <w:lang w:val="hr-BA"/>
              </w:rPr>
            </w:pPr>
            <w:r>
              <w:rPr>
                <w:rFonts w:asciiTheme="minorHAnsi" w:hAnsiTheme="minorHAnsi" w:cstheme="minorHAnsi"/>
                <w:lang w:val="sr-Cyrl-RS"/>
              </w:rPr>
              <w:t>ЕУ интеграције – могућности коришћење европских и међународних фондова и других извора финансирања</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Кандидатура за Европску престоницу културе</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rPr>
              <w:t>Smart City</w:t>
            </w:r>
            <w:r>
              <w:rPr>
                <w:rFonts w:asciiTheme="minorHAnsi" w:hAnsiTheme="minorHAnsi" w:cstheme="minorHAnsi"/>
                <w:lang w:val="sr-Cyrl-RS"/>
              </w:rPr>
              <w:t xml:space="preserve"> концепт</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Latn-RS"/>
              </w:rPr>
              <w:t xml:space="preserve">Green City </w:t>
            </w:r>
            <w:r>
              <w:rPr>
                <w:rFonts w:asciiTheme="minorHAnsi" w:hAnsiTheme="minorHAnsi" w:cstheme="minorHAnsi"/>
                <w:lang w:val="sr-Cyrl-RS"/>
              </w:rPr>
              <w:t>концепт</w:t>
            </w:r>
          </w:p>
          <w:p>
            <w:pPr>
              <w:pStyle w:val="46"/>
              <w:numPr>
                <w:ilvl w:val="0"/>
                <w:numId w:val="35"/>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Добри и диверзификовани природни ресурси</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Велики енергетски потенцијал и могућности за коришћење обновљивих извора енергије (термални извори, енергија вјетра, енергија сунца, енергија воде)</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Изградња хидроцентрале и мини-хидроцентрала на ријеци Врбас и притокама</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Незагађена животна средина (ваздух, вода, земљиште)</w:t>
            </w:r>
          </w:p>
          <w:p>
            <w:pPr>
              <w:pStyle w:val="53"/>
              <w:numPr>
                <w:ilvl w:val="0"/>
                <w:numId w:val="35"/>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Постојање доброг законодавства из области заштите животне средине и његова примјена</w:t>
            </w:r>
          </w:p>
          <w:p>
            <w:pPr>
              <w:pStyle w:val="53"/>
              <w:numPr>
                <w:ilvl w:val="0"/>
                <w:numId w:val="35"/>
              </w:numPr>
              <w:ind w:left="330"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Постојање Фонда за заштиту животне средине и енергетску ефикасност РС</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 xml:space="preserve">Богатство квалитетним шумама </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Квалитетни модели државних подстицаја у области предузетништва и пољопривреде</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Унапређење законодавства у области локалног економског развоја</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Рурални развој</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Повољни услови за развој сточарства</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Прилив страних директних инвестиција</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Јавно-приватна партнерства</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Развој прерађивачке индустрије</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Развој ИТ индустрије и велике могућности за улагања у овај сектор</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Развој авио-саобраћаја</w:t>
            </w:r>
          </w:p>
          <w:p>
            <w:pPr>
              <w:pStyle w:val="46"/>
              <w:numPr>
                <w:ilvl w:val="0"/>
                <w:numId w:val="35"/>
              </w:numPr>
              <w:spacing w:before="0" w:line="240" w:lineRule="auto"/>
              <w:ind w:left="330" w:hanging="270"/>
              <w:jc w:val="left"/>
              <w:rPr>
                <w:rFonts w:asciiTheme="minorHAnsi" w:hAnsiTheme="minorHAnsi" w:cstheme="minorHAnsi"/>
              </w:rPr>
            </w:pPr>
            <w:r>
              <w:rPr>
                <w:rFonts w:asciiTheme="minorHAnsi" w:hAnsiTheme="minorHAnsi" w:cstheme="minorHAnsi"/>
                <w:lang w:val="sr-Cyrl-RS"/>
              </w:rPr>
              <w:t>Потенцијалне инвестиције из дијаспоре</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Велики потенцијал за развој конгресног, здравственог и спортско-рекреативног туризма</w:t>
            </w:r>
          </w:p>
          <w:p>
            <w:pPr>
              <w:pStyle w:val="46"/>
              <w:numPr>
                <w:ilvl w:val="0"/>
                <w:numId w:val="35"/>
              </w:numPr>
              <w:spacing w:before="0" w:line="240" w:lineRule="auto"/>
              <w:ind w:left="330" w:hanging="270"/>
              <w:jc w:val="left"/>
              <w:rPr>
                <w:rFonts w:asciiTheme="minorHAnsi" w:hAnsiTheme="minorHAnsi" w:cstheme="minorHAnsi"/>
                <w:lang w:val="bs-Latn-BA"/>
              </w:rPr>
            </w:pPr>
            <w:r>
              <w:rPr>
                <w:rFonts w:asciiTheme="minorHAnsi" w:hAnsiTheme="minorHAnsi" w:cstheme="minorHAnsi"/>
                <w:lang w:val="sr-Latn-RS"/>
              </w:rPr>
              <w:t xml:space="preserve">Brownfield </w:t>
            </w:r>
            <w:r>
              <w:rPr>
                <w:rFonts w:asciiTheme="minorHAnsi" w:hAnsiTheme="minorHAnsi" w:cstheme="minorHAnsi"/>
                <w:lang w:val="sr-Cyrl-RS"/>
              </w:rPr>
              <w:t>инвестиције у постојеће објекте</w:t>
            </w:r>
          </w:p>
        </w:tc>
        <w:tc>
          <w:tcPr>
            <w:tcW w:w="5035" w:type="dxa"/>
          </w:tcPr>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Вјеродостојност података о броју и структури становника</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 xml:space="preserve">Законска ограничења у дефинисању пакета олакшица за нове инвеститоре </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Неповољан општи политички амбијент</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Пријетња да Град (п)остане само административни центар - изостанак развоја других капацитета Града </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Пад прихода од индиректних пореза због мале стопе привредног развоја и вањског дуга РС-а </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Низак ниво страних инвестиција</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Недостатак средстава за улагање  у привреду и прерађивачку индустрију под повољним условима </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Угрожавање локалне привреде нелојалном конкуренцијом (сива економија)</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Одлазак младих са села</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Одлазак становништва у Западну Европу (економска миграција)</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Одлазак младих и висококвалификованих људских ресурса</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Неусаглашеност уписне политике и планова и програма рада у стручним школама са потребама тржишта рада</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 xml:space="preserve">Супротстављени трендови на тржишту радне снаге – раст суфицитарних и пад дефицитарних занимања </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Недостатак механизама за преквалификацију и доквалификацију радника у складу са потребама тржишта рада</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Недовољно развијена свијест грађана о заштити животне средине</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Изградња хидроцентрале и мини-хидроцентрала на ријеци Врбас и притокама</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Климатске промјене</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Загађење водотокова, земљишта, шума итд.</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Неплански развој приградских подручја који не прати одговарајући инфраструктурни развој</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Бесправна градња</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 xml:space="preserve">Повећање броја моторних возила са истом мрежом саобраћајне инфраструктуре </w:t>
            </w:r>
          </w:p>
          <w:p>
            <w:pPr>
              <w:pStyle w:val="53"/>
              <w:numPr>
                <w:ilvl w:val="0"/>
                <w:numId w:val="3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Непоуздане евиденције и нејасни имовинско-правни односи, укључујући и имовину локалне самоуправе (због нехармонизованих закона)</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Компликовано и/или недовољно јасно законодавство на нивоу РС и БиХ</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Непостојање генералне Стратегије развоја РС и БиХ</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Недовољно стимулативан правни и финансисјки оквир за развој предузећа и улагања у РС и БиХ</w:t>
            </w:r>
          </w:p>
          <w:p>
            <w:pPr>
              <w:pStyle w:val="46"/>
              <w:numPr>
                <w:ilvl w:val="0"/>
                <w:numId w:val="35"/>
              </w:numPr>
              <w:spacing w:before="0" w:line="240" w:lineRule="auto"/>
              <w:ind w:left="346" w:hanging="270"/>
              <w:jc w:val="left"/>
              <w:rPr>
                <w:rFonts w:asciiTheme="minorHAnsi" w:hAnsiTheme="minorHAnsi" w:cstheme="minorHAnsi"/>
                <w:lang w:val="sr-Cyrl-RS"/>
              </w:rPr>
            </w:pPr>
            <w:r>
              <w:rPr>
                <w:rFonts w:asciiTheme="minorHAnsi" w:hAnsiTheme="minorHAnsi" w:cstheme="minorHAnsi"/>
                <w:lang w:val="sr-Cyrl-RS"/>
              </w:rPr>
              <w:t xml:space="preserve">Неодовољно обучени и компетентни запослени у јавној управи за припрему и упраљање пројектима према </w:t>
            </w:r>
            <w:r>
              <w:rPr>
                <w:rFonts w:asciiTheme="minorHAnsi" w:hAnsiTheme="minorHAnsi" w:cstheme="minorHAnsi"/>
              </w:rPr>
              <w:t>PCM</w:t>
            </w:r>
            <w:r>
              <w:rPr>
                <w:rFonts w:asciiTheme="minorHAnsi" w:hAnsiTheme="minorHAnsi" w:cstheme="minorHAnsi"/>
                <w:lang w:val="sr-Cyrl-RS"/>
              </w:rPr>
              <w:t xml:space="preserve"> </w:t>
            </w:r>
            <w:r>
              <w:rPr>
                <w:rFonts w:asciiTheme="minorHAnsi" w:hAnsiTheme="minorHAnsi" w:cstheme="minorHAnsi"/>
                <w:lang w:val="sr-Cyrl-BA"/>
              </w:rPr>
              <w:t>методологији</w:t>
            </w:r>
          </w:p>
          <w:p>
            <w:pPr>
              <w:pStyle w:val="46"/>
              <w:spacing w:before="0" w:line="240" w:lineRule="auto"/>
              <w:ind w:left="346"/>
              <w:jc w:val="left"/>
              <w:rPr>
                <w:rFonts w:asciiTheme="minorHAnsi" w:hAnsiTheme="minorHAnsi" w:cstheme="minorHAnsi"/>
                <w:lang w:val="sr-Cyrl-RS"/>
              </w:rPr>
            </w:pPr>
          </w:p>
        </w:tc>
      </w:tr>
    </w:tbl>
    <w:p>
      <w:pPr>
        <w:spacing w:line="276" w:lineRule="auto"/>
        <w:jc w:val="both"/>
        <w:rPr>
          <w:rFonts w:asciiTheme="minorHAnsi" w:hAnsiTheme="minorHAnsi" w:cstheme="minorHAnsi"/>
        </w:rPr>
      </w:pPr>
    </w:p>
    <w:p>
      <w:pPr>
        <w:spacing w:after="160" w:line="259" w:lineRule="auto"/>
        <w:rPr>
          <w:rFonts w:eastAsia="Times New Roman" w:asciiTheme="minorHAnsi" w:hAnsiTheme="minorHAnsi"/>
          <w:b/>
          <w:bCs/>
          <w:i/>
          <w:kern w:val="32"/>
          <w:lang w:val="sr-Cyrl-CS"/>
        </w:rPr>
      </w:pPr>
      <w:r>
        <w:rPr>
          <w:rFonts w:eastAsia="Times New Roman" w:asciiTheme="minorHAnsi" w:hAnsiTheme="minorHAnsi"/>
          <w:b/>
          <w:bCs/>
          <w:i/>
          <w:kern w:val="32"/>
          <w:lang w:val="sr-Cyrl-CS"/>
        </w:rPr>
        <w:br w:type="page"/>
      </w:r>
    </w:p>
    <w:p>
      <w:pPr>
        <w:spacing w:after="160" w:line="259" w:lineRule="auto"/>
        <w:jc w:val="both"/>
        <w:rPr>
          <w:rFonts w:eastAsia="Times New Roman" w:asciiTheme="minorHAnsi" w:hAnsiTheme="minorHAnsi"/>
          <w:b/>
          <w:bCs/>
          <w:i/>
          <w:kern w:val="32"/>
          <w:lang w:val="sr-Cyrl-CS"/>
        </w:rPr>
      </w:pPr>
      <w:r>
        <w:rPr>
          <w:rFonts w:eastAsia="Times New Roman" w:asciiTheme="minorHAnsi" w:hAnsiTheme="minorHAnsi"/>
          <w:b/>
          <w:bCs/>
          <w:i/>
          <w:kern w:val="32"/>
          <w:lang w:val="sr-Cyrl-CS"/>
        </w:rPr>
        <w:t>Компаративне, конкурентске и јединствене предности Града Бања Лука</w:t>
      </w:r>
    </w:p>
    <w:tbl>
      <w:tblPr>
        <w:tblStyle w:val="36"/>
        <w:tblW w:w="957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3122"/>
        <w:gridCol w:w="3317"/>
        <w:gridCol w:w="31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385623" w:themeFill="accent6" w:themeFillShade="80"/>
            <w:tcMar>
              <w:top w:w="15" w:type="dxa"/>
              <w:left w:w="108" w:type="dxa"/>
              <w:bottom w:w="0" w:type="dxa"/>
              <w:right w:w="108" w:type="dxa"/>
            </w:tcMar>
            <w:vAlign w:val="center"/>
          </w:tcPr>
          <w:p>
            <w:pPr>
              <w:jc w:val="center"/>
              <w:rPr>
                <w:color w:val="FFFFFF" w:themeColor="background1"/>
                <w:lang w:val="hr-HR"/>
                <w14:textFill>
                  <w14:solidFill>
                    <w14:schemeClr w14:val="bg1"/>
                  </w14:solidFill>
                </w14:textFill>
              </w:rPr>
            </w:pPr>
            <w:r>
              <w:rPr>
                <w:b/>
                <w:bCs/>
                <w:color w:val="FFFFFF" w:themeColor="background1"/>
                <w:lang w:val="sr-Cyrl-RS"/>
                <w14:textFill>
                  <w14:solidFill>
                    <w14:schemeClr w14:val="bg1"/>
                  </w14:solidFill>
                </w14:textFill>
              </w:rPr>
              <w:t>Компаративне предности</w:t>
            </w:r>
          </w:p>
        </w:tc>
        <w:tc>
          <w:tcPr>
            <w:tcW w:w="3317" w:type="dxa"/>
            <w:shd w:val="clear" w:color="auto" w:fill="385623" w:themeFill="accent6" w:themeFillShade="80"/>
            <w:tcMar>
              <w:top w:w="15" w:type="dxa"/>
              <w:left w:w="108" w:type="dxa"/>
              <w:bottom w:w="0" w:type="dxa"/>
              <w:right w:w="108" w:type="dxa"/>
            </w:tcMar>
            <w:vAlign w:val="center"/>
          </w:tcPr>
          <w:p>
            <w:pPr>
              <w:jc w:val="center"/>
              <w:rPr>
                <w:color w:val="FFFFFF" w:themeColor="background1"/>
                <w:lang w:val="hr-HR"/>
                <w14:textFill>
                  <w14:solidFill>
                    <w14:schemeClr w14:val="bg1"/>
                  </w14:solidFill>
                </w14:textFill>
              </w:rPr>
            </w:pPr>
            <w:r>
              <w:rPr>
                <w:b/>
                <w:bCs/>
                <w:color w:val="FFFFFF" w:themeColor="background1"/>
                <w:lang w:val="sr-Cyrl-RS"/>
                <w14:textFill>
                  <w14:solidFill>
                    <w14:schemeClr w14:val="bg1"/>
                  </w14:solidFill>
                </w14:textFill>
              </w:rPr>
              <w:t>Конкурентске предности</w:t>
            </w:r>
          </w:p>
        </w:tc>
        <w:tc>
          <w:tcPr>
            <w:tcW w:w="3137" w:type="dxa"/>
            <w:shd w:val="clear" w:color="auto" w:fill="385623" w:themeFill="accent6" w:themeFillShade="80"/>
            <w:tcMar>
              <w:top w:w="15" w:type="dxa"/>
              <w:left w:w="108" w:type="dxa"/>
              <w:bottom w:w="0" w:type="dxa"/>
              <w:right w:w="108" w:type="dxa"/>
            </w:tcMar>
            <w:vAlign w:val="center"/>
          </w:tcPr>
          <w:p>
            <w:pPr>
              <w:jc w:val="center"/>
              <w:rPr>
                <w:color w:val="FFFFFF" w:themeColor="background1"/>
                <w:lang w:val="hr-HR"/>
                <w14:textFill>
                  <w14:solidFill>
                    <w14:schemeClr w14:val="bg1"/>
                  </w14:solidFill>
                </w14:textFill>
              </w:rPr>
            </w:pPr>
            <w:r>
              <w:rPr>
                <w:b/>
                <w:bCs/>
                <w:color w:val="FFFFFF" w:themeColor="background1"/>
                <w:lang w:val="sr-Cyrl-RS"/>
                <w14:textFill>
                  <w14:solidFill>
                    <w14:schemeClr w14:val="bg1"/>
                  </w14:solidFill>
                </w14:textFill>
              </w:rPr>
              <w:t>Јединствене предности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Стратешки положај</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Карактеристике главног града и административни центар – добра сарадња са републичким институцијама</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 xml:space="preserve">Географски положај </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Близина међународног тржишта – Хрватска, Словенија, Србија</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Развијена саобраћајна инфраструктура  и комуникационе мреже у земљи и иностранству</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Аеродром</w:t>
            </w:r>
          </w:p>
          <w:p>
            <w:pPr>
              <w:rPr>
                <w:lang w:val="sr-Cyrl-RS"/>
              </w:rPr>
            </w:pPr>
            <w:r>
              <w:rPr>
                <w:lang w:val="sr-Cyrl-RS"/>
              </w:rPr>
              <w:t>Аутопут – веза са Коридором Х</w:t>
            </w:r>
          </w:p>
          <w:p>
            <w:pPr>
              <w:rPr>
                <w:lang w:val="sr-Cyrl-RS"/>
              </w:rPr>
            </w:pPr>
            <w:r>
              <w:rPr>
                <w:lang w:val="sr-Cyrl-RS"/>
              </w:rPr>
              <w:t>Даље повезивање путне мреже – Коридор С3</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Један од најзеленијих градова Европе</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Уређени паркови, велике зелене површине и алеје уљепшавају изглед града и чине ваздух чистијим</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Атрактивна дестинација за потенцијалне инвеститоре</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 xml:space="preserve">Град сертификован као  повољно пословно окружење у Југоисточној Европи (посједовање </w:t>
            </w:r>
            <w:r>
              <w:rPr>
                <w:lang w:val="sr-Latn-RS"/>
              </w:rPr>
              <w:t>BFC SEE</w:t>
            </w:r>
            <w:r>
              <w:rPr>
                <w:lang w:val="sr-Cyrl-RS"/>
              </w:rPr>
              <w:t xml:space="preserve"> цертификата)</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Универзитетски центар регије у којем се школују квалитетни високошколски кадрови</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 xml:space="preserve">Универзитет Бања Лука и неколико приватних универзитета са </w:t>
            </w:r>
          </w:p>
          <w:p>
            <w:pPr>
              <w:rPr>
                <w:lang w:val="sr-Cyrl-RS"/>
              </w:rPr>
            </w:pPr>
            <w:r>
              <w:rPr>
                <w:lang w:val="sr-Cyrl-RS"/>
              </w:rPr>
              <w:t xml:space="preserve">великим бројем факултета </w:t>
            </w:r>
            <w:r>
              <w:rPr>
                <w:lang w:val="sr-Latn-RS"/>
              </w:rPr>
              <w:t>I,II</w:t>
            </w:r>
            <w:r>
              <w:rPr>
                <w:lang w:val="sr-Cyrl-RS"/>
              </w:rPr>
              <w:t xml:space="preserve"> и</w:t>
            </w:r>
            <w:r>
              <w:rPr>
                <w:lang w:val="sr-Latn-RS"/>
              </w:rPr>
              <w:t xml:space="preserve"> III</w:t>
            </w:r>
            <w:r>
              <w:rPr>
                <w:lang w:val="sr-Cyrl-RS"/>
              </w:rPr>
              <w:t xml:space="preserve"> циклуса студија</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Развијена мрежа здравствених институција</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Развијен здравствени туризам (медицинска рехабилитација, дентални туризам, естетска хирургија)</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Разноврсни природни ресурси и обновљиви извори енергије</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Коришћење биомасе за гријање од 2017/18. године</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Термалне воде</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Потенцијал за коришћење термалних вода за бањски туризам</w:t>
            </w:r>
          </w:p>
        </w:tc>
        <w:tc>
          <w:tcPr>
            <w:tcW w:w="3137" w:type="dxa"/>
            <w:shd w:val="clear" w:color="auto" w:fill="A8D08D" w:themeFill="accent6" w:themeFillTint="99"/>
            <w:tcMar>
              <w:top w:w="15" w:type="dxa"/>
              <w:left w:w="108" w:type="dxa"/>
              <w:bottom w:w="0" w:type="dxa"/>
              <w:right w:w="108" w:type="dxa"/>
            </w:tcMar>
          </w:tcPr>
          <w:p>
            <w:pPr>
              <w:rPr>
                <w:lang w:val="hr-HR"/>
              </w:rPr>
            </w:pPr>
            <w:r>
              <w:rPr>
                <w:lang w:val="sr-Cyrl-RS"/>
              </w:rPr>
              <w:t>Врућице – природне бањице вруће воде поред Врбаса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 xml:space="preserve">Хидроенергетски потенцијали </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Изградња хидроцентрале и мини-хидроцентрала</w:t>
            </w:r>
          </w:p>
        </w:tc>
        <w:tc>
          <w:tcPr>
            <w:tcW w:w="3137" w:type="dxa"/>
            <w:shd w:val="clear" w:color="auto" w:fill="A8D08D" w:themeFill="accent6" w:themeFillTint="99"/>
            <w:tcMar>
              <w:top w:w="15" w:type="dxa"/>
              <w:left w:w="108" w:type="dxa"/>
              <w:bottom w:w="0" w:type="dxa"/>
              <w:right w:w="108" w:type="dxa"/>
            </w:tcMar>
          </w:tcPr>
          <w:p>
            <w:pPr>
              <w:rPr>
                <w:lang w:val="hr-HR"/>
              </w:rPr>
            </w:pPr>
          </w:p>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Потенцијал ријеке Врбас за развој туризма</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Развијен рафтинг на Врбасу са пратећом понудом, садржајем и услугама</w:t>
            </w:r>
          </w:p>
        </w:tc>
        <w:tc>
          <w:tcPr>
            <w:tcW w:w="3137" w:type="dxa"/>
            <w:shd w:val="clear" w:color="auto" w:fill="A8D08D" w:themeFill="accent6" w:themeFillTint="99"/>
            <w:tcMar>
              <w:top w:w="15" w:type="dxa"/>
              <w:left w:w="108" w:type="dxa"/>
              <w:bottom w:w="0" w:type="dxa"/>
              <w:right w:w="108" w:type="dxa"/>
            </w:tcMar>
          </w:tcPr>
          <w:p>
            <w:pPr>
              <w:rPr>
                <w:lang w:val="sr-Cyrl-RS"/>
              </w:rPr>
            </w:pPr>
            <w:r>
              <w:rPr>
                <w:lang w:val="sr-Cyrl-RS"/>
              </w:rPr>
              <w:t>Ноћни рафтинг н</w:t>
            </w:r>
            <w:r>
              <w:rPr>
                <w:lang w:val="hr-HR"/>
              </w:rPr>
              <w:t>a</w:t>
            </w:r>
            <w:r>
              <w:rPr>
                <w:lang w:val="sr-Cyrl-RS"/>
              </w:rPr>
              <w:t xml:space="preserve"> Врбасу (на освијетљеним стазама)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Тврђава Кастел као културно-историјски споменик</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Тврђава Кастел као локација одржавања бројних културних догађаја и манифестација</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Производи и услуге са потенцијалом за брендирање</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Брендирани производи и услуге</w:t>
            </w:r>
          </w:p>
        </w:tc>
        <w:tc>
          <w:tcPr>
            <w:tcW w:w="3137" w:type="dxa"/>
            <w:shd w:val="clear" w:color="auto" w:fill="A8D08D" w:themeFill="accent6" w:themeFillTint="99"/>
            <w:tcMar>
              <w:top w:w="15" w:type="dxa"/>
              <w:left w:w="108" w:type="dxa"/>
              <w:bottom w:w="0" w:type="dxa"/>
              <w:right w:w="108" w:type="dxa"/>
            </w:tcMar>
          </w:tcPr>
          <w:p>
            <w:pPr>
              <w:rPr>
                <w:lang w:val="hr-HR"/>
              </w:rPr>
            </w:pPr>
            <w:r>
              <w:rPr>
                <w:lang w:val="sr-Cyrl-RS"/>
              </w:rPr>
              <w:t>Змијањски вез, дајак, бањалучки ћевап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Развијен манифестациони туризам</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Велики број препознатљивих етно и других фестивала, спортских и културних догађаја</w:t>
            </w:r>
          </w:p>
        </w:tc>
        <w:tc>
          <w:tcPr>
            <w:tcW w:w="3137" w:type="dxa"/>
            <w:shd w:val="clear" w:color="auto" w:fill="A8D08D" w:themeFill="accent6" w:themeFillTint="99"/>
            <w:tcMar>
              <w:top w:w="15" w:type="dxa"/>
              <w:left w:w="108" w:type="dxa"/>
              <w:bottom w:w="0" w:type="dxa"/>
              <w:right w:w="108" w:type="dxa"/>
            </w:tcMar>
          </w:tcPr>
          <w:p>
            <w:pPr>
              <w:rPr>
                <w:lang w:val="sr-Cyrl-RS"/>
              </w:rPr>
            </w:pPr>
            <w:r>
              <w:rPr>
                <w:i/>
                <w:lang w:val="en-GB"/>
              </w:rPr>
              <w:t>Drill</w:t>
            </w:r>
            <w:r>
              <w:rPr>
                <w:i/>
                <w:lang w:val="sr-Cyrl-RS"/>
              </w:rPr>
              <w:t xml:space="preserve"> </w:t>
            </w:r>
            <w:r>
              <w:rPr>
                <w:i/>
                <w:lang w:val="en-GB"/>
              </w:rPr>
              <w:t>and</w:t>
            </w:r>
            <w:r>
              <w:rPr>
                <w:i/>
                <w:lang w:val="sr-Cyrl-RS"/>
              </w:rPr>
              <w:t xml:space="preserve"> </w:t>
            </w:r>
            <w:r>
              <w:rPr>
                <w:i/>
                <w:lang w:val="sr-Latn-RS"/>
              </w:rPr>
              <w:t>C</w:t>
            </w:r>
            <w:r>
              <w:rPr>
                <w:i/>
                <w:lang w:val="en-GB"/>
              </w:rPr>
              <w:t>hill</w:t>
            </w:r>
            <w:r>
              <w:rPr>
                <w:lang w:val="sr-Cyrl-RS"/>
              </w:rPr>
              <w:t xml:space="preserve"> фестивал,</w:t>
            </w:r>
          </w:p>
          <w:p>
            <w:pPr>
              <w:rPr>
                <w:lang w:val="sr-Cyrl-RS"/>
              </w:rPr>
            </w:pPr>
            <w:r>
              <w:rPr>
                <w:lang w:val="sr-Cyrl-RS"/>
              </w:rPr>
              <w:t>Демо-фест</w:t>
            </w:r>
            <w:r>
              <w:rPr>
                <w:lang w:val="sr-Latn-RS"/>
              </w:rPr>
              <w:t>, Ko</w:t>
            </w:r>
            <w:r>
              <w:rPr>
                <w:lang w:val="sr-Cyrl-RS"/>
              </w:rPr>
              <w:t>чићев збор, Ћевап фест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Богато културно-историјско насљеђе</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Кандидатура за Европску престоницу културе</w:t>
            </w:r>
          </w:p>
        </w:tc>
        <w:tc>
          <w:tcPr>
            <w:tcW w:w="3137" w:type="dxa"/>
            <w:shd w:val="clear" w:color="auto" w:fill="A8D08D" w:themeFill="accent6" w:themeFillTint="99"/>
            <w:tcMar>
              <w:top w:w="15" w:type="dxa"/>
              <w:left w:w="108" w:type="dxa"/>
              <w:bottom w:w="0" w:type="dxa"/>
              <w:right w:w="108" w:type="dxa"/>
            </w:tcMa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Развијена угоститељска понуда</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Велики број угоститељских објеката са препознаљивом гастрономском понудом</w:t>
            </w:r>
          </w:p>
        </w:tc>
        <w:tc>
          <w:tcPr>
            <w:tcW w:w="3137" w:type="dxa"/>
            <w:shd w:val="clear" w:color="auto" w:fill="A8D08D" w:themeFill="accent6" w:themeFillTint="99"/>
            <w:tcMar>
              <w:top w:w="15" w:type="dxa"/>
              <w:left w:w="108" w:type="dxa"/>
              <w:bottom w:w="0" w:type="dxa"/>
              <w:right w:w="108" w:type="dxa"/>
            </w:tcMar>
          </w:tcPr>
          <w:p>
            <w:pPr>
              <w:rPr>
                <w:lang w:val="sr-Latn-R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 xml:space="preserve">Квалитетни и компетентни </w:t>
            </w:r>
            <w:r>
              <w:t xml:space="preserve">ИT </w:t>
            </w:r>
            <w:r>
              <w:rPr>
                <w:lang w:val="sr-Cyrl-RS"/>
              </w:rPr>
              <w:t>кадрови</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 xml:space="preserve">Развијен приватни сектор у области </w:t>
            </w:r>
            <w:r>
              <w:t xml:space="preserve">ИT </w:t>
            </w:r>
            <w:r>
              <w:rPr>
                <w:lang w:val="sr-Cyrl-RS"/>
              </w:rPr>
              <w:t>индустрије</w:t>
            </w:r>
          </w:p>
        </w:tc>
        <w:tc>
          <w:tcPr>
            <w:tcW w:w="3137" w:type="dxa"/>
            <w:shd w:val="clear" w:color="auto" w:fill="A8D08D" w:themeFill="accent6" w:themeFillTint="99"/>
            <w:tcMar>
              <w:top w:w="15" w:type="dxa"/>
              <w:left w:w="108" w:type="dxa"/>
              <w:bottom w:w="0" w:type="dxa"/>
              <w:right w:w="108" w:type="dxa"/>
            </w:tcMar>
            <w:vAlign w:val="cente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Добро организована Градска управа</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Дигитализација и систематски развој е-управе</w:t>
            </w:r>
          </w:p>
        </w:tc>
        <w:tc>
          <w:tcPr>
            <w:tcW w:w="3137" w:type="dxa"/>
            <w:shd w:val="clear" w:color="auto" w:fill="A8D08D" w:themeFill="accent6" w:themeFillTint="99"/>
            <w:tcMar>
              <w:top w:w="15" w:type="dxa"/>
              <w:left w:w="108" w:type="dxa"/>
              <w:bottom w:w="0" w:type="dxa"/>
              <w:right w:w="108" w:type="dxa"/>
            </w:tcMar>
            <w:vAlign w:val="center"/>
          </w:tcPr>
          <w:p>
            <w:pPr>
              <w:rPr>
                <w:lang w:val="hr-H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50" w:hRule="atLeast"/>
        </w:trPr>
        <w:tc>
          <w:tcPr>
            <w:tcW w:w="3122" w:type="dxa"/>
            <w:shd w:val="clear" w:color="auto" w:fill="E2EFD9" w:themeFill="accent6" w:themeFillTint="33"/>
            <w:tcMar>
              <w:top w:w="15" w:type="dxa"/>
              <w:left w:w="108" w:type="dxa"/>
              <w:bottom w:w="0" w:type="dxa"/>
              <w:right w:w="108" w:type="dxa"/>
            </w:tcMar>
            <w:vAlign w:val="center"/>
          </w:tcPr>
          <w:p>
            <w:pPr>
              <w:rPr>
                <w:lang w:val="sr-Cyrl-RS"/>
              </w:rPr>
            </w:pPr>
            <w:r>
              <w:rPr>
                <w:lang w:val="sr-Cyrl-RS"/>
              </w:rPr>
              <w:t>Развијен систем комуналних и других услуга за грађање</w:t>
            </w:r>
          </w:p>
        </w:tc>
        <w:tc>
          <w:tcPr>
            <w:tcW w:w="3317" w:type="dxa"/>
            <w:shd w:val="clear" w:color="auto" w:fill="C5E0B3" w:themeFill="accent6" w:themeFillTint="66"/>
            <w:tcMar>
              <w:top w:w="15" w:type="dxa"/>
              <w:left w:w="108" w:type="dxa"/>
              <w:bottom w:w="0" w:type="dxa"/>
              <w:right w:w="108" w:type="dxa"/>
            </w:tcMar>
            <w:vAlign w:val="center"/>
          </w:tcPr>
          <w:p>
            <w:pPr>
              <w:rPr>
                <w:lang w:val="sr-Cyrl-RS"/>
              </w:rPr>
            </w:pPr>
            <w:r>
              <w:rPr>
                <w:lang w:val="sr-Cyrl-RS"/>
              </w:rPr>
              <w:t xml:space="preserve">Систематски развој  „паметних услуга“ (електронске наплатне станице за издавање паркинг картица које се напајају на соларну енергију, е-регистар прописа) и даље увођење </w:t>
            </w:r>
            <w:r>
              <w:rPr>
                <w:lang w:val="sr-Latn-RS"/>
              </w:rPr>
              <w:t xml:space="preserve">Smart City </w:t>
            </w:r>
            <w:r>
              <w:rPr>
                <w:lang w:val="sr-Cyrl-RS"/>
              </w:rPr>
              <w:t>обиљежја</w:t>
            </w:r>
          </w:p>
        </w:tc>
        <w:tc>
          <w:tcPr>
            <w:tcW w:w="3137" w:type="dxa"/>
            <w:shd w:val="clear" w:color="auto" w:fill="A8D08D" w:themeFill="accent6" w:themeFillTint="99"/>
            <w:tcMar>
              <w:top w:w="15" w:type="dxa"/>
              <w:left w:w="108" w:type="dxa"/>
              <w:bottom w:w="0" w:type="dxa"/>
              <w:right w:w="108" w:type="dxa"/>
            </w:tcMar>
            <w:vAlign w:val="center"/>
          </w:tcPr>
          <w:p>
            <w:pPr>
              <w:rPr>
                <w:lang w:val="hr-HR"/>
              </w:rPr>
            </w:pPr>
          </w:p>
        </w:tc>
      </w:tr>
    </w:tbl>
    <w:p>
      <w:pPr>
        <w:spacing w:after="160" w:line="259" w:lineRule="auto"/>
        <w:jc w:val="both"/>
        <w:rPr>
          <w:rFonts w:eastAsia="Times New Roman" w:asciiTheme="minorHAnsi" w:hAnsiTheme="minorHAnsi"/>
          <w:b/>
          <w:bCs/>
          <w:kern w:val="32"/>
          <w:lang w:val="sr-Cyrl-CS"/>
        </w:rPr>
      </w:pPr>
    </w:p>
    <w:p>
      <w:pPr>
        <w:pStyle w:val="13"/>
        <w:spacing w:after="120"/>
        <w:rPr>
          <w:rFonts w:eastAsia="Times New Roman"/>
          <w:b/>
          <w:bCs/>
          <w:i/>
          <w:kern w:val="32"/>
          <w:sz w:val="22"/>
          <w:szCs w:val="22"/>
        </w:rPr>
      </w:pPr>
      <w:r>
        <w:rPr>
          <w:rFonts w:eastAsia="Times New Roman"/>
          <w:b/>
          <w:bCs/>
          <w:i/>
          <w:kern w:val="32"/>
          <w:sz w:val="22"/>
          <w:szCs w:val="22"/>
        </w:rPr>
        <w:t>Стратешки фокуси</w:t>
      </w:r>
    </w:p>
    <w:p>
      <w:pPr>
        <w:widowControl w:val="0"/>
        <w:suppressAutoHyphens/>
        <w:spacing w:line="276" w:lineRule="auto"/>
        <w:jc w:val="both"/>
        <w:rPr>
          <w:rFonts w:eastAsia="Lucida Sans Unicode"/>
          <w:kern w:val="1"/>
          <w:szCs w:val="24"/>
          <w:lang w:val="sr-Cyrl-RS" w:eastAsia="hr-HR"/>
        </w:rPr>
      </w:pPr>
      <w:r>
        <w:rPr>
          <w:rFonts w:eastAsia="Lucida Sans Unicode"/>
          <w:kern w:val="1"/>
          <w:szCs w:val="24"/>
          <w:lang w:val="sr-Cyrl-RS" w:eastAsia="hr-HR"/>
        </w:rPr>
        <w:t>На основу детаљне ситуационе анализе, као и и</w:t>
      </w:r>
      <w:r>
        <w:rPr>
          <w:rFonts w:eastAsia="Lucida Sans Unicode"/>
          <w:kern w:val="1"/>
          <w:szCs w:val="24"/>
          <w:lang w:eastAsia="hr-HR"/>
        </w:rPr>
        <w:t xml:space="preserve">здвајањем </w:t>
      </w:r>
      <w:r>
        <w:rPr>
          <w:rFonts w:eastAsia="Lucida Sans Unicode"/>
          <w:kern w:val="1"/>
          <w:szCs w:val="24"/>
          <w:lang w:val="sr-Cyrl-RS" w:eastAsia="hr-HR"/>
        </w:rPr>
        <w:t>компаративних,</w:t>
      </w:r>
      <w:r>
        <w:rPr>
          <w:rFonts w:eastAsia="Lucida Sans Unicode"/>
          <w:kern w:val="1"/>
          <w:szCs w:val="24"/>
          <w:lang w:eastAsia="hr-HR"/>
        </w:rPr>
        <w:t xml:space="preserve"> конкурентских </w:t>
      </w:r>
      <w:r>
        <w:rPr>
          <w:rFonts w:eastAsia="Lucida Sans Unicode"/>
          <w:kern w:val="1"/>
          <w:szCs w:val="24"/>
          <w:lang w:val="sr-Cyrl-RS" w:eastAsia="hr-HR"/>
        </w:rPr>
        <w:t xml:space="preserve">и јединствених </w:t>
      </w:r>
      <w:r>
        <w:rPr>
          <w:rFonts w:eastAsia="Lucida Sans Unicode"/>
          <w:kern w:val="1"/>
          <w:szCs w:val="24"/>
          <w:lang w:eastAsia="hr-HR"/>
        </w:rPr>
        <w:t>предности и њиховим спајањем са вањским приликама, с једне стране, и повезивање</w:t>
      </w:r>
      <w:r>
        <w:rPr>
          <w:rFonts w:eastAsia="Lucida Sans Unicode"/>
          <w:kern w:val="1"/>
          <w:szCs w:val="24"/>
          <w:lang w:val="sr-Cyrl-RS" w:eastAsia="hr-HR"/>
        </w:rPr>
        <w:t>м</w:t>
      </w:r>
      <w:r>
        <w:rPr>
          <w:rFonts w:eastAsia="Lucida Sans Unicode"/>
          <w:kern w:val="1"/>
          <w:szCs w:val="24"/>
          <w:lang w:eastAsia="hr-HR"/>
        </w:rPr>
        <w:t xml:space="preserve"> слабости и пријетњи, с </w:t>
      </w:r>
      <w:r>
        <w:rPr>
          <w:rFonts w:eastAsia="Lucida Sans Unicode"/>
          <w:kern w:val="1"/>
          <w:szCs w:val="24"/>
          <w:lang w:val="sr-Cyrl-CS" w:eastAsia="hr-HR"/>
        </w:rPr>
        <w:t xml:space="preserve"> </w:t>
      </w:r>
      <w:r>
        <w:rPr>
          <w:rFonts w:eastAsia="Lucida Sans Unicode"/>
          <w:kern w:val="1"/>
          <w:szCs w:val="24"/>
          <w:lang w:eastAsia="hr-HR"/>
        </w:rPr>
        <w:t xml:space="preserve">друге стране, </w:t>
      </w:r>
      <w:r>
        <w:rPr>
          <w:rFonts w:eastAsia="Lucida Sans Unicode"/>
          <w:kern w:val="1"/>
          <w:lang w:eastAsia="hr-HR"/>
        </w:rPr>
        <w:t xml:space="preserve">Развојни тим </w:t>
      </w:r>
      <w:r>
        <w:rPr>
          <w:rFonts w:eastAsia="Lucida Sans Unicode"/>
          <w:kern w:val="1"/>
          <w:lang w:val="sr-Cyrl-RS" w:eastAsia="hr-HR"/>
        </w:rPr>
        <w:t xml:space="preserve">града Бања Лука уз стручну помоћ консултаната, </w:t>
      </w:r>
      <w:r>
        <w:rPr>
          <w:rFonts w:eastAsia="Lucida Sans Unicode"/>
          <w:kern w:val="1"/>
          <w:szCs w:val="24"/>
          <w:lang w:val="sr-Cyrl-RS" w:eastAsia="hr-HR"/>
        </w:rPr>
        <w:t xml:space="preserve">препознао је и предложио Партнерској групи и широј локалној заједници стратешке </w:t>
      </w:r>
      <w:r>
        <w:rPr>
          <w:rFonts w:eastAsia="Lucida Sans Unicode"/>
          <w:kern w:val="1"/>
          <w:szCs w:val="24"/>
          <w:lang w:eastAsia="hr-HR"/>
        </w:rPr>
        <w:t>фокус</w:t>
      </w:r>
      <w:r>
        <w:rPr>
          <w:rFonts w:eastAsia="Lucida Sans Unicode"/>
          <w:kern w:val="1"/>
          <w:szCs w:val="24"/>
          <w:lang w:val="sr-Cyrl-RS" w:eastAsia="hr-HR"/>
        </w:rPr>
        <w:t>е</w:t>
      </w:r>
      <w:r>
        <w:rPr>
          <w:rFonts w:eastAsia="Lucida Sans Unicode"/>
          <w:kern w:val="1"/>
          <w:szCs w:val="24"/>
          <w:lang w:eastAsia="hr-HR"/>
        </w:rPr>
        <w:t xml:space="preserve"> </w:t>
      </w:r>
      <w:r>
        <w:rPr>
          <w:rFonts w:eastAsia="Lucida Sans Unicode"/>
          <w:kern w:val="1"/>
          <w:szCs w:val="24"/>
          <w:lang w:val="sr-Cyrl-RS" w:eastAsia="hr-HR"/>
        </w:rPr>
        <w:t>у</w:t>
      </w:r>
      <w:r>
        <w:rPr>
          <w:rFonts w:eastAsia="Lucida Sans Unicode"/>
          <w:kern w:val="1"/>
          <w:szCs w:val="24"/>
          <w:lang w:eastAsia="hr-HR"/>
        </w:rPr>
        <w:t xml:space="preserve"> наред</w:t>
      </w:r>
      <w:r>
        <w:rPr>
          <w:rFonts w:eastAsia="Lucida Sans Unicode"/>
          <w:kern w:val="1"/>
          <w:szCs w:val="24"/>
          <w:lang w:val="sr-Cyrl-RS" w:eastAsia="hr-HR"/>
        </w:rPr>
        <w:t>них десет година:</w:t>
      </w:r>
    </w:p>
    <w:p>
      <w:pPr>
        <w:widowControl w:val="0"/>
        <w:suppressAutoHyphens/>
        <w:spacing w:line="276" w:lineRule="auto"/>
        <w:jc w:val="both"/>
        <w:rPr>
          <w:rFonts w:eastAsia="Lucida Sans Unicode"/>
          <w:kern w:val="1"/>
          <w:szCs w:val="24"/>
          <w:lang w:val="sr-Cyrl-RS" w:eastAsia="hr-HR"/>
        </w:rPr>
      </w:pPr>
    </w:p>
    <w:p>
      <w:pPr>
        <w:pStyle w:val="46"/>
        <w:numPr>
          <w:ilvl w:val="0"/>
          <w:numId w:val="36"/>
        </w:numPr>
        <w:spacing w:before="0" w:after="160" w:line="259" w:lineRule="auto"/>
        <w:rPr>
          <w:lang w:val="sr-Cyrl-RS"/>
        </w:rPr>
      </w:pPr>
      <w:r>
        <w:rPr>
          <w:b/>
          <w:lang w:val="sr-Cyrl-RS"/>
        </w:rPr>
        <w:t>Унапређење повољног пословног окружења</w:t>
      </w:r>
      <w:r>
        <w:rPr>
          <w:b/>
          <w:lang w:val="sr-Latn-RS"/>
        </w:rPr>
        <w:t>,</w:t>
      </w:r>
      <w:r>
        <w:rPr>
          <w:b/>
          <w:lang w:val="sr-Cyrl-RS"/>
        </w:rPr>
        <w:t xml:space="preserve"> јачање локалне привреде, пољопривреде и туризма и привлачење нових директних инвестиција</w:t>
      </w:r>
      <w:r>
        <w:rPr>
          <w:rStyle w:val="31"/>
          <w:b/>
          <w:lang w:val="sr-Cyrl-RS"/>
        </w:rPr>
        <w:footnoteReference w:id="96"/>
      </w:r>
      <w:r>
        <w:rPr>
          <w:b/>
          <w:lang w:val="sr-Cyrl-RS"/>
        </w:rPr>
        <w:t xml:space="preserve">  </w:t>
      </w:r>
    </w:p>
    <w:p>
      <w:pPr>
        <w:spacing w:after="160" w:line="259" w:lineRule="auto"/>
        <w:jc w:val="both"/>
        <w:rPr>
          <w:lang w:val="sr-Cyrl-RS"/>
        </w:rPr>
      </w:pPr>
      <w:r>
        <w:rPr>
          <w:lang w:val="sr-Cyrl-RS"/>
        </w:rPr>
        <w:t xml:space="preserve">Унапређење повољног пословног окружења је предуслов за јачање локалне привреде, а улога Градске управе у том процесу, као и сарадња са приватним сектором путем јавно-приватног дијалога и партнерства, су од кључног значаја. Повољно пословно окружење подразумијева обезбјеђење адекватних услова за оснивање, раст и развој локалних МСП и предузетништва; предвидљивост и стабилност услова пословања; осигурање адекватних јавних политика на локалном нивоу (стратегија, програма, мјера, итд.) и предлагање иницијатива за унапређење законодавства и јавних политика на вишим нивоима. </w:t>
      </w:r>
    </w:p>
    <w:p>
      <w:pPr>
        <w:spacing w:after="160" w:line="259" w:lineRule="auto"/>
        <w:jc w:val="both"/>
        <w:rPr>
          <w:lang w:val="sr-Cyrl-RS"/>
        </w:rPr>
      </w:pPr>
      <w:r>
        <w:rPr>
          <w:lang w:val="sr-Cyrl-RS"/>
        </w:rPr>
        <w:t xml:space="preserve">Јавно-приватни дијалог ће се и даље промовисати и одвијати са свим актерима – кроз рад Савјета за економска питања и развој (Привредни савјет), анкетирање привредника, директне контакте са представницима инвеститора и МСП, предузетницима, сајмове, форуме, округле столове са привредницима, организацију </w:t>
      </w:r>
      <w:r>
        <w:rPr>
          <w:lang w:val="en-US"/>
        </w:rPr>
        <w:t>B</w:t>
      </w:r>
      <w:r>
        <w:rPr>
          <w:lang w:val="sr-Cyrl-RS"/>
        </w:rPr>
        <w:t>2</w:t>
      </w:r>
      <w:r>
        <w:rPr>
          <w:lang w:val="en-US"/>
        </w:rPr>
        <w:t>B</w:t>
      </w:r>
      <w:r>
        <w:rPr>
          <w:lang w:val="sr-Cyrl-RS"/>
        </w:rPr>
        <w:t xml:space="preserve"> сусрета и др.</w:t>
      </w:r>
    </w:p>
    <w:p>
      <w:pPr>
        <w:spacing w:after="160" w:line="259" w:lineRule="auto"/>
        <w:jc w:val="both"/>
        <w:rPr>
          <w:lang w:val="sr-Cyrl-RS"/>
        </w:rPr>
      </w:pPr>
      <w:r>
        <w:rPr>
          <w:lang w:val="sr-Cyrl-RS"/>
        </w:rPr>
        <w:t xml:space="preserve">Јачање јавно-приватног дијалога кључно је за боље разумијевања потреба привредника, њихових планова за развој, као и прикупљања приједлога и иницијатива за побољшање конкурентности локалних МСП и предузетника, како на домаћем, тако и на иностраном тржишту. Градска управа је покретач јавно-приватног дијалога, кључни актер у стварању повољних услова за привлачење домаћих и страних инвестиција и стратешком управљању локалним економским развојем. У том смислу, јачање капацитета локалне управе за континуирано праћење, прикупљање и анализу  података са циљем налажења адекватних рјешења за конкретне проблеме привредног сектора,  препознато је као један од битних фокуса у наредном периоду. </w:t>
      </w:r>
    </w:p>
    <w:p>
      <w:pPr>
        <w:spacing w:after="160" w:line="259" w:lineRule="auto"/>
        <w:jc w:val="both"/>
        <w:rPr>
          <w:lang w:val="sr-Cyrl-RS"/>
        </w:rPr>
      </w:pPr>
      <w:r>
        <w:rPr>
          <w:lang w:val="sr-Cyrl-RS"/>
        </w:rPr>
        <w:t>Такође, овај стратешки фокус обухвата даље унапређење политике управљања градским грађевинским и пољопривредним земљиштем; израду планске документације за потребе грађења пословних зона и објаката (и њена дигитализација – у складу са другим стратешким фокусом); рјешавање правно-имовинских односа на локацијама за инвестирање и њихово инфраструктурно уређење. Посебан значај има унапређење постојећих и развој нових пословних зона при чему је неопходна адекватна промоција понуде пословних зона за инвеститоре, превасходно за индустријске капацитете. Осим изградње пословне, комуналне и саобраћајне инфраструктуре, развој пословних зона захтијева транспарентан и свеобухватан система подстицаја, предвидљивост трошкова пословања, а прије свега, поједностављене административне процедуре.</w:t>
      </w:r>
    </w:p>
    <w:p>
      <w:pPr>
        <w:spacing w:after="160" w:line="259" w:lineRule="auto"/>
        <w:jc w:val="both"/>
        <w:rPr>
          <w:lang w:val="sr-Cyrl-CS"/>
        </w:rPr>
      </w:pPr>
      <w:r>
        <w:rPr>
          <w:lang w:val="sr-Cyrl-RS"/>
        </w:rPr>
        <w:t xml:space="preserve">Повољно пословно окружење подразумијева развијен систем основних и напредних услуга за приватни сектор, од којих многе почивају на принципима е-управе. Стога, унапређење постојећих и увођење нових услуга за привреднике - постојеће и будуће инвеститоре, нарочито побољшање услуга за издавање различитих дозвола у надлежности Градске управе, ће бити један од кључних задатака овог стратешког фокуса, али стратешког фокуса који се односи </w:t>
      </w:r>
      <w:r>
        <w:rPr>
          <w:lang w:val="sr-Latn-CS"/>
        </w:rPr>
        <w:t>Smart City.</w:t>
      </w:r>
    </w:p>
    <w:p>
      <w:pPr>
        <w:spacing w:after="160" w:line="259" w:lineRule="auto"/>
        <w:jc w:val="both"/>
        <w:rPr>
          <w:lang w:val="sr-Cyrl-RS"/>
        </w:rPr>
      </w:pPr>
      <w:r>
        <w:rPr>
          <w:lang w:val="sr-Cyrl-RS"/>
        </w:rPr>
        <w:t>Промоција града Бања Лука, као повољне локације за инвестирање, обухвата активности усмјерене на циљано и систематско привлачење како домаћих, тако и страних инвеститора. Унапрјеђење промотивних материјала, садржаја намијењених потенцијалним инвеститорима на интернет страници града, директни контакти са инвеститорима путем разних комуникационих канала, те јачање капацитета Градске управе за сарадњу са инвеститорима требало би, између осталог, значајно допринијети повећању нових инвестиција на подручју града.</w:t>
      </w:r>
    </w:p>
    <w:p>
      <w:pPr>
        <w:spacing w:after="160" w:line="259" w:lineRule="auto"/>
        <w:jc w:val="both"/>
        <w:rPr>
          <w:lang w:val="sr-Cyrl-RS"/>
        </w:rPr>
      </w:pPr>
      <w:r>
        <w:rPr>
          <w:lang w:val="sr-Cyrl-RS"/>
        </w:rPr>
        <w:t xml:space="preserve">На основу ситуационе анализе, утврђено је да су улагања у развој прерађивачке индустрије и успостављање функционалних механизама за развој радне снаге у складу са потребама тржишта рада стратешки важни за будући развој града. Ово се посебно односи на сектор ИТ, електроенергетски сектор, сектор металопрераде, дрвопрераде, текстилно-кожарске индустрије и прехрамбене индустрије. Нарочито у прерађивачкој индустрији, брзи развој технологија и потребе на тржишту радне снаге, захтјевају радну снагу која, осим знања добијених током редовног школовања има и практична знања, која све више подразумевају управљање сложеним производним процесима и руковање компјутеризованим машинама и алатима, што често захтева виши степен стручности и континуирано усавршавање. </w:t>
      </w:r>
    </w:p>
    <w:p>
      <w:pPr>
        <w:jc w:val="both"/>
        <w:rPr>
          <w:lang w:val="sr-Cyrl-RS"/>
        </w:rPr>
      </w:pPr>
      <w:r>
        <w:rPr>
          <w:lang w:val="sr-Cyrl-RS"/>
        </w:rPr>
        <w:t>Према последњем попису становништва из 2013. године, готово једна четвртина становника Бања Луке живи у руралном подручју (44.997), односно, на селу и приградским насељима. Због тога је рурални развој, тј. равномеран економски развој целокупне територије Града,  важан стратешки фокус. Истраживања која су спроведена приликом припреме социо-економске анализе показала су велику несразм</w:t>
      </w:r>
      <w:r>
        <w:rPr>
          <w:lang w:val="sr-Latn-CS"/>
        </w:rPr>
        <w:t>j</w:t>
      </w:r>
      <w:r>
        <w:rPr>
          <w:lang w:val="sr-Cyrl-RS"/>
        </w:rPr>
        <w:t>еру у развијености и условима живота и рада у урбаном и сеоском подручју Града. Највећи економски проблеми са којима се суочава сеоско становништво и становништво које живи у приградским насељима је: неразвијена и/или лоша пословна инфраструктура, недостатак привредних и прерадних капацитета на селу, недостатак радне снаге услед великих миграција из села у град, неадекватан приступ тржишту, неорганизован откуп пољопривредних производа, неадекватно очување здраве животне средине, итд.</w:t>
      </w:r>
    </w:p>
    <w:p>
      <w:pPr>
        <w:jc w:val="both"/>
        <w:rPr>
          <w:lang w:val="sr-Cyrl-RS"/>
        </w:rPr>
      </w:pPr>
    </w:p>
    <w:p>
      <w:pPr>
        <w:jc w:val="both"/>
        <w:rPr>
          <w:lang w:val="sr-Cyrl-RS"/>
        </w:rPr>
      </w:pPr>
      <w:r>
        <w:rPr>
          <w:lang w:val="sr-Cyrl-RS"/>
        </w:rPr>
        <w:t>Град има велику површину пољопривредног земљишта и природне потенцијале (чист ваздух, незагађена вода, итд.). Рурално подручје Града одликује и незагађена животна средина - непостојање индустријских капацитета и великих индустријских загађивача, који ово подручје чине интеренсантним и за развој руралног туризма, здравственог и адреналинског туризма и спортског лова и риболова.</w:t>
      </w:r>
    </w:p>
    <w:p>
      <w:pPr>
        <w:jc w:val="both"/>
        <w:rPr>
          <w:lang w:val="sr-Cyrl-RS"/>
        </w:rPr>
      </w:pPr>
    </w:p>
    <w:p>
      <w:pPr>
        <w:jc w:val="both"/>
        <w:rPr>
          <w:lang w:val="sr-Cyrl-RS"/>
        </w:rPr>
      </w:pPr>
      <w:r>
        <w:rPr>
          <w:lang w:val="sr-Cyrl-RS"/>
        </w:rPr>
        <w:t>С обзиром да неки од савремених трендова на туристичком тржишту иду на руку потенцијалима са којима Бања Лука располаже, у оквиру овог стратешког циља биће стављен фокус на компаративне и конкурентске предности и њихову презентацију туристичкој јавности. Као катализатор укупног развоја туризма, а и града у цјелини, могао би да послужи тематски туризам базиран на „3Е“ принципу (</w:t>
      </w:r>
      <w:r>
        <w:rPr>
          <w:lang w:val="en-US"/>
        </w:rPr>
        <w:t>Entertainment</w:t>
      </w:r>
      <w:r>
        <w:rPr>
          <w:lang w:val="sr-Cyrl-RS"/>
        </w:rPr>
        <w:t xml:space="preserve"> – забава, </w:t>
      </w:r>
      <w:r>
        <w:rPr>
          <w:lang w:val="en-US"/>
        </w:rPr>
        <w:t>Excitement</w:t>
      </w:r>
      <w:r>
        <w:rPr>
          <w:lang w:val="sr-Cyrl-RS"/>
        </w:rPr>
        <w:t xml:space="preserve"> – узбуђење, </w:t>
      </w:r>
      <w:r>
        <w:rPr>
          <w:lang w:val="en-US"/>
        </w:rPr>
        <w:t>Education</w:t>
      </w:r>
      <w:r>
        <w:rPr>
          <w:lang w:val="sr-Cyrl-RS"/>
        </w:rPr>
        <w:t>-едукација). Тежња данашњег туристе за боравком у чистим незагађеним срединама, могла би се задовољити кроз развој руралног туризма утемељеног на одрживим основама. Овај вид туризма значи и развој слабије развијених руралних дијелова града, повећање запослености и извор додатних прихода за локално становништво.</w:t>
      </w:r>
    </w:p>
    <w:p>
      <w:pPr>
        <w:jc w:val="both"/>
        <w:rPr>
          <w:lang w:val="sr-Cyrl-RS"/>
        </w:rPr>
      </w:pPr>
    </w:p>
    <w:p>
      <w:pPr>
        <w:jc w:val="both"/>
        <w:rPr>
          <w:lang w:val="sr-Cyrl-RS"/>
        </w:rPr>
      </w:pPr>
      <w:r>
        <w:rPr>
          <w:lang w:val="sr-Cyrl-RS"/>
        </w:rPr>
        <w:t>Јачање пољопривреде и развој руралног туризма ће директно доприни</w:t>
      </w:r>
      <w:r>
        <w:rPr>
          <w:lang w:val="sr-Latn-CS"/>
        </w:rPr>
        <w:t>j</w:t>
      </w:r>
      <w:r>
        <w:rPr>
          <w:lang w:val="sr-Cyrl-RS"/>
        </w:rPr>
        <w:t>ети побољшању услова за останак становништва на селу, што је итекако важно за будући одрживи развој града. Град посебно треба да узме у обзир и  да искористи могућност европских и регионални интеграционих процеса и расположиве европске фондове за развој, који нуде шансе за уравнотеженији развој сеоског и приградског подручја.</w:t>
      </w:r>
      <w:r>
        <w:rPr>
          <w:lang w:val="sr-Latn-RS"/>
        </w:rPr>
        <w:t xml:space="preserve"> </w:t>
      </w:r>
      <w:r>
        <w:rPr>
          <w:lang w:val="sr-Cyrl-RS"/>
        </w:rPr>
        <w:t xml:space="preserve">Потенцијале за развој руралног туризма, треба искористити за развој садржаја за одмор и рекреацију. Тежиште треба да буде усмерено на инфраструктурном опремању простора, обогаћивању садржаја за одмор и рекреацију, културних и спортских садржаја, са посебним акцентом на услове за живот најмлађе популације. </w:t>
      </w:r>
    </w:p>
    <w:p>
      <w:pPr>
        <w:jc w:val="both"/>
        <w:rPr>
          <w:lang w:val="sr-Cyrl-RS"/>
        </w:rPr>
      </w:pPr>
    </w:p>
    <w:p>
      <w:pPr>
        <w:jc w:val="both"/>
        <w:rPr>
          <w:lang w:val="sr-Cyrl-RS"/>
        </w:rPr>
      </w:pPr>
      <w:r>
        <w:rPr>
          <w:lang w:val="sr-Cyrl-RS"/>
        </w:rPr>
        <w:t>С циљем побољшања укупног пословног амбијента и подстицања привредног развоја, како у граду тако и на селу и приградским насељима на подручју града, пољопривредним произвођачима, постојећим привредницима и потенцијалним инвеститорима бројне услуге пружају:</w:t>
      </w:r>
    </w:p>
    <w:p>
      <w:pPr>
        <w:jc w:val="both"/>
        <w:rPr>
          <w:lang w:val="sr-Cyrl-RS"/>
        </w:rPr>
      </w:pPr>
    </w:p>
    <w:p>
      <w:pPr>
        <w:pStyle w:val="46"/>
        <w:numPr>
          <w:ilvl w:val="0"/>
          <w:numId w:val="37"/>
        </w:numPr>
        <w:spacing w:before="0" w:after="200"/>
        <w:rPr>
          <w:rFonts w:asciiTheme="minorHAnsi" w:hAnsiTheme="minorHAnsi" w:cstheme="minorHAnsi"/>
          <w:lang w:val="sr-Cyrl-RS"/>
        </w:rPr>
      </w:pPr>
      <w:r>
        <w:rPr>
          <w:rFonts w:asciiTheme="minorHAnsi" w:hAnsiTheme="minorHAnsi" w:cstheme="minorHAnsi"/>
          <w:lang w:val="sr-Cyrl-RS"/>
        </w:rPr>
        <w:t>Одељење за локални економски развој и стратешко планирање (Центар за инвеститоре)</w:t>
      </w:r>
    </w:p>
    <w:p>
      <w:pPr>
        <w:pStyle w:val="46"/>
        <w:numPr>
          <w:ilvl w:val="0"/>
          <w:numId w:val="37"/>
        </w:numPr>
        <w:spacing w:before="0" w:after="200"/>
        <w:rPr>
          <w:rFonts w:asciiTheme="minorHAnsi" w:hAnsiTheme="minorHAnsi" w:cstheme="minorHAnsi"/>
          <w:lang w:val="sr-Cyrl-RS"/>
        </w:rPr>
      </w:pPr>
      <w:r>
        <w:rPr>
          <w:rFonts w:asciiTheme="minorHAnsi" w:hAnsiTheme="minorHAnsi" w:cstheme="minorHAnsi"/>
          <w:lang w:val="sr-Cyrl-RS"/>
        </w:rPr>
        <w:t>Одељење за просторно уређење (Центар за дозволе)</w:t>
      </w:r>
    </w:p>
    <w:p>
      <w:pPr>
        <w:pStyle w:val="46"/>
        <w:numPr>
          <w:ilvl w:val="0"/>
          <w:numId w:val="37"/>
        </w:numPr>
        <w:spacing w:before="0" w:after="200"/>
        <w:rPr>
          <w:rFonts w:asciiTheme="minorHAnsi" w:hAnsiTheme="minorHAnsi" w:cstheme="minorHAnsi"/>
          <w:lang w:val="sr-Cyrl-RS"/>
        </w:rPr>
      </w:pPr>
      <w:r>
        <w:rPr>
          <w:rFonts w:asciiTheme="minorHAnsi" w:hAnsiTheme="minorHAnsi" w:cstheme="minorHAnsi"/>
          <w:lang w:val="sr-Cyrl-RS"/>
        </w:rPr>
        <w:t>Одељење за привреду (Канцеларија за предузетнике),</w:t>
      </w:r>
    </w:p>
    <w:p>
      <w:pPr>
        <w:pStyle w:val="46"/>
        <w:numPr>
          <w:ilvl w:val="0"/>
          <w:numId w:val="37"/>
        </w:numPr>
        <w:spacing w:before="0" w:after="200"/>
        <w:rPr>
          <w:rFonts w:asciiTheme="minorHAnsi" w:hAnsiTheme="minorHAnsi" w:cstheme="minorHAnsi"/>
          <w:lang w:val="sr-Cyrl-RS"/>
        </w:rPr>
      </w:pPr>
      <w:r>
        <w:rPr>
          <w:rFonts w:asciiTheme="minorHAnsi" w:hAnsiTheme="minorHAnsi" w:cstheme="minorHAnsi"/>
          <w:lang w:val="sr-Cyrl-RS"/>
        </w:rPr>
        <w:t>Градска развојна агенција.</w:t>
      </w:r>
    </w:p>
    <w:p>
      <w:pPr>
        <w:pStyle w:val="46"/>
        <w:numPr>
          <w:ilvl w:val="0"/>
          <w:numId w:val="37"/>
        </w:numPr>
        <w:spacing w:before="0" w:after="200"/>
        <w:rPr>
          <w:rFonts w:asciiTheme="minorHAnsi" w:hAnsiTheme="minorHAnsi" w:cstheme="minorHAnsi"/>
          <w:lang w:val="sr-Cyrl-RS"/>
        </w:rPr>
      </w:pPr>
      <w:bookmarkStart w:id="180" w:name="_GoBack"/>
      <w:bookmarkEnd w:id="180"/>
      <w:r>
        <w:rPr>
          <w:rFonts w:asciiTheme="minorHAnsi" w:hAnsiTheme="minorHAnsi" w:cstheme="minorHAnsi"/>
          <w:lang w:val="sr-Cyrl-RS"/>
        </w:rPr>
        <w:t>Центар за развој пољопривреде и села</w:t>
      </w:r>
    </w:p>
    <w:p>
      <w:pPr>
        <w:jc w:val="both"/>
        <w:rPr>
          <w:lang w:val="sr-Cyrl-RS"/>
        </w:rPr>
      </w:pPr>
      <w:r>
        <w:rPr>
          <w:lang w:val="sr-Cyrl-RS"/>
        </w:rPr>
        <w:t>Град заједно са удружењима и задругама и у сарадњи са индивидуалним пољопривредним произвођачима, активно учествује у посп</w:t>
      </w:r>
      <w:r>
        <w:rPr>
          <w:lang w:val="sr-Latn-CS"/>
        </w:rPr>
        <w:t>j</w:t>
      </w:r>
      <w:r>
        <w:rPr>
          <w:lang w:val="sr-Cyrl-RS"/>
        </w:rPr>
        <w:t>ешивању и подршци у развоју пољопривреде. Постоји опредељеност града да се тај тренд и пракса настави и интензивира у наредном периоду. Град већ спроводи бројне пројекте, мјере и активности у области развоја пољопривреде, али је потребно интензивирати напоре у области повећања приноса и броја грла, укрупњавања пос</w:t>
      </w:r>
      <w:r>
        <w:rPr>
          <w:lang w:val="sr-Latn-CS"/>
        </w:rPr>
        <w:t>j</w:t>
      </w:r>
      <w:r>
        <w:rPr>
          <w:lang w:val="sr-Cyrl-RS"/>
        </w:rPr>
        <w:t>еда, јачања удруживања и побољшања инфраструктуре на селу и у приградским насељима, изградњи и развоју предузетничких зона у приградским насељима, а пр</w:t>
      </w:r>
      <w:r>
        <w:rPr>
          <w:lang w:val="sr-Cyrl-CS"/>
        </w:rPr>
        <w:t>иј</w:t>
      </w:r>
      <w:r>
        <w:rPr>
          <w:lang w:val="sr-Cyrl-RS"/>
        </w:rPr>
        <w:t xml:space="preserve">е свега кроз изградњу нове и/или реконструкцију постојеће инфраструктуре (вода, канализација и саобраћајнице). </w:t>
      </w:r>
    </w:p>
    <w:p>
      <w:pPr>
        <w:jc w:val="both"/>
        <w:rPr>
          <w:lang w:val="sr-Cyrl-RS"/>
        </w:rPr>
      </w:pPr>
    </w:p>
    <w:p>
      <w:pPr>
        <w:jc w:val="both"/>
        <w:rPr>
          <w:lang w:val="sr-Cyrl-RS"/>
        </w:rPr>
      </w:pPr>
      <w:r>
        <w:rPr>
          <w:lang w:val="sr-Cyrl-RS"/>
        </w:rPr>
        <w:t>Као важан дио овог стратешког фокуса, водиће се рачуна о инклузивној политици, односно, о стварању једнаких могућности и за запошљавање особа са инвалидитетом, а посебно за запошљавање жена и млађе популације.</w:t>
      </w:r>
    </w:p>
    <w:p>
      <w:pPr>
        <w:jc w:val="both"/>
      </w:pPr>
    </w:p>
    <w:p>
      <w:pPr>
        <w:pStyle w:val="46"/>
        <w:numPr>
          <w:ilvl w:val="0"/>
          <w:numId w:val="36"/>
        </w:numPr>
        <w:spacing w:before="0" w:after="160" w:line="259" w:lineRule="auto"/>
        <w:rPr>
          <w:rFonts w:cs="Calibri"/>
          <w:i/>
          <w:lang w:val="sr-Latn-RS"/>
        </w:rPr>
      </w:pPr>
      <w:bookmarkStart w:id="100" w:name="_Hlk506463167"/>
      <w:r>
        <w:rPr>
          <w:b/>
          <w:lang w:val="sr-Cyrl-RS"/>
        </w:rPr>
        <w:t xml:space="preserve">Развој Града као модерне урбане средине, засноване на концепту </w:t>
      </w:r>
      <w:r>
        <w:rPr>
          <w:b/>
          <w:i/>
          <w:lang w:val="hr-BA"/>
        </w:rPr>
        <w:t>Smart City</w:t>
      </w:r>
      <w:r>
        <w:rPr>
          <w:b/>
          <w:lang w:val="hr-BA"/>
        </w:rPr>
        <w:t xml:space="preserve">, </w:t>
      </w:r>
      <w:r>
        <w:rPr>
          <w:b/>
          <w:lang w:val="sr-Cyrl-RS"/>
        </w:rPr>
        <w:t>угодн</w:t>
      </w:r>
      <w:r>
        <w:rPr>
          <w:b/>
          <w:lang w:val="hr-BA"/>
        </w:rPr>
        <w:t>e</w:t>
      </w:r>
      <w:r>
        <w:rPr>
          <w:b/>
          <w:lang w:val="sr-Cyrl-RS"/>
        </w:rPr>
        <w:t xml:space="preserve"> за живот</w:t>
      </w:r>
      <w:r>
        <w:rPr>
          <w:b/>
          <w:lang w:val="hr-BA"/>
        </w:rPr>
        <w:t xml:space="preserve"> </w:t>
      </w:r>
      <w:r>
        <w:rPr>
          <w:b/>
          <w:lang w:val="sr-Cyrl-RS"/>
        </w:rPr>
        <w:t>свих грађана</w:t>
      </w:r>
    </w:p>
    <w:bookmarkEnd w:id="100"/>
    <w:p>
      <w:pPr>
        <w:spacing w:after="160" w:line="259" w:lineRule="auto"/>
        <w:jc w:val="both"/>
        <w:rPr>
          <w:rFonts w:cs="Calibri"/>
          <w:b/>
          <w:color w:val="FF0000"/>
          <w:lang w:val="sr-Cyrl-RS"/>
        </w:rPr>
      </w:pPr>
      <w:r>
        <w:rPr>
          <w:rFonts w:cs="Calibri"/>
          <w:lang w:val="sr-Cyrl-RS"/>
        </w:rPr>
        <w:t xml:space="preserve">Концепт </w:t>
      </w:r>
      <w:r>
        <w:rPr>
          <w:i/>
        </w:rPr>
        <w:t>Smart City</w:t>
      </w:r>
      <w:r>
        <w:rPr>
          <w:b/>
        </w:rPr>
        <w:t xml:space="preserve"> </w:t>
      </w:r>
      <w:r>
        <w:t>(</w:t>
      </w:r>
      <w:r>
        <w:rPr>
          <w:lang w:val="sr-Cyrl-RS"/>
        </w:rPr>
        <w:t>„паметан град“)</w:t>
      </w:r>
      <w:r>
        <w:rPr>
          <w:b/>
          <w:lang w:val="sr-Cyrl-RS"/>
        </w:rPr>
        <w:t xml:space="preserve"> </w:t>
      </w:r>
      <w:r>
        <w:rPr>
          <w:rFonts w:cs="Calibri"/>
          <w:lang w:val="sr-Cyrl-RS"/>
        </w:rPr>
        <w:t>представља с</w:t>
      </w:r>
      <w:r>
        <w:rPr>
          <w:rFonts w:cs="Calibri"/>
          <w:lang w:val="sr-Latn-RS"/>
        </w:rPr>
        <w:t>авремен</w:t>
      </w:r>
      <w:r>
        <w:rPr>
          <w:rFonts w:cs="Calibri"/>
          <w:lang w:val="sr-Cyrl-RS"/>
        </w:rPr>
        <w:t>у</w:t>
      </w:r>
      <w:r>
        <w:rPr>
          <w:rFonts w:cs="Calibri"/>
          <w:lang w:val="sr-Latn-RS"/>
        </w:rPr>
        <w:t xml:space="preserve"> тенденциј</w:t>
      </w:r>
      <w:r>
        <w:rPr>
          <w:rFonts w:cs="Calibri"/>
          <w:lang w:val="sr-Cyrl-RS"/>
        </w:rPr>
        <w:t>у</w:t>
      </w:r>
      <w:r>
        <w:rPr>
          <w:rFonts w:cs="Calibri"/>
          <w:lang w:val="sr-Latn-RS"/>
        </w:rPr>
        <w:t xml:space="preserve"> у </w:t>
      </w:r>
      <w:r>
        <w:rPr>
          <w:rFonts w:cs="Calibri"/>
          <w:lang w:val="sr-Cyrl-RS"/>
        </w:rPr>
        <w:t xml:space="preserve">управљању </w:t>
      </w:r>
      <w:r>
        <w:rPr>
          <w:rFonts w:cs="Calibri"/>
          <w:lang w:val="sr-Latn-RS"/>
        </w:rPr>
        <w:t>урбан</w:t>
      </w:r>
      <w:r>
        <w:rPr>
          <w:rFonts w:cs="Calibri"/>
          <w:lang w:val="sr-Cyrl-RS"/>
        </w:rPr>
        <w:t>им</w:t>
      </w:r>
      <w:r>
        <w:rPr>
          <w:rFonts w:cs="Calibri"/>
          <w:lang w:val="sr-Latn-RS"/>
        </w:rPr>
        <w:t xml:space="preserve"> развој</w:t>
      </w:r>
      <w:r>
        <w:rPr>
          <w:rFonts w:cs="Calibri"/>
          <w:lang w:val="sr-Cyrl-RS"/>
        </w:rPr>
        <w:t xml:space="preserve">ем, </w:t>
      </w:r>
      <w:r>
        <w:rPr>
          <w:rFonts w:cs="Calibri"/>
          <w:lang w:val="sr-Latn-RS"/>
        </w:rPr>
        <w:t>која</w:t>
      </w:r>
      <w:r>
        <w:rPr>
          <w:rFonts w:cs="Calibri"/>
          <w:lang w:val="sr-Cyrl-RS"/>
        </w:rPr>
        <w:t xml:space="preserve"> се заснива на и</w:t>
      </w:r>
      <w:r>
        <w:rPr>
          <w:rFonts w:cs="Calibri"/>
          <w:lang w:val="sr-Latn-RS"/>
        </w:rPr>
        <w:t>нтеграциј</w:t>
      </w:r>
      <w:r>
        <w:rPr>
          <w:rFonts w:cs="Calibri"/>
          <w:lang w:val="sr-Cyrl-RS"/>
        </w:rPr>
        <w:t>и</w:t>
      </w:r>
      <w:r>
        <w:rPr>
          <w:rFonts w:cs="Calibri"/>
          <w:lang w:val="sr-Latn-RS"/>
        </w:rPr>
        <w:t xml:space="preserve"> информационих и комуникационих </w:t>
      </w:r>
      <w:r>
        <w:rPr>
          <w:rFonts w:cs="Calibri"/>
          <w:lang w:val="sr-Cyrl-RS"/>
        </w:rPr>
        <w:t>услуга</w:t>
      </w:r>
      <w:r>
        <w:rPr>
          <w:rFonts w:cs="Calibri"/>
          <w:lang w:val="sr-Latn-RS"/>
        </w:rPr>
        <w:t xml:space="preserve"> са интернет</w:t>
      </w:r>
      <w:r>
        <w:rPr>
          <w:rFonts w:cs="Calibri"/>
          <w:lang w:val="sr-Cyrl-RS"/>
        </w:rPr>
        <w:t xml:space="preserve"> технологијом познатијом као </w:t>
      </w:r>
      <w:r>
        <w:rPr>
          <w:rFonts w:cs="Calibri"/>
          <w:lang w:val="sr-Latn-RS"/>
        </w:rPr>
        <w:t>„Интернет ствари“ (</w:t>
      </w:r>
      <w:r>
        <w:rPr>
          <w:rFonts w:cs="Calibri"/>
          <w:i/>
          <w:lang w:val="sr-Latn-RS"/>
        </w:rPr>
        <w:t>Internet of Things</w:t>
      </w:r>
      <w:r>
        <w:rPr>
          <w:rFonts w:cs="Calibri"/>
          <w:lang w:val="sr-Latn-RS"/>
        </w:rPr>
        <w:t>).</w:t>
      </w:r>
      <w:r>
        <w:rPr>
          <w:rFonts w:cs="Calibri"/>
          <w:lang w:val="sr-Cyrl-RS"/>
        </w:rPr>
        <w:t xml:space="preserve"> У условима кључних технолошких, економских и еколошких промјена, модерна, „паметна“ рјешења, заснована на технолошком развоју, нису само избор, него и потреба за град Бања Луку. Град Бања Лука нема израђену Стратегију дигитализације али је у току процес прикупљања информација везаних за евентуалну припрему овог документа, те размјену искустава с другим градовима ради преноса знања и искустава у овој области.</w:t>
      </w:r>
    </w:p>
    <w:p>
      <w:pPr>
        <w:spacing w:after="160" w:line="259" w:lineRule="auto"/>
        <w:jc w:val="both"/>
        <w:rPr>
          <w:lang w:val="sr-Cyrl-RS"/>
        </w:rPr>
      </w:pPr>
      <w:r>
        <w:rPr>
          <w:rFonts w:cs="Calibri"/>
          <w:lang w:val="sr-Cyrl-RS"/>
        </w:rPr>
        <w:t xml:space="preserve">Развој „паметних“ урбаних средина је и један од циљева Европске уније, нарочито када су у питању метрополе, са сложеном структуром, развијеном мрежом институција и услуга, које треба поједноставити и учинити их доступним великом броју становника и посјетилаца, са разноврсним потребама и интересовањима. Међународни примјери добре праксе у увођењу </w:t>
      </w:r>
      <w:r>
        <w:rPr>
          <w:i/>
        </w:rPr>
        <w:t>Smart City</w:t>
      </w:r>
      <w:r>
        <w:rPr>
          <w:i/>
          <w:lang w:val="sr-Cyrl-RS"/>
        </w:rPr>
        <w:t xml:space="preserve"> </w:t>
      </w:r>
      <w:r>
        <w:rPr>
          <w:lang w:val="sr-Cyrl-RS"/>
        </w:rPr>
        <w:t xml:space="preserve">приступа су Амстердам, Барселона, Мадрид, Стокхолм, а у региону је то град Љубљана. </w:t>
      </w:r>
    </w:p>
    <w:p>
      <w:pPr>
        <w:spacing w:after="160" w:line="259" w:lineRule="auto"/>
        <w:jc w:val="both"/>
        <w:rPr>
          <w:rFonts w:cs="Calibri"/>
          <w:lang w:val="sr-Cyrl-RS"/>
        </w:rPr>
      </w:pPr>
      <w:r>
        <w:rPr>
          <w:rFonts w:cs="Calibri"/>
          <w:lang w:val="sr-Cyrl-RS"/>
        </w:rPr>
        <w:t>Европска агенда за дигитализацију до 2020. године</w:t>
      </w:r>
      <w:r>
        <w:rPr>
          <w:rStyle w:val="31"/>
          <w:rFonts w:cs="Calibri"/>
          <w:lang w:val="sr-Cyrl-RS"/>
        </w:rPr>
        <w:footnoteReference w:id="97"/>
      </w:r>
      <w:r>
        <w:rPr>
          <w:rFonts w:cs="Calibri"/>
          <w:lang w:val="sr-Cyrl-RS"/>
        </w:rPr>
        <w:t xml:space="preserve"> промовише концепт одрживог развоја заснован на коришћењу </w:t>
      </w:r>
      <w:r>
        <w:rPr>
          <w:rFonts w:cs="Calibri"/>
          <w:i/>
          <w:lang w:val="sr-Latn-RS"/>
        </w:rPr>
        <w:t>smart</w:t>
      </w:r>
      <w:r>
        <w:rPr>
          <w:rFonts w:cs="Calibri"/>
          <w:lang w:val="sr-Cyrl-RS"/>
        </w:rPr>
        <w:t xml:space="preserve"> технологија, као и на обједињеном дигиталном тржишту. Европска унија нарочито подржава иновације и инвестирање у информационо-комуникационе технологије намијењене унапређењу јавних услуга и њиховој бољој доступности грађанима и приватном сектору. </w:t>
      </w:r>
    </w:p>
    <w:p>
      <w:pPr>
        <w:spacing w:after="160" w:line="259" w:lineRule="auto"/>
        <w:jc w:val="both"/>
        <w:rPr>
          <w:rFonts w:cs="Calibri"/>
          <w:lang w:val="sr-Cyrl-RS"/>
        </w:rPr>
      </w:pPr>
      <w:r>
        <w:rPr>
          <w:rFonts w:cs="Calibri"/>
          <w:lang w:val="sr-Latn-RS"/>
        </w:rPr>
        <w:t xml:space="preserve">Циљ је </w:t>
      </w:r>
      <w:r>
        <w:rPr>
          <w:rFonts w:cs="Calibri"/>
          <w:lang w:val="sr-Cyrl-RS"/>
        </w:rPr>
        <w:t xml:space="preserve">да се осигура </w:t>
      </w:r>
      <w:r>
        <w:rPr>
          <w:rFonts w:cs="Calibri"/>
          <w:lang w:val="sr-Latn-RS"/>
        </w:rPr>
        <w:t xml:space="preserve">управљање јавним простором </w:t>
      </w:r>
      <w:r>
        <w:rPr>
          <w:rFonts w:cs="Calibri"/>
          <w:lang w:val="sr-Cyrl-RS"/>
        </w:rPr>
        <w:t>и јавним услугама на еф</w:t>
      </w:r>
      <w:r>
        <w:rPr>
          <w:rFonts w:cs="Calibri"/>
          <w:lang w:val="sr-Latn-RS"/>
        </w:rPr>
        <w:t>икасниј</w:t>
      </w:r>
      <w:r>
        <w:rPr>
          <w:rFonts w:cs="Calibri"/>
          <w:lang w:val="sr-Cyrl-RS"/>
        </w:rPr>
        <w:t>и</w:t>
      </w:r>
      <w:r>
        <w:rPr>
          <w:rFonts w:cs="Calibri"/>
          <w:lang w:val="sr-Latn-RS"/>
        </w:rPr>
        <w:t>, ефективниј</w:t>
      </w:r>
      <w:r>
        <w:rPr>
          <w:rFonts w:cs="Calibri"/>
          <w:lang w:val="sr-Cyrl-RS"/>
        </w:rPr>
        <w:t>и</w:t>
      </w:r>
      <w:r>
        <w:rPr>
          <w:rFonts w:cs="Calibri"/>
          <w:lang w:val="sr-Latn-RS"/>
        </w:rPr>
        <w:t>, безб</w:t>
      </w:r>
      <w:r>
        <w:rPr>
          <w:rFonts w:cs="Calibri"/>
          <w:lang w:val="sr-Cyrl-RS"/>
        </w:rPr>
        <w:t>ј</w:t>
      </w:r>
      <w:r>
        <w:rPr>
          <w:rFonts w:cs="Calibri"/>
          <w:lang w:val="sr-Latn-RS"/>
        </w:rPr>
        <w:t>едниј</w:t>
      </w:r>
      <w:r>
        <w:rPr>
          <w:rFonts w:cs="Calibri"/>
          <w:lang w:val="sr-Cyrl-RS"/>
        </w:rPr>
        <w:t>и начин</w:t>
      </w:r>
      <w:r>
        <w:rPr>
          <w:rFonts w:cs="Calibri"/>
          <w:lang w:val="sr-Latn-RS"/>
        </w:rPr>
        <w:t>,</w:t>
      </w:r>
      <w:r>
        <w:rPr>
          <w:rFonts w:cs="Calibri"/>
          <w:lang w:val="sr-Cyrl-RS"/>
        </w:rPr>
        <w:t xml:space="preserve"> чиме се</w:t>
      </w:r>
      <w:r>
        <w:rPr>
          <w:rFonts w:cs="Calibri"/>
          <w:lang w:val="sr-Latn-RS"/>
        </w:rPr>
        <w:t xml:space="preserve"> олакшава или унапр</w:t>
      </w:r>
      <w:r>
        <w:rPr>
          <w:rFonts w:cs="Calibri"/>
          <w:lang w:val="sr-Cyrl-RS"/>
        </w:rPr>
        <w:t>иј</w:t>
      </w:r>
      <w:r>
        <w:rPr>
          <w:rFonts w:cs="Calibri"/>
          <w:lang w:val="sr-Latn-RS"/>
        </w:rPr>
        <w:t xml:space="preserve">еђује </w:t>
      </w:r>
      <w:r>
        <w:rPr>
          <w:rFonts w:cs="Calibri"/>
          <w:lang w:val="sr-Cyrl-RS"/>
        </w:rPr>
        <w:t xml:space="preserve">свеукупан </w:t>
      </w:r>
      <w:r>
        <w:rPr>
          <w:rFonts w:cs="Calibri"/>
          <w:lang w:val="sr-Latn-RS"/>
        </w:rPr>
        <w:t>квалитет свакодневног живота</w:t>
      </w:r>
      <w:r>
        <w:rPr>
          <w:rFonts w:cs="Calibri"/>
          <w:lang w:val="sr-Cyrl-RS"/>
        </w:rPr>
        <w:t xml:space="preserve"> грађана и пословања приватног сектора у граду</w:t>
      </w:r>
      <w:r>
        <w:rPr>
          <w:rFonts w:cs="Calibri"/>
          <w:lang w:val="sr-Latn-RS"/>
        </w:rPr>
        <w:t>.</w:t>
      </w:r>
      <w:r>
        <w:rPr>
          <w:rFonts w:cs="Calibri"/>
          <w:lang w:val="sr-Cyrl-RS"/>
        </w:rPr>
        <w:t xml:space="preserve"> У</w:t>
      </w:r>
      <w:r>
        <w:rPr>
          <w:rFonts w:eastAsia="Times New Roman" w:cs="Calibri"/>
          <w:lang w:val="sr-Latn-RS"/>
        </w:rPr>
        <w:t xml:space="preserve">вођење </w:t>
      </w:r>
      <w:r>
        <w:rPr>
          <w:rFonts w:eastAsia="Times New Roman" w:cs="Calibri"/>
          <w:lang w:val="sr-Cyrl-RS"/>
        </w:rPr>
        <w:t xml:space="preserve">овог </w:t>
      </w:r>
      <w:r>
        <w:rPr>
          <w:rFonts w:eastAsia="Times New Roman" w:cs="Calibri"/>
          <w:lang w:val="sr-Latn-RS"/>
        </w:rPr>
        <w:t>концепта представља</w:t>
      </w:r>
      <w:r>
        <w:rPr>
          <w:rFonts w:eastAsia="Times New Roman" w:cs="Calibri"/>
          <w:lang w:val="sr-Cyrl-RS"/>
        </w:rPr>
        <w:t>ће</w:t>
      </w:r>
      <w:r>
        <w:rPr>
          <w:rFonts w:eastAsia="Times New Roman" w:cs="Calibri"/>
          <w:lang w:val="sr-Latn-RS"/>
        </w:rPr>
        <w:t xml:space="preserve"> </w:t>
      </w:r>
      <w:r>
        <w:rPr>
          <w:rFonts w:eastAsia="Times New Roman" w:cs="Calibri"/>
          <w:lang w:val="sr-Cyrl-RS"/>
        </w:rPr>
        <w:t xml:space="preserve">важан </w:t>
      </w:r>
      <w:r>
        <w:rPr>
          <w:rFonts w:eastAsia="Times New Roman" w:cs="Calibri"/>
          <w:lang w:val="sr-Latn-RS"/>
        </w:rPr>
        <w:t xml:space="preserve">искорак </w:t>
      </w:r>
      <w:r>
        <w:rPr>
          <w:rFonts w:eastAsia="Times New Roman" w:cs="Calibri"/>
          <w:lang w:val="sr-Cyrl-RS"/>
        </w:rPr>
        <w:t xml:space="preserve">ка </w:t>
      </w:r>
      <w:r>
        <w:rPr>
          <w:rFonts w:eastAsia="Times New Roman" w:cs="Calibri"/>
          <w:lang w:val="sr-Latn-RS"/>
        </w:rPr>
        <w:t>праћењ</w:t>
      </w:r>
      <w:r>
        <w:rPr>
          <w:rFonts w:eastAsia="Times New Roman" w:cs="Calibri"/>
          <w:lang w:val="sr-Cyrl-RS"/>
        </w:rPr>
        <w:t xml:space="preserve">у </w:t>
      </w:r>
      <w:r>
        <w:rPr>
          <w:rFonts w:eastAsia="Times New Roman" w:cs="Calibri"/>
          <w:lang w:val="sr-Latn-RS"/>
        </w:rPr>
        <w:t>савремених трендова развоја</w:t>
      </w:r>
      <w:r>
        <w:rPr>
          <w:rFonts w:eastAsia="Times New Roman" w:cs="Calibri"/>
          <w:lang w:val="sr-Cyrl-RS"/>
        </w:rPr>
        <w:t xml:space="preserve">, што би </w:t>
      </w:r>
      <w:r>
        <w:rPr>
          <w:rFonts w:cs="Calibri"/>
          <w:lang w:val="sr-Cyrl-RS"/>
        </w:rPr>
        <w:t>уврстило град Бања Луку у групу напредних и модерних европских и свјетских градова. У наредних десет година, Град треба да се фокусира на постепену модернизацију, укључујући сљедеће:</w:t>
      </w:r>
    </w:p>
    <w:p>
      <w:pPr>
        <w:pStyle w:val="46"/>
        <w:numPr>
          <w:ilvl w:val="0"/>
          <w:numId w:val="38"/>
        </w:numPr>
        <w:shd w:val="clear" w:color="auto" w:fill="FFFFFF"/>
        <w:spacing w:before="100" w:beforeAutospacing="1" w:after="24"/>
        <w:rPr>
          <w:rFonts w:cs="Calibri"/>
          <w:i/>
          <w:color w:val="222222"/>
          <w:lang w:val="sr-Latn-RS"/>
        </w:rPr>
      </w:pPr>
      <w:r>
        <w:rPr>
          <w:rFonts w:cs="Calibri"/>
          <w:color w:val="222222"/>
          <w:lang w:val="sr-Cyrl-RS"/>
        </w:rPr>
        <w:t>Увођење</w:t>
      </w:r>
      <w:r>
        <w:rPr>
          <w:rFonts w:cs="Calibri"/>
          <w:color w:val="222222"/>
          <w:lang w:val="sr-Latn-RS"/>
        </w:rPr>
        <w:t xml:space="preserve"> широког дијапазона електронских или дигиталних технологија</w:t>
      </w:r>
      <w:r>
        <w:rPr>
          <w:rFonts w:cs="Calibri"/>
          <w:color w:val="222222"/>
          <w:lang w:val="sr-Cyrl-RS"/>
        </w:rPr>
        <w:t xml:space="preserve"> у све аспекте урбане инфраструктуре града </w:t>
      </w:r>
      <w:r>
        <w:rPr>
          <w:rFonts w:cs="Calibri"/>
          <w:color w:val="222222"/>
          <w:lang w:val="sr-Latn-RS"/>
        </w:rPr>
        <w:t>(саобраћај, комуналне услуге, заштита животне средине, безб</w:t>
      </w:r>
      <w:r>
        <w:rPr>
          <w:rFonts w:cs="Calibri"/>
          <w:color w:val="222222"/>
          <w:lang w:val="sr-Cyrl-RS"/>
        </w:rPr>
        <w:t>ј</w:t>
      </w:r>
      <w:r>
        <w:rPr>
          <w:rFonts w:cs="Calibri"/>
          <w:color w:val="222222"/>
          <w:lang w:val="sr-Latn-RS"/>
        </w:rPr>
        <w:t>едност</w:t>
      </w:r>
      <w:r>
        <w:rPr>
          <w:rFonts w:cs="Calibri"/>
          <w:color w:val="222222"/>
          <w:lang w:val="sr-Cyrl-RS"/>
        </w:rPr>
        <w:t xml:space="preserve"> и др.</w:t>
      </w:r>
      <w:r>
        <w:rPr>
          <w:rFonts w:cs="Calibri"/>
          <w:color w:val="222222"/>
          <w:lang w:val="sr-Latn-RS"/>
        </w:rPr>
        <w:t>)</w:t>
      </w:r>
      <w:r>
        <w:rPr>
          <w:rFonts w:cs="Calibri"/>
          <w:color w:val="222222"/>
          <w:lang w:val="sr-Cyrl-RS"/>
        </w:rPr>
        <w:t>,</w:t>
      </w:r>
    </w:p>
    <w:p>
      <w:pPr>
        <w:numPr>
          <w:ilvl w:val="0"/>
          <w:numId w:val="38"/>
        </w:numPr>
        <w:shd w:val="clear" w:color="auto" w:fill="FFFFFF"/>
        <w:spacing w:before="100" w:beforeAutospacing="1" w:after="24"/>
        <w:jc w:val="both"/>
        <w:rPr>
          <w:rFonts w:eastAsia="Times New Roman" w:cs="Calibri"/>
          <w:color w:val="222222"/>
          <w:lang w:val="sr-Latn-RS"/>
        </w:rPr>
      </w:pPr>
      <w:r>
        <w:rPr>
          <w:rFonts w:eastAsia="Times New Roman" w:cs="Calibri"/>
          <w:color w:val="222222"/>
          <w:lang w:val="sr-Latn-RS"/>
        </w:rPr>
        <w:t xml:space="preserve">Коришћење </w:t>
      </w:r>
      <w:r>
        <w:rPr>
          <w:rFonts w:eastAsia="Times New Roman" w:cs="Calibri"/>
          <w:i/>
          <w:color w:val="222222"/>
          <w:lang w:val="sr-Latn-RS"/>
        </w:rPr>
        <w:t xml:space="preserve">smart </w:t>
      </w:r>
      <w:r>
        <w:rPr>
          <w:rFonts w:eastAsia="Times New Roman" w:cs="Calibri"/>
          <w:color w:val="222222"/>
          <w:lang w:val="sr-Latn-RS"/>
        </w:rPr>
        <w:t>технологија</w:t>
      </w:r>
      <w:r>
        <w:rPr>
          <w:rFonts w:eastAsia="Times New Roman" w:cs="Calibri"/>
          <w:color w:val="222222"/>
          <w:lang w:val="sr-Cyrl-RS"/>
        </w:rPr>
        <w:t xml:space="preserve"> и </w:t>
      </w:r>
      <w:r>
        <w:rPr>
          <w:rFonts w:eastAsia="Times New Roman" w:cs="Calibri"/>
          <w:color w:val="222222"/>
          <w:lang w:val="sr-Latn-RS"/>
        </w:rPr>
        <w:t xml:space="preserve">online </w:t>
      </w:r>
      <w:r>
        <w:rPr>
          <w:rFonts w:eastAsia="Times New Roman" w:cs="Calibri"/>
          <w:color w:val="222222"/>
          <w:lang w:val="sr-Cyrl-RS"/>
        </w:rPr>
        <w:t>услуга</w:t>
      </w:r>
      <w:r>
        <w:rPr>
          <w:rFonts w:eastAsia="Times New Roman" w:cs="Calibri"/>
          <w:color w:val="222222"/>
          <w:lang w:val="sr-Latn-RS"/>
        </w:rPr>
        <w:t xml:space="preserve"> </w:t>
      </w:r>
      <w:r>
        <w:rPr>
          <w:rFonts w:eastAsia="Times New Roman" w:cs="Calibri"/>
          <w:color w:val="222222"/>
          <w:lang w:val="sr-Cyrl-RS"/>
        </w:rPr>
        <w:t>у свакодневном ж</w:t>
      </w:r>
      <w:r>
        <w:rPr>
          <w:rFonts w:eastAsia="Times New Roman" w:cs="Calibri"/>
          <w:color w:val="222222"/>
          <w:lang w:val="sr-Latn-RS"/>
        </w:rPr>
        <w:t>ивотно</w:t>
      </w:r>
      <w:r>
        <w:rPr>
          <w:rFonts w:eastAsia="Times New Roman" w:cs="Calibri"/>
          <w:color w:val="222222"/>
          <w:lang w:val="sr-Cyrl-RS"/>
        </w:rPr>
        <w:t>м</w:t>
      </w:r>
      <w:r>
        <w:rPr>
          <w:rFonts w:eastAsia="Times New Roman" w:cs="Calibri"/>
          <w:color w:val="222222"/>
          <w:lang w:val="sr-Latn-RS"/>
        </w:rPr>
        <w:t xml:space="preserve"> и радно</w:t>
      </w:r>
      <w:r>
        <w:rPr>
          <w:rFonts w:eastAsia="Times New Roman" w:cs="Calibri"/>
          <w:color w:val="222222"/>
          <w:lang w:val="sr-Cyrl-RS"/>
        </w:rPr>
        <w:t>м</w:t>
      </w:r>
      <w:r>
        <w:rPr>
          <w:rFonts w:eastAsia="Times New Roman" w:cs="Calibri"/>
          <w:color w:val="222222"/>
          <w:lang w:val="sr-Latn-RS"/>
        </w:rPr>
        <w:t xml:space="preserve"> окружењ</w:t>
      </w:r>
      <w:r>
        <w:rPr>
          <w:rFonts w:eastAsia="Times New Roman" w:cs="Calibri"/>
          <w:color w:val="222222"/>
          <w:lang w:val="sr-Cyrl-RS"/>
        </w:rPr>
        <w:t>у (</w:t>
      </w:r>
      <w:r>
        <w:rPr>
          <w:rFonts w:eastAsia="Times New Roman" w:cs="Calibri"/>
          <w:color w:val="222222"/>
          <w:lang w:val="sr-Latn-RS"/>
        </w:rPr>
        <w:t xml:space="preserve">online </w:t>
      </w:r>
      <w:r>
        <w:rPr>
          <w:rFonts w:eastAsia="Times New Roman" w:cs="Calibri"/>
          <w:color w:val="222222"/>
          <w:lang w:val="sr-Cyrl-RS"/>
        </w:rPr>
        <w:t xml:space="preserve">куповина, плаћање телефоном путем </w:t>
      </w:r>
      <w:r>
        <w:rPr>
          <w:rFonts w:eastAsia="Times New Roman" w:cs="Calibri"/>
          <w:i/>
          <w:color w:val="222222"/>
          <w:lang w:val="sr-Latn-RS"/>
        </w:rPr>
        <w:t>smart</w:t>
      </w:r>
      <w:r>
        <w:rPr>
          <w:rFonts w:eastAsia="Times New Roman" w:cs="Calibri"/>
          <w:color w:val="222222"/>
          <w:lang w:val="sr-Cyrl-RS"/>
        </w:rPr>
        <w:t xml:space="preserve"> апликација електронски састанци, телеконференције, интернет форуми, итд.),</w:t>
      </w:r>
    </w:p>
    <w:p>
      <w:pPr>
        <w:numPr>
          <w:ilvl w:val="0"/>
          <w:numId w:val="38"/>
        </w:numPr>
        <w:shd w:val="clear" w:color="auto" w:fill="FFFFFF"/>
        <w:spacing w:before="100" w:beforeAutospacing="1" w:after="24"/>
        <w:jc w:val="both"/>
        <w:rPr>
          <w:rFonts w:eastAsia="Times New Roman" w:cs="Calibri"/>
          <w:color w:val="222222"/>
          <w:lang w:val="sr-Latn-RS"/>
        </w:rPr>
      </w:pPr>
      <w:r>
        <w:rPr>
          <w:rFonts w:eastAsia="Times New Roman" w:cs="Calibri"/>
          <w:color w:val="222222"/>
          <w:lang w:val="sr-Cyrl-RS"/>
        </w:rPr>
        <w:t>Наставак у</w:t>
      </w:r>
      <w:r>
        <w:rPr>
          <w:rFonts w:eastAsia="Times New Roman" w:cs="Calibri"/>
          <w:color w:val="222222"/>
          <w:lang w:val="sr-Latn-RS"/>
        </w:rPr>
        <w:t>вођењ</w:t>
      </w:r>
      <w:r>
        <w:rPr>
          <w:rFonts w:eastAsia="Times New Roman" w:cs="Calibri"/>
          <w:color w:val="222222"/>
          <w:lang w:val="sr-Cyrl-RS"/>
        </w:rPr>
        <w:t>а</w:t>
      </w:r>
      <w:r>
        <w:rPr>
          <w:rFonts w:eastAsia="Times New Roman" w:cs="Calibri"/>
          <w:color w:val="222222"/>
          <w:lang w:val="sr-Latn-RS"/>
        </w:rPr>
        <w:t xml:space="preserve"> информационо-комуникационих технологија у рад </w:t>
      </w:r>
      <w:r>
        <w:rPr>
          <w:rFonts w:eastAsia="Times New Roman" w:cs="Calibri"/>
          <w:color w:val="222222"/>
          <w:lang w:val="sr-Cyrl-RS"/>
        </w:rPr>
        <w:t>Г</w:t>
      </w:r>
      <w:r>
        <w:rPr>
          <w:rFonts w:eastAsia="Times New Roman" w:cs="Calibri"/>
          <w:color w:val="222222"/>
          <w:lang w:val="sr-Latn-RS"/>
        </w:rPr>
        <w:t>радске управе</w:t>
      </w:r>
      <w:r>
        <w:rPr>
          <w:rFonts w:eastAsia="Times New Roman" w:cs="Calibri"/>
          <w:color w:val="222222"/>
          <w:lang w:val="sr-Cyrl-RS"/>
        </w:rPr>
        <w:t xml:space="preserve"> и јавних комуналних предузећа, пружање електронских услуга и одговарање на захтјеве грађана и привредника у реалном времену или у најкраћем могућем року (е-управа), </w:t>
      </w:r>
    </w:p>
    <w:p>
      <w:pPr>
        <w:numPr>
          <w:ilvl w:val="0"/>
          <w:numId w:val="38"/>
        </w:numPr>
        <w:shd w:val="clear" w:color="auto" w:fill="FFFFFF"/>
        <w:spacing w:before="100" w:beforeAutospacing="1" w:after="24"/>
        <w:jc w:val="both"/>
        <w:rPr>
          <w:rFonts w:eastAsia="Times New Roman" w:cs="Calibri"/>
          <w:color w:val="222222"/>
          <w:lang w:val="sr-Latn-RS"/>
        </w:rPr>
      </w:pPr>
      <w:r>
        <w:rPr>
          <w:rFonts w:eastAsia="Times New Roman" w:cs="Calibri"/>
          <w:color w:val="222222"/>
          <w:lang w:val="sr-Cyrl-RS"/>
        </w:rPr>
        <w:t>Боље умрежавање, информисање грађана, испитивање јавног мњења,</w:t>
      </w:r>
      <w:r>
        <w:rPr>
          <w:rFonts w:eastAsia="Times New Roman" w:cs="Calibri"/>
          <w:color w:val="222222"/>
          <w:lang w:val="sr-Latn-RS"/>
        </w:rPr>
        <w:t xml:space="preserve"> </w:t>
      </w:r>
      <w:r>
        <w:rPr>
          <w:rFonts w:eastAsia="Times New Roman" w:cs="Calibri"/>
          <w:color w:val="222222"/>
          <w:lang w:val="sr-Cyrl-RS"/>
        </w:rPr>
        <w:t xml:space="preserve">размјена </w:t>
      </w:r>
      <w:r>
        <w:rPr>
          <w:rFonts w:eastAsia="Times New Roman" w:cs="Calibri"/>
          <w:color w:val="222222"/>
          <w:lang w:val="sr-Latn-RS"/>
        </w:rPr>
        <w:t>знања</w:t>
      </w:r>
      <w:r>
        <w:rPr>
          <w:rFonts w:eastAsia="Times New Roman" w:cs="Calibri"/>
          <w:color w:val="222222"/>
          <w:lang w:val="sr-Cyrl-RS"/>
        </w:rPr>
        <w:t xml:space="preserve"> и искустава електронским путем (</w:t>
      </w:r>
      <w:r>
        <w:rPr>
          <w:rFonts w:eastAsia="Times New Roman" w:cs="Calibri"/>
          <w:color w:val="222222"/>
          <w:lang w:val="sr-Latn-RS"/>
        </w:rPr>
        <w:t>e-learning,</w:t>
      </w:r>
      <w:r>
        <w:rPr>
          <w:rFonts w:eastAsia="Times New Roman" w:cs="Calibri"/>
          <w:color w:val="222222"/>
          <w:lang w:val="sr-Cyrl-RS"/>
        </w:rPr>
        <w:t xml:space="preserve"> информативни</w:t>
      </w:r>
      <w:r>
        <w:rPr>
          <w:rFonts w:eastAsia="Times New Roman" w:cs="Calibri"/>
          <w:color w:val="222222"/>
          <w:lang w:val="sr-Latn-RS"/>
        </w:rPr>
        <w:t xml:space="preserve"> touch-screen </w:t>
      </w:r>
      <w:r>
        <w:rPr>
          <w:rFonts w:eastAsia="Times New Roman" w:cs="Calibri"/>
          <w:color w:val="222222"/>
          <w:lang w:val="sr-Cyrl-RS"/>
        </w:rPr>
        <w:t>пултови, испитивање задовољства корисника услуга путем електронских да/не анкета, е-комуникација управе и грађана).</w:t>
      </w:r>
    </w:p>
    <w:p>
      <w:pPr>
        <w:shd w:val="clear" w:color="auto" w:fill="FFFFFF"/>
        <w:spacing w:before="100" w:beforeAutospacing="1" w:after="24"/>
        <w:jc w:val="both"/>
        <w:rPr>
          <w:lang w:val="sr-Cyrl-RS"/>
        </w:rPr>
      </w:pPr>
      <w:r>
        <w:rPr>
          <w:rFonts w:eastAsia="Times New Roman" w:cs="Calibri"/>
          <w:color w:val="222222"/>
          <w:lang w:val="sr-Cyrl-RS"/>
        </w:rPr>
        <w:t xml:space="preserve">Постепеним увођењем </w:t>
      </w:r>
      <w:r>
        <w:rPr>
          <w:i/>
        </w:rPr>
        <w:t>Smart City</w:t>
      </w:r>
      <w:r>
        <w:rPr>
          <w:i/>
          <w:lang w:val="sr-Cyrl-RS"/>
        </w:rPr>
        <w:t xml:space="preserve"> </w:t>
      </w:r>
      <w:r>
        <w:rPr>
          <w:lang w:val="sr-Cyrl-RS"/>
        </w:rPr>
        <w:t>концепта, задовољава се принцип инклузије и у већој мјери се побољшава доступност услуга, смањују се физичке препреке и унапријеђује квалитет живота, нарочито, за особе са инвалидитетом.</w:t>
      </w:r>
    </w:p>
    <w:p>
      <w:pPr>
        <w:jc w:val="both"/>
      </w:pPr>
    </w:p>
    <w:p>
      <w:pPr>
        <w:pStyle w:val="46"/>
        <w:numPr>
          <w:ilvl w:val="0"/>
          <w:numId w:val="36"/>
        </w:numPr>
        <w:spacing w:before="0" w:after="160" w:line="259" w:lineRule="auto"/>
        <w:rPr>
          <w:b/>
          <w:lang w:val="hr-BA"/>
        </w:rPr>
      </w:pPr>
      <w:r>
        <w:rPr>
          <w:b/>
          <w:lang w:val="sr-Cyrl-RS"/>
        </w:rPr>
        <w:t xml:space="preserve">Развој Града као еколошки одрживе, комунално опремљене и енергетски ефикасне и безбједне средине, засноване на концепту </w:t>
      </w:r>
      <w:r>
        <w:rPr>
          <w:b/>
          <w:i/>
          <w:lang w:val="sr-Latn-RS"/>
        </w:rPr>
        <w:t>Green City</w:t>
      </w:r>
    </w:p>
    <w:p>
      <w:pPr>
        <w:spacing w:after="160" w:line="259" w:lineRule="auto"/>
        <w:jc w:val="both"/>
        <w:rPr>
          <w:lang w:val="sr-Cyrl-RS"/>
        </w:rPr>
      </w:pPr>
      <w:r>
        <w:rPr>
          <w:lang w:val="sr-Cyrl-RS"/>
        </w:rPr>
        <w:t>Бања Лука је један од најзеленијих градова у Европи. Бројни паркови, зелене површине, алеје и рекреативне зоне представљају њену значајну компаративну предност и велику шансу да постане један од водећих</w:t>
      </w:r>
      <w:r>
        <w:rPr>
          <w:lang w:val="sr-Latn-RS"/>
        </w:rPr>
        <w:t xml:space="preserve"> </w:t>
      </w:r>
      <w:r>
        <w:rPr>
          <w:lang w:val="sr-Cyrl-RS"/>
        </w:rPr>
        <w:t xml:space="preserve">градова са одликама </w:t>
      </w:r>
      <w:r>
        <w:rPr>
          <w:i/>
          <w:lang w:val="sr-Latn-RS"/>
        </w:rPr>
        <w:t>Green City</w:t>
      </w:r>
      <w:r>
        <w:rPr>
          <w:lang w:val="sr-Cyrl-RS"/>
        </w:rPr>
        <w:t xml:space="preserve"> у региону. Зато је одрживо управљање зеленим површинама и другим природним ресурсима на територији града препознато као један од кључних стратешких фокуса и циљева интегрисаног развоја у периоду 2018-2027. године. </w:t>
      </w:r>
    </w:p>
    <w:p>
      <w:pPr>
        <w:spacing w:after="160" w:line="259" w:lineRule="auto"/>
        <w:jc w:val="both"/>
        <w:rPr>
          <w:lang w:val="sr-Cyrl-RS"/>
        </w:rPr>
      </w:pPr>
      <w:r>
        <w:rPr>
          <w:lang w:val="sr-Cyrl-RS"/>
        </w:rPr>
        <w:t>Концепт „зеленог“ града (</w:t>
      </w:r>
      <w:r>
        <w:rPr>
          <w:i/>
          <w:lang w:val="sr-Latn-RS"/>
        </w:rPr>
        <w:t>Green City</w:t>
      </w:r>
      <w:r>
        <w:rPr>
          <w:lang w:val="sr-Cyrl-RS"/>
        </w:rPr>
        <w:t xml:space="preserve">) подразумијева уређење зелених урбаних површина, паркова, рекреативних зона, обала Врбаса и притока и управљање природним ресурсима на одговоран и креативан начин. Сагледавају се како естетски, тако и функционални аспекти, са фокусом на заштиту урбане животне средине, у контексту друштвеног и економског развоја. Посебан потенцијал представљају зелена подручја око Града (Бањ брдо, Старчевица, Шибови, Траписти,..) за развој рекреативних садржаја, спорта, те здравог стила живота. </w:t>
      </w:r>
    </w:p>
    <w:p>
      <w:pPr>
        <w:spacing w:after="160" w:line="259" w:lineRule="auto"/>
        <w:jc w:val="both"/>
        <w:rPr>
          <w:lang w:val="sr-Cyrl-RS"/>
        </w:rPr>
      </w:pPr>
      <w:r>
        <w:rPr>
          <w:i/>
          <w:lang w:val="sr-Latn-RS"/>
        </w:rPr>
        <w:t>Green City</w:t>
      </w:r>
      <w:r>
        <w:rPr>
          <w:lang w:val="sr-Cyrl-RS"/>
        </w:rPr>
        <w:t xml:space="preserve"> је интегрисан приступ управљању свим еколошким аспектима у локалној заједници, укључујући: квалитет воде, водоснабдјевања, прикупљања и пречишћавања отпадних вода, квалитет ваздуха, еколошко управљање отпадом (сепарација и рециклажа), коришћење обновљивих извора енергије, даљинско гријање на биомасу, регулисање саобраћаја и смањење емисије штетних гасова увођењем аутобуса на електрични погон или јавно доступних бицикала, редукција буке и уређење зелених јавних површина – паркова, алеја, кружних токова, рекреативних зона и осталих, елементарних и напредних услуга за грађане на цијелом подручју, а нарочито у приградским и сеоским подручјима која још обилују инфраструктурним проблемима.</w:t>
      </w:r>
    </w:p>
    <w:p>
      <w:pPr>
        <w:spacing w:after="160" w:line="259" w:lineRule="auto"/>
        <w:jc w:val="both"/>
        <w:rPr>
          <w:rFonts w:ascii="Arial" w:hAnsi="Arial" w:cs="Arial"/>
          <w:color w:val="000000"/>
          <w:sz w:val="19"/>
          <w:szCs w:val="19"/>
        </w:rPr>
      </w:pPr>
      <w:r>
        <w:rPr>
          <w:rFonts w:cs="Calibri"/>
          <w:i/>
          <w:lang w:val="sr-Latn-RS"/>
        </w:rPr>
        <w:t>Green City</w:t>
      </w:r>
      <w:r>
        <w:rPr>
          <w:rFonts w:cs="Calibri"/>
          <w:lang w:val="sr-Cyrl-RS"/>
        </w:rPr>
        <w:t xml:space="preserve"> је једна врста неформалног савеза градова и општина широм свијета, који имају исти циљ – смањење штетних утицаја на животну средину тако што ће смањити количину отпада, проширити рециклажу, проширити отворени, зелени простор и тргове ради боље искоришћености земљишта и економичне изградње стамбених блокова, те пружити подршку локалним привредницима и </w:t>
      </w:r>
      <w:r>
        <w:rPr>
          <w:lang w:val="sr-Cyrl-RS"/>
        </w:rPr>
        <w:t>предузетницима</w:t>
      </w:r>
      <w:r>
        <w:rPr>
          <w:rFonts w:cs="Calibri"/>
          <w:lang w:val="sr-Cyrl-RS"/>
        </w:rPr>
        <w:t xml:space="preserve"> кроз подстицаје за дјелатности које не угрожавају животну средину или које промовишу њену заштиту. </w:t>
      </w:r>
    </w:p>
    <w:p>
      <w:pPr>
        <w:spacing w:after="160" w:line="259" w:lineRule="auto"/>
        <w:jc w:val="both"/>
        <w:rPr>
          <w:lang w:val="sr-Cyrl-RS"/>
        </w:rPr>
      </w:pPr>
      <w:r>
        <w:rPr>
          <w:lang w:val="sr-Cyrl-RS"/>
        </w:rPr>
        <w:t xml:space="preserve">Одрживост зеленог јавног простора посматра се и планира, како квантитативно (у смислу површине односа зелених површина и грађевинског земљишта и задатих еколошких параметара, (цијена озелењавања и одржавања), тако и квалитативно (на који начин је тај простор оплемењен, како изгледа, какву функцију има, које садржаје нуди и сл.). </w:t>
      </w:r>
    </w:p>
    <w:p>
      <w:pPr>
        <w:spacing w:after="160" w:line="259" w:lineRule="auto"/>
        <w:jc w:val="both"/>
        <w:rPr>
          <w:lang w:val="sr-Cyrl-RS"/>
        </w:rPr>
      </w:pPr>
      <w:r>
        <w:rPr>
          <w:lang w:val="sr-Cyrl-RS"/>
        </w:rPr>
        <w:t>Осим еколошког аспекта - „паркови су плућа града“, паркови, рекреативни простори, дјечија игралишта и друге зелене јавне површине развијају културу његовања и кориштења јавног простора, али су и мјеста у којима грађани и посјетиоци проводе своје вријеме, па на тај начин доприносе друштвеној кохезији. Из тог разлога, развој садржаја на тим просторима је од кључног значаја.</w:t>
      </w:r>
    </w:p>
    <w:p>
      <w:pPr>
        <w:spacing w:after="160" w:line="259" w:lineRule="auto"/>
        <w:jc w:val="both"/>
        <w:rPr>
          <w:lang w:val="sr-Cyrl-RS"/>
        </w:rPr>
      </w:pPr>
      <w:r>
        <w:rPr>
          <w:lang w:val="sr-Cyrl-RS"/>
        </w:rPr>
        <w:t xml:space="preserve">У неким градовима постоје и примјери добре праксе остваривања економске користи, кроз комерцијалне садржаје, уштеде енергије, итд. Садржаји који се нуде у оквиру зелених јавних површина се могу значајно обогатити комбиновањем два концепта - </w:t>
      </w:r>
      <w:r>
        <w:rPr>
          <w:lang w:val="sr-Latn-RS"/>
        </w:rPr>
        <w:t>Green City</w:t>
      </w:r>
      <w:r>
        <w:rPr>
          <w:lang w:val="sr-Cyrl-RS"/>
        </w:rPr>
        <w:t xml:space="preserve"> и</w:t>
      </w:r>
      <w:r>
        <w:rPr>
          <w:lang w:val="sr-Latn-RS"/>
        </w:rPr>
        <w:t xml:space="preserve"> Smart City</w:t>
      </w:r>
      <w:r>
        <w:rPr>
          <w:lang w:val="sr-Cyrl-RS"/>
        </w:rPr>
        <w:t>. На примјер, у граду Рејкјавику, за градски превоз и гријање у потпуности се користе обновљиви извори енергије</w:t>
      </w:r>
      <w:r>
        <w:rPr>
          <w:rStyle w:val="31"/>
          <w:lang w:val="sr-Cyrl-RS"/>
        </w:rPr>
        <w:footnoteReference w:id="98"/>
      </w:r>
      <w:r>
        <w:rPr>
          <w:lang w:val="sr-Cyrl-RS"/>
        </w:rPr>
        <w:t xml:space="preserve">. </w:t>
      </w:r>
    </w:p>
    <w:p>
      <w:pPr>
        <w:jc w:val="both"/>
        <w:rPr>
          <w:lang w:val="sr-Cyrl-RS"/>
        </w:rPr>
      </w:pPr>
      <w:r>
        <w:rPr>
          <w:lang w:val="sr-Cyrl-RS"/>
        </w:rPr>
        <w:t>У домену заштите животне средине, рурално становништво се, такође, суочава са проблемима, у дијелу водоснабдијевања и одвода отпадних вода, појаве дивљих депонија, загађења земљишта и ваздуха. Због тога је, и за рурална подручја кључно фокусирање на очување здраве животне средине.</w:t>
      </w:r>
    </w:p>
    <w:p>
      <w:pPr>
        <w:spacing w:after="160" w:line="259" w:lineRule="auto"/>
        <w:jc w:val="both"/>
        <w:rPr>
          <w:lang w:val="sr-Cyrl-RS"/>
        </w:rPr>
      </w:pPr>
    </w:p>
    <w:p>
      <w:pPr>
        <w:jc w:val="both"/>
      </w:pPr>
    </w:p>
    <w:p>
      <w:pPr>
        <w:pStyle w:val="46"/>
        <w:numPr>
          <w:ilvl w:val="0"/>
          <w:numId w:val="36"/>
        </w:numPr>
        <w:spacing w:before="0" w:after="160" w:line="259" w:lineRule="auto"/>
        <w:rPr>
          <w:b/>
          <w:lang w:val="hr-BA"/>
        </w:rPr>
      </w:pPr>
      <w:r>
        <w:rPr>
          <w:b/>
          <w:lang w:val="sr-Cyrl-RS"/>
        </w:rPr>
        <w:t xml:space="preserve">Развој Бања Луке као Европске </w:t>
      </w:r>
      <w:r>
        <w:rPr>
          <w:b/>
        </w:rPr>
        <w:t>престониц</w:t>
      </w:r>
      <w:r>
        <w:rPr>
          <w:b/>
          <w:lang w:val="sr-Cyrl-RS"/>
        </w:rPr>
        <w:t>е</w:t>
      </w:r>
      <w:r>
        <w:rPr>
          <w:b/>
          <w:lang w:val="hr-BA"/>
        </w:rPr>
        <w:t xml:space="preserve"> </w:t>
      </w:r>
      <w:r>
        <w:rPr>
          <w:b/>
        </w:rPr>
        <w:t>културе</w:t>
      </w:r>
      <w:r>
        <w:rPr>
          <w:b/>
          <w:lang w:val="hr-BA"/>
        </w:rPr>
        <w:t xml:space="preserve">, </w:t>
      </w:r>
      <w:r>
        <w:rPr>
          <w:b/>
        </w:rPr>
        <w:t>град</w:t>
      </w:r>
      <w:r>
        <w:rPr>
          <w:b/>
          <w:lang w:val="sr-Cyrl-RS"/>
        </w:rPr>
        <w:t>а</w:t>
      </w:r>
      <w:r>
        <w:rPr>
          <w:b/>
          <w:lang w:val="hr-BA"/>
        </w:rPr>
        <w:t xml:space="preserve"> </w:t>
      </w:r>
      <w:r>
        <w:rPr>
          <w:b/>
        </w:rPr>
        <w:t>спорта</w:t>
      </w:r>
      <w:r>
        <w:rPr>
          <w:b/>
          <w:lang w:val="sr-Cyrl-RS"/>
        </w:rPr>
        <w:t>, здравља</w:t>
      </w:r>
      <w:r>
        <w:rPr>
          <w:b/>
          <w:lang w:val="hr-BA"/>
        </w:rPr>
        <w:t xml:space="preserve"> </w:t>
      </w:r>
      <w:r>
        <w:rPr>
          <w:b/>
        </w:rPr>
        <w:t>и</w:t>
      </w:r>
      <w:r>
        <w:rPr>
          <w:b/>
          <w:lang w:val="hr-BA"/>
        </w:rPr>
        <w:t xml:space="preserve"> </w:t>
      </w:r>
      <w:r>
        <w:rPr>
          <w:b/>
          <w:lang w:val="sr-Cyrl-RS"/>
        </w:rPr>
        <w:t>знања, која осигурава ангажовање различитих друштвених група и укључивање свих социјалних категорија</w:t>
      </w:r>
    </w:p>
    <w:p>
      <w:pPr>
        <w:jc w:val="both"/>
        <w:rPr>
          <w:lang w:val="sr-Cyrl-RS"/>
        </w:rPr>
      </w:pPr>
    </w:p>
    <w:p>
      <w:pPr>
        <w:jc w:val="both"/>
        <w:rPr>
          <w:lang w:val="sr-Cyrl-RS"/>
        </w:rPr>
      </w:pPr>
      <w:r>
        <w:rPr>
          <w:lang w:val="sr-Cyrl-RS"/>
        </w:rPr>
        <w:t xml:space="preserve">Четврти стратешки фокус односи се на инфраструктурно опремање културних, спортских, здравствених и образовних институција, јачање капацитета људских ресурса, обогаћивање постојећих и развој нових садржаја у циљу побољшања квалитета живота грађана и понуде атрактивних и корисних садржаја посјетиоцима града Бања Лука. </w:t>
      </w:r>
    </w:p>
    <w:p>
      <w:pPr>
        <w:jc w:val="both"/>
        <w:rPr>
          <w:lang w:val="sr-Cyrl-RS"/>
        </w:rPr>
      </w:pPr>
    </w:p>
    <w:p>
      <w:pPr>
        <w:jc w:val="both"/>
        <w:rPr>
          <w:rFonts w:cs="Calibri"/>
          <w:color w:val="222222"/>
          <w:shd w:val="clear" w:color="auto" w:fill="FFFFFF"/>
          <w:lang w:val="sr-Cyrl-RS"/>
        </w:rPr>
      </w:pPr>
      <w:r>
        <w:rPr>
          <w:lang w:val="sr-Cyrl-RS"/>
        </w:rPr>
        <w:t xml:space="preserve">Град Бања Лука располаже великим потенцијалом за развој културе, а кандидатура за статус Европске престонице културе 2024. године, је шанса за Бања Луку, не само да се боље позиционира на културној карти Европе и оствари међународну сарадњу, већ и за даље инфраструктурно унапређење, увођење нових културних садржаја и остваривање економске користи. </w:t>
      </w:r>
      <w:r>
        <w:rPr>
          <w:rFonts w:cs="Calibri"/>
          <w:color w:val="222222"/>
          <w:shd w:val="clear" w:color="auto" w:fill="FFFFFF"/>
          <w:lang w:val="sr-Cyrl-RS"/>
        </w:rPr>
        <w:t>Стицање</w:t>
      </w:r>
      <w:r>
        <w:rPr>
          <w:rFonts w:cs="Calibri"/>
          <w:color w:val="222222"/>
          <w:shd w:val="clear" w:color="auto" w:fill="FFFFFF"/>
        </w:rPr>
        <w:t xml:space="preserve"> </w:t>
      </w:r>
      <w:r>
        <w:rPr>
          <w:rFonts w:cs="Calibri"/>
          <w:color w:val="222222"/>
          <w:shd w:val="clear" w:color="auto" w:fill="FFFFFF"/>
          <w:lang w:val="sr-Cyrl-RS"/>
        </w:rPr>
        <w:t>статуса</w:t>
      </w:r>
      <w:r>
        <w:rPr>
          <w:rFonts w:cs="Calibri"/>
          <w:color w:val="222222"/>
          <w:shd w:val="clear" w:color="auto" w:fill="FFFFFF"/>
        </w:rPr>
        <w:t xml:space="preserve"> Европске престонице културе</w:t>
      </w:r>
      <w:r>
        <w:rPr>
          <w:rStyle w:val="31"/>
          <w:rFonts w:cs="Calibri"/>
          <w:color w:val="222222"/>
          <w:shd w:val="clear" w:color="auto" w:fill="FFFFFF"/>
        </w:rPr>
        <w:footnoteReference w:id="99"/>
      </w:r>
      <w:r>
        <w:rPr>
          <w:rFonts w:cs="Calibri"/>
          <w:color w:val="222222"/>
          <w:shd w:val="clear" w:color="auto" w:fill="FFFFFF"/>
        </w:rPr>
        <w:t xml:space="preserve"> </w:t>
      </w:r>
      <w:r>
        <w:rPr>
          <w:rFonts w:cs="Calibri"/>
          <w:color w:val="222222"/>
          <w:shd w:val="clear" w:color="auto" w:fill="FFFFFF"/>
          <w:lang w:val="sr-Cyrl-RS"/>
        </w:rPr>
        <w:t xml:space="preserve">је прилика за међународну афирмацију Града </w:t>
      </w:r>
      <w:r>
        <w:rPr>
          <w:rFonts w:cs="Calibri"/>
          <w:color w:val="222222"/>
          <w:shd w:val="clear" w:color="auto" w:fill="FFFFFF"/>
        </w:rPr>
        <w:t xml:space="preserve">али и </w:t>
      </w:r>
      <w:r>
        <w:rPr>
          <w:rFonts w:cs="Calibri"/>
          <w:color w:val="222222"/>
          <w:shd w:val="clear" w:color="auto" w:fill="FFFFFF"/>
          <w:lang w:val="sr-Cyrl-RS"/>
        </w:rPr>
        <w:t>шанса</w:t>
      </w:r>
      <w:r>
        <w:rPr>
          <w:rFonts w:cs="Calibri"/>
          <w:color w:val="222222"/>
          <w:shd w:val="clear" w:color="auto" w:fill="FFFFFF"/>
        </w:rPr>
        <w:t xml:space="preserve"> за </w:t>
      </w:r>
      <w:r>
        <w:rPr>
          <w:rFonts w:cs="Calibri"/>
          <w:color w:val="222222"/>
          <w:shd w:val="clear" w:color="auto" w:fill="FFFFFF"/>
          <w:lang w:val="sr-Cyrl-RS"/>
        </w:rPr>
        <w:t xml:space="preserve">његов </w:t>
      </w:r>
      <w:r>
        <w:rPr>
          <w:rFonts w:cs="Calibri"/>
          <w:color w:val="222222"/>
          <w:shd w:val="clear" w:color="auto" w:fill="FFFFFF"/>
        </w:rPr>
        <w:t xml:space="preserve">веома брз и свеобухватан развој </w:t>
      </w:r>
      <w:r>
        <w:rPr>
          <w:rFonts w:cs="Calibri"/>
          <w:color w:val="222222"/>
          <w:shd w:val="clear" w:color="auto" w:fill="FFFFFF"/>
          <w:lang w:val="sr-Cyrl-RS"/>
        </w:rPr>
        <w:t xml:space="preserve">и ефективан </w:t>
      </w:r>
      <w:r>
        <w:rPr>
          <w:rFonts w:cs="Calibri"/>
          <w:color w:val="222222"/>
          <w:shd w:val="clear" w:color="auto" w:fill="FFFFFF"/>
        </w:rPr>
        <w:t xml:space="preserve">начин </w:t>
      </w:r>
      <w:r>
        <w:rPr>
          <w:rFonts w:cs="Calibri"/>
          <w:color w:val="222222"/>
          <w:shd w:val="clear" w:color="auto" w:fill="FFFFFF"/>
          <w:lang w:val="sr-Cyrl-RS"/>
        </w:rPr>
        <w:t xml:space="preserve">за подизање </w:t>
      </w:r>
      <w:r>
        <w:rPr>
          <w:rFonts w:cs="Calibri"/>
          <w:color w:val="222222"/>
          <w:shd w:val="clear" w:color="auto" w:fill="FFFFFF"/>
        </w:rPr>
        <w:t xml:space="preserve">културног и </w:t>
      </w:r>
      <w:r>
        <w:rPr>
          <w:rFonts w:cs="Calibri"/>
          <w:color w:val="222222"/>
          <w:shd w:val="clear" w:color="auto" w:fill="FFFFFF"/>
          <w:lang w:val="sr-Cyrl-RS"/>
        </w:rPr>
        <w:t>свеукупног квалитета</w:t>
      </w:r>
      <w:r>
        <w:rPr>
          <w:rFonts w:cs="Calibri"/>
          <w:color w:val="222222"/>
          <w:shd w:val="clear" w:color="auto" w:fill="FFFFFF"/>
        </w:rPr>
        <w:t xml:space="preserve"> живота у граду. </w:t>
      </w:r>
      <w:r>
        <w:rPr>
          <w:rFonts w:cs="Calibri"/>
          <w:color w:val="222222"/>
          <w:shd w:val="clear" w:color="auto" w:fill="FFFFFF"/>
          <w:lang w:val="sr-Cyrl-RS"/>
        </w:rPr>
        <w:t xml:space="preserve">Овај престижни статус може дати значајан допринос бољем остваривању резултата и у свим претходним стратешким фокусима. Искуства градова који су претходно носили ову титулу указују да се она </w:t>
      </w:r>
      <w:r>
        <w:rPr>
          <w:rFonts w:cs="Calibri"/>
          <w:color w:val="222222"/>
          <w:shd w:val="clear" w:color="auto" w:fill="FFFFFF"/>
        </w:rPr>
        <w:t>све више</w:t>
      </w:r>
      <w:r>
        <w:rPr>
          <w:rFonts w:cs="Calibri"/>
          <w:color w:val="222222"/>
          <w:shd w:val="clear" w:color="auto" w:fill="FFFFFF"/>
          <w:lang w:val="sr-Cyrl-RS"/>
        </w:rPr>
        <w:t xml:space="preserve"> користи као средство за остварење</w:t>
      </w:r>
      <w:r>
        <w:rPr>
          <w:rFonts w:cs="Calibri"/>
          <w:color w:val="222222"/>
          <w:shd w:val="clear" w:color="auto" w:fill="FFFFFF"/>
        </w:rPr>
        <w:t xml:space="preserve"> повољни</w:t>
      </w:r>
      <w:r>
        <w:rPr>
          <w:rFonts w:cs="Calibri"/>
          <w:color w:val="222222"/>
          <w:shd w:val="clear" w:color="auto" w:fill="FFFFFF"/>
          <w:lang w:val="sr-Cyrl-RS"/>
        </w:rPr>
        <w:t>х</w:t>
      </w:r>
      <w:r>
        <w:rPr>
          <w:rFonts w:cs="Calibri"/>
          <w:color w:val="222222"/>
          <w:shd w:val="clear" w:color="auto" w:fill="FFFFFF"/>
        </w:rPr>
        <w:t xml:space="preserve"> привредни</w:t>
      </w:r>
      <w:r>
        <w:rPr>
          <w:rFonts w:cs="Calibri"/>
          <w:color w:val="222222"/>
          <w:shd w:val="clear" w:color="auto" w:fill="FFFFFF"/>
          <w:lang w:val="sr-Cyrl-RS"/>
        </w:rPr>
        <w:t>х</w:t>
      </w:r>
      <w:r>
        <w:rPr>
          <w:rFonts w:cs="Calibri"/>
          <w:color w:val="222222"/>
          <w:shd w:val="clear" w:color="auto" w:fill="FFFFFF"/>
        </w:rPr>
        <w:t xml:space="preserve"> и друштвени</w:t>
      </w:r>
      <w:r>
        <w:rPr>
          <w:rFonts w:cs="Calibri"/>
          <w:color w:val="222222"/>
          <w:shd w:val="clear" w:color="auto" w:fill="FFFFFF"/>
          <w:lang w:val="sr-Cyrl-RS"/>
        </w:rPr>
        <w:t>х</w:t>
      </w:r>
      <w:r>
        <w:rPr>
          <w:rFonts w:cs="Calibri"/>
          <w:color w:val="222222"/>
          <w:shd w:val="clear" w:color="auto" w:fill="FFFFFF"/>
        </w:rPr>
        <w:t xml:space="preserve"> </w:t>
      </w:r>
      <w:r>
        <w:rPr>
          <w:rFonts w:cs="Calibri"/>
          <w:color w:val="222222"/>
          <w:shd w:val="clear" w:color="auto" w:fill="FFFFFF"/>
          <w:lang w:val="sr-Cyrl-RS"/>
        </w:rPr>
        <w:t>циљева</w:t>
      </w:r>
      <w:r>
        <w:rPr>
          <w:rFonts w:cs="Calibri"/>
          <w:color w:val="222222"/>
          <w:shd w:val="clear" w:color="auto" w:fill="FFFFFF"/>
        </w:rPr>
        <w:t xml:space="preserve"> </w:t>
      </w:r>
      <w:r>
        <w:rPr>
          <w:rFonts w:cs="Calibri"/>
          <w:color w:val="222222"/>
          <w:shd w:val="clear" w:color="auto" w:fill="FFFFFF"/>
          <w:lang w:val="sr-Cyrl-RS"/>
        </w:rPr>
        <w:t>у бројним областима</w:t>
      </w:r>
      <w:r>
        <w:rPr>
          <w:rFonts w:cs="Calibri"/>
          <w:shd w:val="clear" w:color="auto" w:fill="FFFFFF"/>
        </w:rPr>
        <w:t xml:space="preserve"> (</w:t>
      </w:r>
      <w:r>
        <w:fldChar w:fldCharType="begin"/>
      </w:r>
      <w:r>
        <w:instrText xml:space="preserve"> HYPERLINK "https://sr.wikipedia.org/wiki/%D0%A2%D1%83%D1%80%D0%B8%D0%B7%D0%B0%D0%BC" \o "Туризам" </w:instrText>
      </w:r>
      <w:r>
        <w:fldChar w:fldCharType="separate"/>
      </w:r>
      <w:r>
        <w:rPr>
          <w:rStyle w:val="33"/>
          <w:rFonts w:cs="Calibri"/>
          <w:color w:val="auto"/>
          <w:u w:val="none"/>
          <w:shd w:val="clear" w:color="auto" w:fill="FFFFFF"/>
        </w:rPr>
        <w:t>туризам</w:t>
      </w:r>
      <w:r>
        <w:rPr>
          <w:rStyle w:val="33"/>
          <w:rFonts w:cs="Calibri"/>
          <w:color w:val="auto"/>
          <w:u w:val="none"/>
          <w:shd w:val="clear" w:color="auto" w:fill="FFFFFF"/>
        </w:rPr>
        <w:fldChar w:fldCharType="end"/>
      </w:r>
      <w:r>
        <w:rPr>
          <w:rFonts w:cs="Calibri"/>
          <w:shd w:val="clear" w:color="auto" w:fill="FFFFFF"/>
        </w:rPr>
        <w:t>, </w:t>
      </w:r>
      <w:r>
        <w:fldChar w:fldCharType="begin"/>
      </w:r>
      <w:r>
        <w:instrText xml:space="preserve"> HYPERLINK "https://sr.wikipedia.org/wiki/%D0%A3%D0%B3%D0%BE%D1%81%D1%82%D0%B8%D1%82%D0%B5%D1%99%D1%81%D1%82%D0%B2%D0%BE" \o "Угоститељство" </w:instrText>
      </w:r>
      <w:r>
        <w:fldChar w:fldCharType="separate"/>
      </w:r>
      <w:r>
        <w:rPr>
          <w:rStyle w:val="33"/>
          <w:rFonts w:cs="Calibri"/>
          <w:color w:val="auto"/>
          <w:u w:val="none"/>
          <w:shd w:val="clear" w:color="auto" w:fill="FFFFFF"/>
        </w:rPr>
        <w:t>угоститељство</w:t>
      </w:r>
      <w:r>
        <w:rPr>
          <w:rStyle w:val="33"/>
          <w:rFonts w:cs="Calibri"/>
          <w:color w:val="auto"/>
          <w:u w:val="none"/>
          <w:shd w:val="clear" w:color="auto" w:fill="FFFFFF"/>
        </w:rPr>
        <w:fldChar w:fldCharType="end"/>
      </w:r>
      <w:r>
        <w:rPr>
          <w:rFonts w:cs="Calibri"/>
          <w:shd w:val="clear" w:color="auto" w:fill="FFFFFF"/>
        </w:rPr>
        <w:t>, </w:t>
      </w:r>
      <w:r>
        <w:fldChar w:fldCharType="begin"/>
      </w:r>
      <w:r>
        <w:instrText xml:space="preserve"> HYPERLINK "https://sr.wikipedia.org/wiki/%D0%A3%D1%81%D0%BB%D1%83%D0%B3%D0%B0" \o "Услуга" </w:instrText>
      </w:r>
      <w:r>
        <w:fldChar w:fldCharType="separate"/>
      </w:r>
      <w:r>
        <w:rPr>
          <w:rStyle w:val="33"/>
          <w:rFonts w:cs="Calibri"/>
          <w:color w:val="auto"/>
          <w:u w:val="none"/>
          <w:shd w:val="clear" w:color="auto" w:fill="FFFFFF"/>
        </w:rPr>
        <w:t>услуге</w:t>
      </w:r>
      <w:r>
        <w:rPr>
          <w:rStyle w:val="33"/>
          <w:rFonts w:cs="Calibri"/>
          <w:color w:val="auto"/>
          <w:u w:val="none"/>
          <w:shd w:val="clear" w:color="auto" w:fill="FFFFFF"/>
        </w:rPr>
        <w:fldChar w:fldCharType="end"/>
      </w:r>
      <w:r>
        <w:rPr>
          <w:rFonts w:cs="Calibri"/>
          <w:shd w:val="clear" w:color="auto" w:fill="FFFFFF"/>
        </w:rPr>
        <w:t>, </w:t>
      </w:r>
      <w:r>
        <w:fldChar w:fldCharType="begin"/>
      </w:r>
      <w:r>
        <w:instrText xml:space="preserve"> HYPERLINK "https://sr.wikipedia.org/wiki/%D0%A1%D0%B0%D0%BE%D0%B1%D1%80%D0%B0%D1%9B%D0%B0%D1%98" \o "Саобраћај" </w:instrText>
      </w:r>
      <w:r>
        <w:fldChar w:fldCharType="separate"/>
      </w:r>
      <w:r>
        <w:rPr>
          <w:rStyle w:val="33"/>
          <w:rFonts w:cs="Calibri"/>
          <w:color w:val="auto"/>
          <w:u w:val="none"/>
          <w:shd w:val="clear" w:color="auto" w:fill="FFFFFF"/>
        </w:rPr>
        <w:t>саобраћај</w:t>
      </w:r>
      <w:r>
        <w:rPr>
          <w:rStyle w:val="33"/>
          <w:rFonts w:cs="Calibri"/>
          <w:color w:val="auto"/>
          <w:u w:val="none"/>
          <w:shd w:val="clear" w:color="auto" w:fill="FFFFFF"/>
        </w:rPr>
        <w:fldChar w:fldCharType="end"/>
      </w:r>
      <w:r>
        <w:rPr>
          <w:rStyle w:val="33"/>
          <w:rFonts w:cs="Calibri"/>
          <w:color w:val="auto"/>
          <w:u w:val="none"/>
          <w:shd w:val="clear" w:color="auto" w:fill="FFFFFF"/>
          <w:lang w:val="sr-Cyrl-RS"/>
        </w:rPr>
        <w:t xml:space="preserve"> и др.</w:t>
      </w:r>
      <w:r>
        <w:rPr>
          <w:rFonts w:cs="Calibri"/>
          <w:shd w:val="clear" w:color="auto" w:fill="FFFFFF"/>
        </w:rPr>
        <w:t>).</w:t>
      </w:r>
      <w:r>
        <w:rPr>
          <w:rFonts w:cs="Calibri"/>
          <w:shd w:val="clear" w:color="auto" w:fill="FFFFFF"/>
          <w:lang w:val="sr-Cyrl-RS"/>
        </w:rPr>
        <w:t xml:space="preserve"> </w:t>
      </w:r>
    </w:p>
    <w:p>
      <w:pPr>
        <w:jc w:val="both"/>
        <w:rPr>
          <w:rFonts w:cs="Calibri"/>
          <w:shd w:val="clear" w:color="auto" w:fill="FFFFFF"/>
        </w:rPr>
      </w:pPr>
    </w:p>
    <w:p>
      <w:pPr>
        <w:jc w:val="both"/>
        <w:rPr>
          <w:lang w:val="sr-Cyrl-RS"/>
        </w:rPr>
      </w:pPr>
      <w:r>
        <w:rPr>
          <w:lang w:val="sr-Cyrl-RS"/>
        </w:rPr>
        <w:t>Остале одреднице овог стратешког фокуса заснивају се на предностима и шансама за даљи развој као града спорта, здравственог и образовног центра региона, који осигурава и ангажовање различитих друштвених група и укључивање свих социјалних категорија.</w:t>
      </w:r>
    </w:p>
    <w:p>
      <w:pPr>
        <w:jc w:val="both"/>
        <w:rPr>
          <w:lang w:val="sr-Cyrl-RS"/>
        </w:rPr>
      </w:pPr>
    </w:p>
    <w:p>
      <w:pPr>
        <w:jc w:val="both"/>
        <w:rPr>
          <w:lang w:val="sr-Cyrl-RS"/>
        </w:rPr>
      </w:pPr>
      <w:r>
        <w:rPr>
          <w:lang w:val="sr-Cyrl-RS"/>
        </w:rPr>
        <w:t>Спорт ће се систематски подстицати на свим нивоима - кроз изградњу инфраструктуре, програм школског спорта, развој спортова и спортских клубова који су препознати као стратешка предност града.</w:t>
      </w:r>
      <w:r>
        <w:rPr>
          <w:lang w:val="sr-Latn-RS"/>
        </w:rPr>
        <w:t xml:space="preserve"> </w:t>
      </w:r>
      <w:r>
        <w:rPr>
          <w:lang w:val="sr-Cyrl-RS"/>
        </w:rPr>
        <w:t>Програмом развоја спорта Града Бања Лука за период 2018-2022. године</w:t>
      </w:r>
      <w:r>
        <w:rPr>
          <w:lang w:val="sr-Latn-RS"/>
        </w:rPr>
        <w:t>,</w:t>
      </w:r>
      <w:r>
        <w:rPr>
          <w:lang w:val="sr-Cyrl-RS"/>
        </w:rPr>
        <w:t xml:space="preserve"> дефинисани су јасни основни и посебни циљеви развоја спорта у граду Бања Лука, који ће се реализовати кроз неколико различитих програма и пројеката како би се што више утицало на развој спорта код основношколске дјеце и омладине, као и вредновању остварених спортских резултата и изградње спортске инфраструктуре.</w:t>
      </w:r>
    </w:p>
    <w:p>
      <w:pPr>
        <w:jc w:val="both"/>
        <w:rPr>
          <w:lang w:val="sr-Cyrl-RS"/>
        </w:rPr>
      </w:pPr>
    </w:p>
    <w:p>
      <w:pPr>
        <w:jc w:val="both"/>
        <w:rPr>
          <w:lang w:val="sr-Cyrl-RS"/>
        </w:rPr>
      </w:pPr>
      <w:r>
        <w:rPr>
          <w:lang w:val="sr-Cyrl-RS"/>
        </w:rPr>
        <w:t xml:space="preserve">Циљ је и да се Бања Лука даље развија као здравствени центар региона са разноврсним и квалитетним услугама, кроз унапређење здравствених објеката, модернизацију опреме и промоцију здравствених услуга које се нуде на подручју града. </w:t>
      </w:r>
    </w:p>
    <w:p>
      <w:pPr>
        <w:jc w:val="both"/>
        <w:rPr>
          <w:lang w:val="sr-Cyrl-RS"/>
        </w:rPr>
      </w:pPr>
    </w:p>
    <w:p>
      <w:pPr>
        <w:jc w:val="both"/>
        <w:rPr>
          <w:lang w:val="sr-Cyrl-RS"/>
        </w:rPr>
      </w:pPr>
      <w:r>
        <w:rPr>
          <w:lang w:val="sr-Cyrl-RS"/>
        </w:rPr>
        <w:t>У оквиру овог стратешког циља посебна пажња ће се посветити јачању универзитетског духа града Бања Лука, као регионалног центра знања и иновација, те јачању сарадње између академске заједнице, јавне управе, цивилног и приватног сектора.</w:t>
      </w:r>
    </w:p>
    <w:p>
      <w:pPr>
        <w:jc w:val="both"/>
        <w:rPr>
          <w:lang w:val="sr-Cyrl-RS"/>
        </w:rPr>
      </w:pPr>
    </w:p>
    <w:p>
      <w:pPr>
        <w:jc w:val="both"/>
        <w:rPr>
          <w:lang w:val="sr-Cyrl-RS"/>
        </w:rPr>
      </w:pPr>
      <w:r>
        <w:rPr>
          <w:lang w:val="sr-Cyrl-RS"/>
        </w:rPr>
        <w:t xml:space="preserve">Према налазима приказаним у ситуационој анализи, друштвени развој руралних подручја подразумијева рјешавање проблема сеоског становништва у области изградње путне инфраструктуре, побољшан приступ здравственим и социјалним услугама,  изградњу „меке“ и „тврде“ инфраструктуре, неопходне за развој културних, образовних, спортских и рекреативних садржаја, те увођење интернета и електронских услуга за рурално становништво. </w:t>
      </w:r>
    </w:p>
    <w:p>
      <w:pPr>
        <w:jc w:val="both"/>
        <w:rPr>
          <w:lang w:val="sr-Cyrl-RS"/>
        </w:rPr>
      </w:pPr>
    </w:p>
    <w:p>
      <w:pPr>
        <w:jc w:val="both"/>
        <w:rPr>
          <w:b/>
          <w:lang w:val="sr-Cyrl-RS"/>
        </w:rPr>
      </w:pPr>
      <w:r>
        <w:rPr>
          <w:b/>
          <w:lang w:val="sr-Cyrl-RS"/>
        </w:rPr>
        <w:t>Визија града Бања Лука</w:t>
      </w:r>
    </w:p>
    <w:p>
      <w:pPr>
        <w:jc w:val="both"/>
        <w:rPr>
          <w:lang w:val="sr-Cyrl-RS"/>
        </w:rPr>
      </w:pPr>
    </w:p>
    <w:p>
      <w:pPr>
        <w:jc w:val="both"/>
      </w:pPr>
      <w:r>
        <w:t xml:space="preserve">Визија </w:t>
      </w:r>
      <w:r>
        <w:rPr>
          <w:lang w:val="sr-Cyrl-RS"/>
        </w:rPr>
        <w:t xml:space="preserve">града Бања Лука </w:t>
      </w:r>
      <w:r>
        <w:t xml:space="preserve">темељи се на сљедећим вриједностима: </w:t>
      </w:r>
    </w:p>
    <w:p>
      <w:pPr>
        <w:pStyle w:val="46"/>
        <w:numPr>
          <w:ilvl w:val="0"/>
          <w:numId w:val="39"/>
        </w:numPr>
        <w:rPr>
          <w:lang w:val="sr-Latn-RS"/>
        </w:rPr>
      </w:pPr>
      <w:r>
        <w:rPr>
          <w:lang w:val="sr-Cyrl-RS"/>
        </w:rPr>
        <w:t>Г</w:t>
      </w:r>
      <w:r>
        <w:rPr>
          <w:lang w:val="sr-Latn-RS"/>
        </w:rPr>
        <w:t xml:space="preserve">лавни град </w:t>
      </w:r>
      <w:r>
        <w:rPr>
          <w:lang w:val="sr-Cyrl-RS"/>
        </w:rPr>
        <w:t>и</w:t>
      </w:r>
      <w:r>
        <w:rPr>
          <w:lang w:val="sr-Latn-RS"/>
        </w:rPr>
        <w:t xml:space="preserve"> регионални центар</w:t>
      </w:r>
      <w:r>
        <w:rPr>
          <w:lang w:val="sr-Cyrl-RS"/>
        </w:rPr>
        <w:t xml:space="preserve"> (центар регије у Републици Српској и БиХ, али и центар регије у међународном окружењу)</w:t>
      </w:r>
      <w:r>
        <w:rPr>
          <w:lang w:val="sr-Latn-RS"/>
        </w:rPr>
        <w:t xml:space="preserve"> </w:t>
      </w:r>
    </w:p>
    <w:p>
      <w:pPr>
        <w:pStyle w:val="46"/>
        <w:numPr>
          <w:ilvl w:val="0"/>
          <w:numId w:val="39"/>
        </w:numPr>
        <w:rPr>
          <w:lang w:val="sr-Latn-RS"/>
        </w:rPr>
      </w:pPr>
      <w:r>
        <w:rPr>
          <w:lang w:val="sr-Cyrl-RS"/>
        </w:rPr>
        <w:t>М</w:t>
      </w:r>
      <w:r>
        <w:rPr>
          <w:lang w:val="sr-Latn-RS"/>
        </w:rPr>
        <w:t>одеран</w:t>
      </w:r>
      <w:r>
        <w:rPr>
          <w:lang w:val="sr-Cyrl-RS"/>
        </w:rPr>
        <w:t xml:space="preserve"> град</w:t>
      </w:r>
      <w:r>
        <w:rPr>
          <w:lang w:val="sr-Latn-RS"/>
        </w:rPr>
        <w:t xml:space="preserve"> </w:t>
      </w:r>
      <w:r>
        <w:rPr>
          <w:lang w:val="sr-Cyrl-RS"/>
        </w:rPr>
        <w:t>који се темељи на кључним европским вриједностима и смјерницама за развој</w:t>
      </w:r>
    </w:p>
    <w:p>
      <w:pPr>
        <w:pStyle w:val="46"/>
        <w:numPr>
          <w:ilvl w:val="0"/>
          <w:numId w:val="39"/>
        </w:numPr>
        <w:rPr>
          <w:lang w:val="sr-Cyrl-RS"/>
        </w:rPr>
      </w:pPr>
      <w:r>
        <w:rPr>
          <w:lang w:val="sr-Cyrl-RS"/>
        </w:rPr>
        <w:t>Средина са повољним амбијентом за пословање</w:t>
      </w:r>
      <w:r>
        <w:rPr>
          <w:lang w:val="sr-Latn-RS"/>
        </w:rPr>
        <w:t xml:space="preserve"> </w:t>
      </w:r>
      <w:r>
        <w:rPr>
          <w:i/>
          <w:lang w:val="sr-Latn-RS"/>
        </w:rPr>
        <w:t>(Business-Friendly City)</w:t>
      </w:r>
    </w:p>
    <w:p>
      <w:pPr>
        <w:pStyle w:val="46"/>
        <w:numPr>
          <w:ilvl w:val="0"/>
          <w:numId w:val="39"/>
        </w:numPr>
        <w:rPr>
          <w:lang w:val="sr-Cyrl-RS"/>
        </w:rPr>
      </w:pPr>
      <w:r>
        <w:rPr>
          <w:lang w:val="sr-Cyrl-RS"/>
        </w:rPr>
        <w:t>Економски развијен град пожељан за инвеститоре, који пружа погодности својим грађанима, шансу за запослење и живот појединаца и породице</w:t>
      </w:r>
    </w:p>
    <w:p>
      <w:pPr>
        <w:pStyle w:val="46"/>
        <w:numPr>
          <w:ilvl w:val="0"/>
          <w:numId w:val="39"/>
        </w:numPr>
        <w:rPr>
          <w:lang w:val="sr-Cyrl-RS"/>
        </w:rPr>
      </w:pPr>
      <w:r>
        <w:rPr>
          <w:lang w:val="sr-Cyrl-RS"/>
        </w:rPr>
        <w:t>Град савремених технологија, који нуди ефикасне јавне услуге за грађане и пословну заједницу</w:t>
      </w:r>
      <w:r>
        <w:rPr>
          <w:lang w:val="sr-Latn-RS"/>
        </w:rPr>
        <w:t xml:space="preserve"> </w:t>
      </w:r>
      <w:r>
        <w:rPr>
          <w:i/>
          <w:lang w:val="sr-Latn-RS"/>
        </w:rPr>
        <w:t>(Smart City</w:t>
      </w:r>
      <w:r>
        <w:rPr>
          <w:i/>
          <w:lang w:val="sr-Cyrl-RS"/>
        </w:rPr>
        <w:t>)</w:t>
      </w:r>
    </w:p>
    <w:p>
      <w:pPr>
        <w:pStyle w:val="46"/>
        <w:numPr>
          <w:ilvl w:val="0"/>
          <w:numId w:val="39"/>
        </w:numPr>
        <w:rPr>
          <w:i/>
          <w:lang w:val="sr-Cyrl-RS"/>
        </w:rPr>
      </w:pPr>
      <w:r>
        <w:rPr>
          <w:lang w:val="sr-Cyrl-RS"/>
        </w:rPr>
        <w:t xml:space="preserve">Град зеленила, чистог ваздуха и воде, и квалитетних јавних комуналних услуга </w:t>
      </w:r>
      <w:r>
        <w:rPr>
          <w:i/>
          <w:lang w:val="sr-Latn-RS"/>
        </w:rPr>
        <w:t>(Green City</w:t>
      </w:r>
      <w:r>
        <w:rPr>
          <w:i/>
          <w:lang w:val="sr-Cyrl-RS"/>
        </w:rPr>
        <w:t>)</w:t>
      </w:r>
    </w:p>
    <w:p>
      <w:pPr>
        <w:pStyle w:val="46"/>
        <w:numPr>
          <w:ilvl w:val="0"/>
          <w:numId w:val="39"/>
        </w:numPr>
        <w:rPr>
          <w:lang w:val="sr-Cyrl-RS"/>
        </w:rPr>
      </w:pPr>
      <w:r>
        <w:rPr>
          <w:lang w:val="sr-Cyrl-RS"/>
        </w:rPr>
        <w:t>Град који штити своју животну средину</w:t>
      </w:r>
    </w:p>
    <w:p>
      <w:pPr>
        <w:pStyle w:val="46"/>
        <w:numPr>
          <w:ilvl w:val="0"/>
          <w:numId w:val="39"/>
        </w:numPr>
        <w:rPr>
          <w:lang w:val="sr-Cyrl-RS"/>
        </w:rPr>
      </w:pPr>
      <w:r>
        <w:rPr>
          <w:lang w:val="sr-Cyrl-RS"/>
        </w:rPr>
        <w:t>И</w:t>
      </w:r>
      <w:r>
        <w:rPr>
          <w:lang w:val="sr-Latn-RS"/>
        </w:rPr>
        <w:t>нфраструктурн</w:t>
      </w:r>
      <w:r>
        <w:rPr>
          <w:lang w:val="sr-Cyrl-RS"/>
        </w:rPr>
        <w:t>а</w:t>
      </w:r>
      <w:r>
        <w:rPr>
          <w:lang w:val="sr-Latn-RS"/>
        </w:rPr>
        <w:t xml:space="preserve"> и комуналн</w:t>
      </w:r>
      <w:r>
        <w:rPr>
          <w:lang w:val="sr-Cyrl-RS"/>
        </w:rPr>
        <w:t>а</w:t>
      </w:r>
      <w:r>
        <w:rPr>
          <w:lang w:val="sr-Latn-RS"/>
        </w:rPr>
        <w:t xml:space="preserve"> повезан</w:t>
      </w:r>
      <w:r>
        <w:rPr>
          <w:lang w:val="sr-Cyrl-RS"/>
        </w:rPr>
        <w:t>ост</w:t>
      </w:r>
      <w:r>
        <w:rPr>
          <w:lang w:val="sr-Latn-RS"/>
        </w:rPr>
        <w:t xml:space="preserve"> изнутра и извана</w:t>
      </w:r>
      <w:r>
        <w:rPr>
          <w:lang w:val="sr-Cyrl-RS"/>
        </w:rPr>
        <w:t xml:space="preserve"> </w:t>
      </w:r>
    </w:p>
    <w:p>
      <w:pPr>
        <w:pStyle w:val="46"/>
        <w:numPr>
          <w:ilvl w:val="0"/>
          <w:numId w:val="39"/>
        </w:numPr>
        <w:rPr>
          <w:i/>
          <w:lang w:val="sr-Cyrl-RS"/>
        </w:rPr>
      </w:pPr>
      <w:r>
        <w:rPr>
          <w:lang w:val="sr-Cyrl-RS"/>
        </w:rPr>
        <w:t xml:space="preserve">Град у којем грађани добро живе </w:t>
      </w:r>
      <w:r>
        <w:rPr>
          <w:i/>
          <w:lang w:val="sr-Cyrl-RS"/>
        </w:rPr>
        <w:t>(</w:t>
      </w:r>
      <w:r>
        <w:rPr>
          <w:i/>
          <w:lang w:val="sr-Latn-RS"/>
        </w:rPr>
        <w:t>Well-Being City)</w:t>
      </w:r>
    </w:p>
    <w:p>
      <w:pPr>
        <w:pStyle w:val="46"/>
        <w:numPr>
          <w:ilvl w:val="0"/>
          <w:numId w:val="39"/>
        </w:numPr>
        <w:rPr>
          <w:lang w:val="sr-Cyrl-RS"/>
        </w:rPr>
      </w:pPr>
      <w:r>
        <w:rPr>
          <w:lang w:val="sr-Cyrl-RS"/>
        </w:rPr>
        <w:t>Град који напредује и чији становници активно учествују у свим аспектима јавног живота</w:t>
      </w:r>
    </w:p>
    <w:p>
      <w:pPr>
        <w:pStyle w:val="46"/>
        <w:numPr>
          <w:ilvl w:val="0"/>
          <w:numId w:val="39"/>
        </w:numPr>
        <w:rPr>
          <w:lang w:val="sr-Cyrl-RS"/>
        </w:rPr>
      </w:pPr>
      <w:r>
        <w:rPr>
          <w:lang w:val="sr-Cyrl-RS"/>
        </w:rPr>
        <w:t>Пожељна дестинација, са б</w:t>
      </w:r>
      <w:r>
        <w:rPr>
          <w:lang w:val="sr-Latn-RS"/>
        </w:rPr>
        <w:t>огати</w:t>
      </w:r>
      <w:r>
        <w:rPr>
          <w:lang w:val="sr-Cyrl-RS"/>
        </w:rPr>
        <w:t>м</w:t>
      </w:r>
      <w:r>
        <w:rPr>
          <w:lang w:val="sr-Latn-RS"/>
        </w:rPr>
        <w:t xml:space="preserve"> културни</w:t>
      </w:r>
      <w:r>
        <w:rPr>
          <w:lang w:val="sr-Cyrl-RS"/>
        </w:rPr>
        <w:t>м</w:t>
      </w:r>
      <w:r>
        <w:rPr>
          <w:lang w:val="sr-Latn-RS"/>
        </w:rPr>
        <w:t>, спортским и туристички</w:t>
      </w:r>
      <w:r>
        <w:rPr>
          <w:lang w:val="sr-Cyrl-RS"/>
        </w:rPr>
        <w:t>м</w:t>
      </w:r>
      <w:r>
        <w:rPr>
          <w:lang w:val="sr-Latn-RS"/>
        </w:rPr>
        <w:t xml:space="preserve"> садржаји</w:t>
      </w:r>
      <w:r>
        <w:rPr>
          <w:lang w:val="sr-Cyrl-RS"/>
        </w:rPr>
        <w:t>ма</w:t>
      </w:r>
    </w:p>
    <w:p>
      <w:pPr>
        <w:pStyle w:val="46"/>
        <w:numPr>
          <w:ilvl w:val="0"/>
          <w:numId w:val="39"/>
        </w:numPr>
        <w:rPr>
          <w:lang w:val="sr-Cyrl-RS"/>
        </w:rPr>
      </w:pPr>
      <w:r>
        <w:rPr>
          <w:lang w:val="sr-Cyrl-RS"/>
        </w:rPr>
        <w:t>Равномјерни развој руралних подручја и приградских насеља</w:t>
      </w:r>
    </w:p>
    <w:p>
      <w:pPr>
        <w:ind w:left="360"/>
        <w:jc w:val="both"/>
        <w:rPr>
          <w:lang w:val="sr-Cyrl-RS"/>
        </w:rPr>
      </w:pPr>
    </w:p>
    <w:p>
      <w:pPr>
        <w:spacing w:after="160" w:line="259" w:lineRule="auto"/>
        <w:rPr>
          <w:rFonts w:eastAsia="Times New Roman"/>
          <w:bCs/>
          <w:kern w:val="32"/>
        </w:rPr>
      </w:pPr>
      <w:r>
        <w:rPr>
          <w:lang w:val="sr-Latn-CS" w:eastAsia="sr-Latn-CS"/>
        </w:rPr>
        <mc:AlternateContent>
          <mc:Choice Requires="wps">
            <w:drawing>
              <wp:anchor distT="45720" distB="45720" distL="114300" distR="114300" simplePos="0" relativeHeight="251651072" behindDoc="0" locked="0" layoutInCell="1" allowOverlap="1">
                <wp:simplePos x="0" y="0"/>
                <wp:positionH relativeFrom="column">
                  <wp:posOffset>460375</wp:posOffset>
                </wp:positionH>
                <wp:positionV relativeFrom="paragraph">
                  <wp:posOffset>119380</wp:posOffset>
                </wp:positionV>
                <wp:extent cx="5032375" cy="1921510"/>
                <wp:effectExtent l="0" t="0" r="15875" b="22225"/>
                <wp:wrapSquare wrapText="bothSides"/>
                <wp:docPr id="20" name="Text Box 20"/>
                <wp:cNvGraphicFramePr/>
                <a:graphic xmlns:a="http://schemas.openxmlformats.org/drawingml/2006/main">
                  <a:graphicData uri="http://schemas.microsoft.com/office/word/2010/wordprocessingShape">
                    <wps:wsp>
                      <wps:cNvSpPr txBox="1">
                        <a:spLocks noChangeArrowheads="1"/>
                      </wps:cNvSpPr>
                      <wps:spPr bwMode="auto">
                        <a:xfrm>
                          <a:off x="0" y="0"/>
                          <a:ext cx="5032375" cy="1921510"/>
                        </a:xfrm>
                        <a:prstGeom prst="rect">
                          <a:avLst/>
                        </a:prstGeom>
                        <a:solidFill>
                          <a:srgbClr val="FFFFFF"/>
                        </a:solidFill>
                        <a:ln w="9525">
                          <a:solidFill>
                            <a:sysClr val="window" lastClr="FFFFFF"/>
                          </a:solidFill>
                          <a:miter lim="800000"/>
                        </a:ln>
                      </wps:spPr>
                      <wps:txbx>
                        <w:txbxContent>
                          <w:p>
                            <w:pPr>
                              <w:shd w:val="clear" w:color="auto" w:fill="A8D08D"/>
                              <w:spacing w:after="160" w:line="259" w:lineRule="auto"/>
                              <w:jc w:val="center"/>
                              <w:rPr>
                                <w:rFonts w:eastAsia="Times New Roman"/>
                                <w:b/>
                                <w:bCs/>
                                <w:kern w:val="32"/>
                                <w:lang w:val="sr-Cyrl-RS"/>
                              </w:rPr>
                            </w:pPr>
                            <w:r>
                              <w:rPr>
                                <w:rFonts w:eastAsia="Times New Roman"/>
                                <w:b/>
                                <w:bCs/>
                                <w:kern w:val="32"/>
                                <w:lang w:val="sr-Cyrl-RS"/>
                              </w:rPr>
                              <w:t>ВИЗИЈА</w:t>
                            </w:r>
                          </w:p>
                          <w:p>
                            <w:pPr>
                              <w:shd w:val="clear" w:color="auto" w:fill="A8D08D"/>
                              <w:rPr>
                                <w:b/>
                                <w:lang w:val="sr-Latn-RS"/>
                              </w:rPr>
                            </w:pPr>
                            <w:r>
                              <w:rPr>
                                <w:b/>
                                <w:lang w:val="sr-Latn-RS"/>
                              </w:rPr>
                              <w:t>Бања Лука – главни град, регионални центар, модеран, европски град</w:t>
                            </w:r>
                          </w:p>
                          <w:p>
                            <w:pPr>
                              <w:shd w:val="clear" w:color="auto" w:fill="A8D08D"/>
                              <w:rPr>
                                <w:b/>
                                <w:lang w:val="sr-Latn-RS"/>
                              </w:rPr>
                            </w:pPr>
                          </w:p>
                          <w:p>
                            <w:pPr>
                              <w:shd w:val="clear" w:color="auto" w:fill="A8D08D"/>
                              <w:rPr>
                                <w:b/>
                                <w:lang w:val="sr-Cyrl-RS"/>
                              </w:rPr>
                            </w:pPr>
                            <w:r>
                              <w:rPr>
                                <w:b/>
                                <w:i/>
                                <w:lang w:val="sr-Latn-RS"/>
                              </w:rPr>
                              <w:t>Business-Friendly, Smart City, Green City</w:t>
                            </w:r>
                            <w:r>
                              <w:rPr>
                                <w:b/>
                                <w:i/>
                                <w:lang w:val="sr-Cyrl-RS"/>
                              </w:rPr>
                              <w:t xml:space="preserve"> - </w:t>
                            </w:r>
                            <w:r>
                              <w:rPr>
                                <w:b/>
                                <w:lang w:val="sr-Cyrl-RS"/>
                              </w:rPr>
                              <w:t>средина са повољним амбијентом за пословање, град савремених технологија и зеленила.</w:t>
                            </w:r>
                          </w:p>
                          <w:p>
                            <w:pPr>
                              <w:shd w:val="clear" w:color="auto" w:fill="A8D08D"/>
                              <w:rPr>
                                <w:b/>
                                <w:lang w:val="sr-Latn-RS"/>
                              </w:rPr>
                            </w:pPr>
                          </w:p>
                          <w:p>
                            <w:pPr>
                              <w:shd w:val="clear" w:color="auto" w:fill="A8D08D"/>
                              <w:rPr>
                                <w:b/>
                                <w:lang w:val="sr-Cyrl-RS"/>
                              </w:rPr>
                            </w:pPr>
                            <w:r>
                              <w:rPr>
                                <w:b/>
                                <w:lang w:val="sr-Cyrl-RS"/>
                              </w:rPr>
                              <w:t>Град са перспективом развоја, г</w:t>
                            </w:r>
                            <w:r>
                              <w:rPr>
                                <w:b/>
                                <w:lang w:val="sr-Latn-RS"/>
                              </w:rPr>
                              <w:t>рад</w:t>
                            </w:r>
                            <w:r>
                              <w:rPr>
                                <w:b/>
                                <w:lang w:val="sr-Cyrl-RS"/>
                              </w:rPr>
                              <w:t xml:space="preserve"> активних грађана, економски развијен, </w:t>
                            </w:r>
                            <w:r>
                              <w:rPr>
                                <w:b/>
                                <w:lang w:val="sr-Latn-RS"/>
                              </w:rPr>
                              <w:t>инфраструктурно и комунално повезан изнутра и извана</w:t>
                            </w:r>
                            <w:r>
                              <w:rPr>
                                <w:b/>
                                <w:lang w:val="sr-Cyrl-RS"/>
                              </w:rPr>
                              <w:t>,</w:t>
                            </w:r>
                            <w:r>
                              <w:rPr>
                                <w:b/>
                                <w:lang w:val="sr-Latn-RS"/>
                              </w:rPr>
                              <w:t xml:space="preserve"> са богатим културним, спортским и туристичким садржајима, угодан за живот</w:t>
                            </w:r>
                            <w:r>
                              <w:rPr>
                                <w:b/>
                                <w:lang w:val="sr-Cyrl-RS"/>
                              </w:rPr>
                              <w:t>,</w:t>
                            </w:r>
                            <w:r>
                              <w:rPr>
                                <w:b/>
                                <w:lang w:val="sr-Latn-RS"/>
                              </w:rPr>
                              <w:t xml:space="preserve"> са здравом и заштићеном животном средином</w:t>
                            </w:r>
                            <w:r>
                              <w:rPr>
                                <w:b/>
                                <w:lang w:val="sr-Cyrl-RS"/>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6.25pt;margin-top:9.4pt;height:151.3pt;width:396.25pt;mso-wrap-distance-bottom:3.6pt;mso-wrap-distance-left:9pt;mso-wrap-distance-right:9pt;mso-wrap-distance-top:3.6pt;z-index:251651072;mso-width-relative:page;mso-height-relative:margin;mso-height-percent:200;" fillcolor="#FFFFFF" filled="t" stroked="t" coordsize="21600,21600" o:gfxdata="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zhn02gAA&#10;AAkBAAAPAAAAAAAAAAEAIAAAACIAAABkcnMvZG93bnJldi54bWxQSwECFAAUAAAACACHTuJAVoyT&#10;5RwCAAA/BAAADgAAAAAAAAABACAAAAApAQAAZHJzL2Uyb0RvYy54bWxQSwUGAAAAAAYABgBZAQAA&#10;twUAAAAA&#10;">
                <v:fill on="t" focussize="0,0"/>
                <v:stroke color="#FFFFFF" miterlimit="8" joinstyle="miter"/>
                <v:imagedata o:title=""/>
                <o:lock v:ext="edit" aspectratio="f"/>
                <v:textbox style="mso-fit-shape-to-text:t;">
                  <w:txbxContent>
                    <w:p>
                      <w:pPr>
                        <w:shd w:val="clear" w:color="auto" w:fill="A8D08D"/>
                        <w:spacing w:after="160" w:line="259" w:lineRule="auto"/>
                        <w:jc w:val="center"/>
                        <w:rPr>
                          <w:rFonts w:eastAsia="Times New Roman"/>
                          <w:b/>
                          <w:bCs/>
                          <w:kern w:val="32"/>
                          <w:lang w:val="sr-Cyrl-RS"/>
                        </w:rPr>
                      </w:pPr>
                      <w:r>
                        <w:rPr>
                          <w:rFonts w:eastAsia="Times New Roman"/>
                          <w:b/>
                          <w:bCs/>
                          <w:kern w:val="32"/>
                          <w:lang w:val="sr-Cyrl-RS"/>
                        </w:rPr>
                        <w:t>ВИЗИЈА</w:t>
                      </w:r>
                    </w:p>
                    <w:p>
                      <w:pPr>
                        <w:shd w:val="clear" w:color="auto" w:fill="A8D08D"/>
                        <w:rPr>
                          <w:b/>
                          <w:lang w:val="sr-Latn-RS"/>
                        </w:rPr>
                      </w:pPr>
                      <w:r>
                        <w:rPr>
                          <w:b/>
                          <w:lang w:val="sr-Latn-RS"/>
                        </w:rPr>
                        <w:t>Бања Лука – главни град, регионални центар, модеран, европски град</w:t>
                      </w:r>
                    </w:p>
                    <w:p>
                      <w:pPr>
                        <w:shd w:val="clear" w:color="auto" w:fill="A8D08D"/>
                        <w:rPr>
                          <w:b/>
                          <w:lang w:val="sr-Latn-RS"/>
                        </w:rPr>
                      </w:pPr>
                    </w:p>
                    <w:p>
                      <w:pPr>
                        <w:shd w:val="clear" w:color="auto" w:fill="A8D08D"/>
                        <w:rPr>
                          <w:b/>
                          <w:lang w:val="sr-Cyrl-RS"/>
                        </w:rPr>
                      </w:pPr>
                      <w:r>
                        <w:rPr>
                          <w:b/>
                          <w:i/>
                          <w:lang w:val="sr-Latn-RS"/>
                        </w:rPr>
                        <w:t>Business-Friendly, Smart City, Green City</w:t>
                      </w:r>
                      <w:r>
                        <w:rPr>
                          <w:b/>
                          <w:i/>
                          <w:lang w:val="sr-Cyrl-RS"/>
                        </w:rPr>
                        <w:t xml:space="preserve"> - </w:t>
                      </w:r>
                      <w:r>
                        <w:rPr>
                          <w:b/>
                          <w:lang w:val="sr-Cyrl-RS"/>
                        </w:rPr>
                        <w:t>средина са повољним амбијентом за пословање, град савремених технологија и зеленила.</w:t>
                      </w:r>
                    </w:p>
                    <w:p>
                      <w:pPr>
                        <w:shd w:val="clear" w:color="auto" w:fill="A8D08D"/>
                        <w:rPr>
                          <w:b/>
                          <w:lang w:val="sr-Latn-RS"/>
                        </w:rPr>
                      </w:pPr>
                    </w:p>
                    <w:p>
                      <w:pPr>
                        <w:shd w:val="clear" w:color="auto" w:fill="A8D08D"/>
                        <w:rPr>
                          <w:b/>
                          <w:lang w:val="sr-Cyrl-RS"/>
                        </w:rPr>
                      </w:pPr>
                      <w:r>
                        <w:rPr>
                          <w:b/>
                          <w:lang w:val="sr-Cyrl-RS"/>
                        </w:rPr>
                        <w:t>Град са перспективом развоја, г</w:t>
                      </w:r>
                      <w:r>
                        <w:rPr>
                          <w:b/>
                          <w:lang w:val="sr-Latn-RS"/>
                        </w:rPr>
                        <w:t>рад</w:t>
                      </w:r>
                      <w:r>
                        <w:rPr>
                          <w:b/>
                          <w:lang w:val="sr-Cyrl-RS"/>
                        </w:rPr>
                        <w:t xml:space="preserve"> активних грађана, економски развијен, </w:t>
                      </w:r>
                      <w:r>
                        <w:rPr>
                          <w:b/>
                          <w:lang w:val="sr-Latn-RS"/>
                        </w:rPr>
                        <w:t>инфраструктурно и комунално повезан изнутра и извана</w:t>
                      </w:r>
                      <w:r>
                        <w:rPr>
                          <w:b/>
                          <w:lang w:val="sr-Cyrl-RS"/>
                        </w:rPr>
                        <w:t>,</w:t>
                      </w:r>
                      <w:r>
                        <w:rPr>
                          <w:b/>
                          <w:lang w:val="sr-Latn-RS"/>
                        </w:rPr>
                        <w:t xml:space="preserve"> са богатим културним, спортским и туристичким садржајима, угодан за живот</w:t>
                      </w:r>
                      <w:r>
                        <w:rPr>
                          <w:b/>
                          <w:lang w:val="sr-Cyrl-RS"/>
                        </w:rPr>
                        <w:t>,</w:t>
                      </w:r>
                      <w:r>
                        <w:rPr>
                          <w:b/>
                          <w:lang w:val="sr-Latn-RS"/>
                        </w:rPr>
                        <w:t xml:space="preserve"> са здравом и заштићеном животном средином</w:t>
                      </w:r>
                      <w:r>
                        <w:rPr>
                          <w:b/>
                          <w:lang w:val="sr-Cyrl-RS"/>
                        </w:rPr>
                        <w:t>.</w:t>
                      </w:r>
                    </w:p>
                  </w:txbxContent>
                </v:textbox>
                <w10:wrap type="square"/>
              </v:shape>
            </w:pict>
          </mc:Fallback>
        </mc:AlternateContent>
      </w:r>
    </w:p>
    <w:p>
      <w:pPr>
        <w:spacing w:after="160" w:line="259" w:lineRule="auto"/>
        <w:rPr>
          <w:rFonts w:eastAsia="Times New Roman"/>
          <w:bCs/>
          <w:kern w:val="32"/>
        </w:rPr>
      </w:pPr>
    </w:p>
    <w:p>
      <w:pPr>
        <w:spacing w:after="160" w:line="259" w:lineRule="auto"/>
        <w:rPr>
          <w:rFonts w:eastAsia="Times New Roman"/>
          <w:bCs/>
          <w:kern w:val="32"/>
        </w:rPr>
      </w:pPr>
    </w:p>
    <w:p>
      <w:pPr>
        <w:spacing w:after="160" w:line="259" w:lineRule="auto"/>
        <w:rPr>
          <w:rFonts w:eastAsia="Times New Roman"/>
          <w:bCs/>
          <w:kern w:val="32"/>
        </w:rPr>
      </w:pPr>
    </w:p>
    <w:p>
      <w:pPr>
        <w:spacing w:after="160" w:line="259" w:lineRule="auto"/>
        <w:rPr>
          <w:rFonts w:eastAsia="Times New Roman"/>
          <w:bCs/>
          <w:kern w:val="32"/>
          <w:lang w:val="hr-HR"/>
        </w:rPr>
      </w:pPr>
    </w:p>
    <w:p>
      <w:pPr>
        <w:rPr>
          <w:b/>
        </w:rPr>
      </w:pPr>
    </w:p>
    <w:p>
      <w:pPr>
        <w:rPr>
          <w:b/>
        </w:rPr>
      </w:pPr>
    </w:p>
    <w:p>
      <w:pPr>
        <w:rPr>
          <w:b/>
        </w:rPr>
      </w:pPr>
    </w:p>
    <w:p>
      <w:pPr>
        <w:rPr>
          <w:b/>
        </w:rPr>
      </w:pPr>
      <w:r>
        <w:rPr>
          <w:lang w:val="sr-Latn-CS" w:eastAsia="sr-Latn-CS"/>
        </w:rPr>
        <mc:AlternateContent>
          <mc:Choice Requires="wps">
            <w:drawing>
              <wp:anchor distT="0" distB="0" distL="114300" distR="114300" simplePos="0" relativeHeight="251655168" behindDoc="0" locked="0" layoutInCell="1" allowOverlap="1">
                <wp:simplePos x="0" y="0"/>
                <wp:positionH relativeFrom="margin">
                  <wp:posOffset>4676775</wp:posOffset>
                </wp:positionH>
                <wp:positionV relativeFrom="paragraph">
                  <wp:posOffset>55245</wp:posOffset>
                </wp:positionV>
                <wp:extent cx="431800" cy="496570"/>
                <wp:effectExtent l="0" t="0" r="6350" b="0"/>
                <wp:wrapNone/>
                <wp:docPr id="47" name="Arrow: Up 47"/>
                <wp:cNvGraphicFramePr/>
                <a:graphic xmlns:a="http://schemas.openxmlformats.org/drawingml/2006/main">
                  <a:graphicData uri="http://schemas.microsoft.com/office/word/2010/wordprocessingShape">
                    <wps:wsp>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Up 47" o:spid="_x0000_s1026" o:spt="68" type="#_x0000_t68" style="position:absolute;left:0pt;margin-left:368.25pt;margin-top:4.35pt;height:39.1pt;width:34pt;mso-position-horizontal-relative:margin;z-index:251655168;v-text-anchor:middle;mso-width-relative:page;mso-height-relative:page;" fillcolor="#385723" filled="t" stroked="f" coordsize="21600,21600" o:gfxdata="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t&#10;2trE2AAAAAgBAAAPAAAAAAAAAAEAIAAAACIAAABkcnMvZG93bnJldi54bWxQSwECFAAUAAAACACH&#10;TuJA7jUzWF0CAAC0BAAADgAAAAAAAAABACAAAAAnAQAAZHJzL2Uyb0RvYy54bWxQSwUGAAAAAAYA&#10;BgBZAQAA9gUAAAAA&#10;" adj="9391,5400">
                <v:fill on="t" focussize="0,0"/>
                <v:stroke on="f" weight="1pt" miterlimit="8" joinstyle="miter"/>
                <v:imagedata o:title=""/>
                <o:lock v:ext="edit" aspectratio="f"/>
              </v:shape>
            </w:pict>
          </mc:Fallback>
        </mc:AlternateContent>
      </w:r>
      <w:r>
        <w:rPr>
          <w:lang w:val="sr-Latn-CS" w:eastAsia="sr-Latn-CS"/>
        </w:rPr>
        <mc:AlternateContent>
          <mc:Choice Requires="wps">
            <w:drawing>
              <wp:anchor distT="0" distB="0" distL="114300" distR="114300" simplePos="0" relativeHeight="251653120" behindDoc="0" locked="0" layoutInCell="1" allowOverlap="1">
                <wp:simplePos x="0" y="0"/>
                <wp:positionH relativeFrom="column">
                  <wp:posOffset>844550</wp:posOffset>
                </wp:positionH>
                <wp:positionV relativeFrom="paragraph">
                  <wp:posOffset>44450</wp:posOffset>
                </wp:positionV>
                <wp:extent cx="431800" cy="496570"/>
                <wp:effectExtent l="0" t="0" r="6350" b="0"/>
                <wp:wrapNone/>
                <wp:docPr id="45" name="Arrow: Up 45"/>
                <wp:cNvGraphicFramePr/>
                <a:graphic xmlns:a="http://schemas.openxmlformats.org/drawingml/2006/main">
                  <a:graphicData uri="http://schemas.microsoft.com/office/word/2010/wordprocessingShape">
                    <wps:wsp>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Up 45" o:spid="_x0000_s1026" o:spt="68" type="#_x0000_t68" style="position:absolute;left:0pt;margin-left:66.5pt;margin-top:3.5pt;height:39.1pt;width:34pt;z-index:251653120;v-text-anchor:middle;mso-width-relative:page;mso-height-relative:page;" fillcolor="#385723" filled="t" stroked="f" coordsize="21600,21600" o:gfxdata="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jn&#10;2eTXAAAACAEAAA8AAAAAAAAAAQAgAAAAIgAAAGRycy9kb3ducmV2LnhtbFBLAQIUABQAAAAIAIdO&#10;4kClMEiEXQIAALQEAAAOAAAAAAAAAAEAIAAAACYBAABkcnMvZTJvRG9jLnhtbFBLBQYAAAAABgAG&#10;AFkBAAD1BQAAAAA=&#10;" adj="9391,5400">
                <v:fill on="t" focussize="0,0"/>
                <v:stroke on="f" weight="1pt" miterlimit="8" joinstyle="miter"/>
                <v:imagedata o:title=""/>
                <o:lock v:ext="edit" aspectratio="f"/>
              </v:shape>
            </w:pict>
          </mc:Fallback>
        </mc:AlternateContent>
      </w:r>
      <w:r>
        <w:rPr>
          <w:lang w:val="sr-Latn-CS" w:eastAsia="sr-Latn-CS"/>
        </w:rPr>
        <mc:AlternateContent>
          <mc:Choice Requires="wps">
            <w:drawing>
              <wp:anchor distT="0" distB="0" distL="114300" distR="114300" simplePos="0" relativeHeight="251654144" behindDoc="0" locked="0" layoutInCell="1" allowOverlap="1">
                <wp:simplePos x="0" y="0"/>
                <wp:positionH relativeFrom="column">
                  <wp:posOffset>2191385</wp:posOffset>
                </wp:positionH>
                <wp:positionV relativeFrom="paragraph">
                  <wp:posOffset>55880</wp:posOffset>
                </wp:positionV>
                <wp:extent cx="431800" cy="496570"/>
                <wp:effectExtent l="0" t="0" r="6350" b="0"/>
                <wp:wrapNone/>
                <wp:docPr id="46" name="Arrow: Up 46"/>
                <wp:cNvGraphicFramePr/>
                <a:graphic xmlns:a="http://schemas.openxmlformats.org/drawingml/2006/main">
                  <a:graphicData uri="http://schemas.microsoft.com/office/word/2010/wordprocessingShape">
                    <wps:wsp>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Up 46" o:spid="_x0000_s1026" o:spt="68" type="#_x0000_t68" style="position:absolute;left:0pt;margin-left:172.55pt;margin-top:4.4pt;height:39.1pt;width:34pt;z-index:251654144;v-text-anchor:middle;mso-width-relative:page;mso-height-relative:page;" fillcolor="#385723" filled="t" stroked="f" coordsize="21600,21600" o:gfxdata="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FUXd&#10;1QAAAAgBAAAPAAAAAAAAAAEAIAAAACIAAABkcnMvZG93bnJldi54bWxQSwECFAAUAAAACACHTuJA&#10;azS2210CAAC0BAAADgAAAAAAAAABACAAAAAkAQAAZHJzL2Uyb0RvYy54bWxQSwUGAAAAAAYABgBZ&#10;AQAA8wUAAAAA&#10;" adj="9391,5400">
                <v:fill on="t" focussize="0,0"/>
                <v:stroke on="f" weight="1pt" miterlimit="8" joinstyle="miter"/>
                <v:imagedata o:title=""/>
                <o:lock v:ext="edit" aspectratio="f"/>
              </v:shape>
            </w:pict>
          </mc:Fallback>
        </mc:AlternateContent>
      </w:r>
      <w:r>
        <w:rPr>
          <w:lang w:val="sr-Latn-CS" w:eastAsia="sr-Latn-CS"/>
        </w:rPr>
        <mc:AlternateContent>
          <mc:Choice Requires="wps">
            <w:drawing>
              <wp:anchor distT="0" distB="0" distL="114300" distR="114300" simplePos="0" relativeHeight="251656192" behindDoc="0" locked="0" layoutInCell="1" allowOverlap="1">
                <wp:simplePos x="0" y="0"/>
                <wp:positionH relativeFrom="column">
                  <wp:posOffset>3433445</wp:posOffset>
                </wp:positionH>
                <wp:positionV relativeFrom="paragraph">
                  <wp:posOffset>56515</wp:posOffset>
                </wp:positionV>
                <wp:extent cx="431800" cy="496570"/>
                <wp:effectExtent l="0" t="0" r="6350" b="0"/>
                <wp:wrapNone/>
                <wp:docPr id="48" name="Arrow: Up 48"/>
                <wp:cNvGraphicFramePr/>
                <a:graphic xmlns:a="http://schemas.openxmlformats.org/drawingml/2006/main">
                  <a:graphicData uri="http://schemas.microsoft.com/office/word/2010/wordprocessingShape">
                    <wps:wsp>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Up 48" o:spid="_x0000_s1026" o:spt="68" type="#_x0000_t68" style="position:absolute;left:0pt;margin-left:270.35pt;margin-top:4.45pt;height:39.1pt;width:34pt;z-index:251656192;v-text-anchor:middle;mso-width-relative:page;mso-height-relative:page;" fillcolor="#385723" filled="t" stroked="f" coordsize="21600,21600" o:gfxdata="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Vps&#10;J9YAAAAIAQAADwAAAAAAAAABACAAAAAiAAAAZHJzL2Rvd25yZXYueG1sUEsBAhQAFAAAAAgAh07i&#10;QFkkRKNdAgAAtAQAAA4AAAAAAAAAAQAgAAAAJQEAAGRycy9lMm9Eb2MueG1sUEsFBgAAAAAGAAYA&#10;WQEAAPQFAAAAAA==&#10;" adj="9391,5400">
                <v:fill on="t" focussize="0,0"/>
                <v:stroke on="f" weight="1pt" miterlimit="8" joinstyle="miter"/>
                <v:imagedata o:title=""/>
                <o:lock v:ext="edit" aspectratio="f"/>
              </v:shape>
            </w:pict>
          </mc:Fallback>
        </mc:AlternateContent>
      </w:r>
    </w:p>
    <w:p>
      <w:pPr>
        <w:rPr>
          <w:b/>
        </w:rPr>
      </w:pPr>
    </w:p>
    <w:p>
      <w:pPr>
        <w:rPr>
          <w:b/>
        </w:rPr>
      </w:pPr>
    </w:p>
    <w:p>
      <w:pPr>
        <w:rPr>
          <w:b/>
        </w:rPr>
      </w:pPr>
      <w:r>
        <w:rPr>
          <w:lang w:val="sr-Latn-CS" w:eastAsia="sr-Latn-CS"/>
        </w:rPr>
        <mc:AlternateContent>
          <mc:Choice Requires="wps">
            <w:drawing>
              <wp:anchor distT="45720" distB="45720" distL="114300" distR="114300" simplePos="0" relativeHeight="251657216" behindDoc="0" locked="0" layoutInCell="1" allowOverlap="1">
                <wp:simplePos x="0" y="0"/>
                <wp:positionH relativeFrom="column">
                  <wp:posOffset>4219575</wp:posOffset>
                </wp:positionH>
                <wp:positionV relativeFrom="paragraph">
                  <wp:posOffset>44450</wp:posOffset>
                </wp:positionV>
                <wp:extent cx="1409700" cy="2114550"/>
                <wp:effectExtent l="0" t="0" r="19050" b="19050"/>
                <wp:wrapSquare wrapText="bothSides"/>
                <wp:docPr id="44" name="Text Box 44"/>
                <wp:cNvGraphicFramePr/>
                <a:graphic xmlns:a="http://schemas.openxmlformats.org/drawingml/2006/main">
                  <a:graphicData uri="http://schemas.microsoft.com/office/word/2010/wordprocessingShape">
                    <wps:wsp>
                      <wps:cNvSpPr txBox="1">
                        <a:spLocks noChangeArrowheads="1"/>
                      </wps:cNvSpPr>
                      <wps:spPr bwMode="auto">
                        <a:xfrm>
                          <a:off x="0" y="0"/>
                          <a:ext cx="1409700" cy="2114550"/>
                        </a:xfrm>
                        <a:prstGeom prst="rect">
                          <a:avLst/>
                        </a:prstGeom>
                        <a:solidFill>
                          <a:srgbClr val="FFFFFF"/>
                        </a:solidFill>
                        <a:ln w="9525">
                          <a:solidFill>
                            <a:sysClr val="window" lastClr="FFFFFF"/>
                          </a:solidFill>
                          <a:miter lim="800000"/>
                        </a:ln>
                      </wps:spPr>
                      <wps:txbx>
                        <w:txbxContent>
                          <w:p>
                            <w:pPr>
                              <w:shd w:val="clear" w:color="auto" w:fill="C5E0B3"/>
                              <w:rPr>
                                <w:b/>
                              </w:rPr>
                            </w:pPr>
                            <w:r>
                              <w:rPr>
                                <w:b/>
                              </w:rPr>
                              <w:t xml:space="preserve">Стратешки циљ 4: </w:t>
                            </w:r>
                          </w:p>
                          <w:p>
                            <w:pPr>
                              <w:shd w:val="clear" w:color="auto" w:fill="C5E0B3"/>
                              <w:rPr>
                                <w:b/>
                              </w:rPr>
                            </w:pPr>
                          </w:p>
                          <w:p>
                            <w:pPr>
                              <w:shd w:val="clear" w:color="auto" w:fill="C5E0B3"/>
                              <w:rPr>
                                <w:b/>
                                <w:lang w:val="sr-Cyrl-RS"/>
                              </w:rPr>
                            </w:pPr>
                            <w:r>
                              <w:rPr>
                                <w:b/>
                              </w:rPr>
                              <w:t>Препознатљив регионални, образовни, здравствени, културни</w:t>
                            </w:r>
                            <w:r>
                              <w:rPr>
                                <w:b/>
                                <w:lang w:val="sr-Cyrl-CS"/>
                              </w:rPr>
                              <w:t xml:space="preserve">, </w:t>
                            </w:r>
                            <w:r>
                              <w:rPr>
                                <w:b/>
                              </w:rPr>
                              <w:t xml:space="preserve">спортски и </w:t>
                            </w:r>
                            <w:r>
                              <w:rPr>
                                <w:b/>
                                <w:lang w:val="sr-Cyrl-CS"/>
                              </w:rPr>
                              <w:t>центар унапређене социјалне инклузије</w:t>
                            </w:r>
                          </w:p>
                          <w:p>
                            <w:pPr>
                              <w:shd w:val="clear" w:color="auto" w:fill="C5E0B3"/>
                              <w:rPr>
                                <w:b/>
                                <w:lang w:val="sr-Cyrl-RS"/>
                              </w:rPr>
                            </w:pPr>
                          </w:p>
                          <w:p>
                            <w:pPr>
                              <w:rPr>
                                <w:sz w:val="20"/>
                                <w:szCs w:val="20"/>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32.25pt;margin-top:3.5pt;height:166.5pt;width:111pt;mso-wrap-distance-bottom:3.6pt;mso-wrap-distance-left:9pt;mso-wrap-distance-right:9pt;mso-wrap-distance-top:3.6pt;z-index:251657216;mso-width-relative:page;mso-height-relative:page;" fillcolor="#FFFFFF" filled="t" stroked="t" coordsize="21600,21600" o:gfxdata="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ygH41wAAAAkB&#10;AAAPAAAAAAAAAAEAIAAAACIAAABkcnMvZG93bnJldi54bWxQSwECFAAUAAAACACHTuJANJ2cnRwC&#10;AAA/BAAADgAAAAAAAAABACAAAAAmAQAAZHJzL2Uyb0RvYy54bWxQSwUGAAAAAAYABgBZAQAAtAUA&#10;AAAA&#10;">
                <v:fill on="t" focussize="0,0"/>
                <v:stroke color="#FFFFFF" miterlimit="8" joinstyle="miter"/>
                <v:imagedata o:title=""/>
                <o:lock v:ext="edit" aspectratio="f"/>
                <v:textbox>
                  <w:txbxContent>
                    <w:p>
                      <w:pPr>
                        <w:shd w:val="clear" w:color="auto" w:fill="C5E0B3"/>
                        <w:rPr>
                          <w:b/>
                        </w:rPr>
                      </w:pPr>
                      <w:r>
                        <w:rPr>
                          <w:b/>
                        </w:rPr>
                        <w:t xml:space="preserve">Стратешки циљ 4: </w:t>
                      </w:r>
                    </w:p>
                    <w:p>
                      <w:pPr>
                        <w:shd w:val="clear" w:color="auto" w:fill="C5E0B3"/>
                        <w:rPr>
                          <w:b/>
                        </w:rPr>
                      </w:pPr>
                    </w:p>
                    <w:p>
                      <w:pPr>
                        <w:shd w:val="clear" w:color="auto" w:fill="C5E0B3"/>
                        <w:rPr>
                          <w:b/>
                          <w:lang w:val="sr-Cyrl-RS"/>
                        </w:rPr>
                      </w:pPr>
                      <w:r>
                        <w:rPr>
                          <w:b/>
                        </w:rPr>
                        <w:t>Препознатљив регионални, образовни, здравствени, културни</w:t>
                      </w:r>
                      <w:r>
                        <w:rPr>
                          <w:b/>
                          <w:lang w:val="sr-Cyrl-CS"/>
                        </w:rPr>
                        <w:t xml:space="preserve">, </w:t>
                      </w:r>
                      <w:r>
                        <w:rPr>
                          <w:b/>
                        </w:rPr>
                        <w:t xml:space="preserve">спортски и </w:t>
                      </w:r>
                      <w:r>
                        <w:rPr>
                          <w:b/>
                          <w:lang w:val="sr-Cyrl-CS"/>
                        </w:rPr>
                        <w:t>центар унапређене социјалне инклузије</w:t>
                      </w:r>
                    </w:p>
                    <w:p>
                      <w:pPr>
                        <w:shd w:val="clear" w:color="auto" w:fill="C5E0B3"/>
                        <w:rPr>
                          <w:b/>
                          <w:lang w:val="sr-Cyrl-RS"/>
                        </w:rPr>
                      </w:pPr>
                    </w:p>
                    <w:p>
                      <w:pPr>
                        <w:rPr>
                          <w:sz w:val="20"/>
                          <w:szCs w:val="20"/>
                        </w:rPr>
                      </w:pPr>
                    </w:p>
                  </w:txbxContent>
                </v:textbox>
                <w10:wrap type="square"/>
              </v:shape>
            </w:pict>
          </mc:Fallback>
        </mc:AlternateContent>
      </w:r>
      <w:r>
        <w:rPr>
          <w:lang w:val="sr-Latn-CS" w:eastAsia="sr-Latn-CS"/>
        </w:rPr>
        <mc:AlternateContent>
          <mc:Choice Requires="wps">
            <w:drawing>
              <wp:anchor distT="45720" distB="45720" distL="114300" distR="114300" simplePos="0" relativeHeight="251652096" behindDoc="0" locked="0" layoutInCell="1" allowOverlap="1">
                <wp:simplePos x="0" y="0"/>
                <wp:positionH relativeFrom="column">
                  <wp:posOffset>3009900</wp:posOffset>
                </wp:positionH>
                <wp:positionV relativeFrom="paragraph">
                  <wp:posOffset>44450</wp:posOffset>
                </wp:positionV>
                <wp:extent cx="1285875" cy="2124075"/>
                <wp:effectExtent l="0" t="0" r="28575" b="28575"/>
                <wp:wrapSquare wrapText="bothSides"/>
                <wp:docPr id="43" name="Text Box 43"/>
                <wp:cNvGraphicFramePr/>
                <a:graphic xmlns:a="http://schemas.openxmlformats.org/drawingml/2006/main">
                  <a:graphicData uri="http://schemas.microsoft.com/office/word/2010/wordprocessingShape">
                    <wps:wsp>
                      <wps:cNvSpPr txBox="1">
                        <a:spLocks noChangeArrowheads="1"/>
                      </wps:cNvSpPr>
                      <wps:spPr bwMode="auto">
                        <a:xfrm>
                          <a:off x="0" y="0"/>
                          <a:ext cx="1285875" cy="2124075"/>
                        </a:xfrm>
                        <a:prstGeom prst="rect">
                          <a:avLst/>
                        </a:prstGeom>
                        <a:solidFill>
                          <a:srgbClr val="FFFFFF"/>
                        </a:solidFill>
                        <a:ln w="9525">
                          <a:solidFill>
                            <a:sysClr val="window" lastClr="FFFFFF"/>
                          </a:solidFill>
                          <a:miter lim="800000"/>
                        </a:ln>
                      </wps:spPr>
                      <wps:txbx>
                        <w:txbxContent>
                          <w:p>
                            <w:pPr>
                              <w:shd w:val="clear" w:color="auto" w:fill="C5E0B3"/>
                              <w:rPr>
                                <w:b/>
                              </w:rPr>
                            </w:pPr>
                            <w:r>
                              <w:rPr>
                                <w:b/>
                              </w:rPr>
                              <w:t>Стратешки циљ 3:</w:t>
                            </w:r>
                          </w:p>
                          <w:p>
                            <w:pPr>
                              <w:shd w:val="clear" w:color="auto" w:fill="C5E0B3"/>
                              <w:rPr>
                                <w:b/>
                              </w:rPr>
                            </w:pPr>
                          </w:p>
                          <w:p>
                            <w:pPr>
                              <w:shd w:val="clear" w:color="auto" w:fill="C5E0B3"/>
                              <w:rPr>
                                <w:b/>
                              </w:rPr>
                            </w:pPr>
                            <w:r>
                              <w:rPr>
                                <w:b/>
                                <w:lang w:val="ru-RU"/>
                              </w:rPr>
                              <w:t xml:space="preserve">Еколошки одржива, комунално опремљена, енергетски ефикасна и безбједна средина -  Green City </w:t>
                            </w:r>
                          </w:p>
                          <w:p>
                            <w:pPr>
                              <w:shd w:val="clear" w:color="auto" w:fill="C5E0B3"/>
                              <w:rPr>
                                <w:b/>
                                <w:lang w:val="sr-Cyrl-RS"/>
                              </w:rPr>
                            </w:pPr>
                          </w:p>
                          <w:p>
                            <w:pPr>
                              <w:shd w:val="clear" w:color="auto" w:fill="C5E0B3"/>
                              <w:rPr>
                                <w:b/>
                                <w:lang w:val="sr-Cyrl-RS"/>
                              </w:rPr>
                            </w:pPr>
                          </w:p>
                          <w:p>
                            <w:pPr>
                              <w:shd w:val="clear" w:color="auto" w:fill="C5E0B3"/>
                              <w:rPr>
                                <w:b/>
                                <w:lang w:val="sr-Cyrl-RS"/>
                              </w:rPr>
                            </w:pPr>
                          </w:p>
                          <w:p>
                            <w:pPr>
                              <w:shd w:val="clear" w:color="auto" w:fill="C5E0B3"/>
                              <w:rPr>
                                <w:b/>
                                <w:lang w:val="sr-Cyrl-RS"/>
                              </w:rPr>
                            </w:pPr>
                          </w:p>
                          <w:p>
                            <w:pPr>
                              <w:shd w:val="clear" w:color="auto" w:fill="C5E0B3"/>
                              <w:rPr>
                                <w:sz w:val="20"/>
                                <w:szCs w:val="20"/>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37pt;margin-top:3.5pt;height:167.25pt;width:101.25pt;mso-wrap-distance-bottom:3.6pt;mso-wrap-distance-left:9pt;mso-wrap-distance-right:9pt;mso-wrap-distance-top:3.6pt;z-index:251652096;mso-width-relative:page;mso-height-relative:page;" fillcolor="#FFFFFF" filled="t" stroked="t" coordsize="21600,21600" o:gfxdata="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KtkUNkAAAAJ&#10;AQAADwAAAAAAAAABACAAAAAiAAAAZHJzL2Rvd25yZXYueG1sUEsBAhQAFAAAAAgAh07iQBbrwVIb&#10;AgAAPwQAAA4AAAAAAAAAAQAgAAAAKAEAAGRycy9lMm9Eb2MueG1sUEsFBgAAAAAGAAYAWQEAALUF&#10;AAAAAA==&#10;">
                <v:fill on="t" focussize="0,0"/>
                <v:stroke color="#FFFFFF" miterlimit="8" joinstyle="miter"/>
                <v:imagedata o:title=""/>
                <o:lock v:ext="edit" aspectratio="f"/>
                <v:textbox>
                  <w:txbxContent>
                    <w:p>
                      <w:pPr>
                        <w:shd w:val="clear" w:color="auto" w:fill="C5E0B3"/>
                        <w:rPr>
                          <w:b/>
                        </w:rPr>
                      </w:pPr>
                      <w:r>
                        <w:rPr>
                          <w:b/>
                        </w:rPr>
                        <w:t>Стратешки циљ 3:</w:t>
                      </w:r>
                    </w:p>
                    <w:p>
                      <w:pPr>
                        <w:shd w:val="clear" w:color="auto" w:fill="C5E0B3"/>
                        <w:rPr>
                          <w:b/>
                        </w:rPr>
                      </w:pPr>
                    </w:p>
                    <w:p>
                      <w:pPr>
                        <w:shd w:val="clear" w:color="auto" w:fill="C5E0B3"/>
                        <w:rPr>
                          <w:b/>
                        </w:rPr>
                      </w:pPr>
                      <w:r>
                        <w:rPr>
                          <w:b/>
                          <w:lang w:val="ru-RU"/>
                        </w:rPr>
                        <w:t xml:space="preserve">Еколошки одржива, комунално опремљена, енергетски ефикасна и безбједна средина -  Green City </w:t>
                      </w:r>
                    </w:p>
                    <w:p>
                      <w:pPr>
                        <w:shd w:val="clear" w:color="auto" w:fill="C5E0B3"/>
                        <w:rPr>
                          <w:b/>
                          <w:lang w:val="sr-Cyrl-RS"/>
                        </w:rPr>
                      </w:pPr>
                    </w:p>
                    <w:p>
                      <w:pPr>
                        <w:shd w:val="clear" w:color="auto" w:fill="C5E0B3"/>
                        <w:rPr>
                          <w:b/>
                          <w:lang w:val="sr-Cyrl-RS"/>
                        </w:rPr>
                      </w:pPr>
                    </w:p>
                    <w:p>
                      <w:pPr>
                        <w:shd w:val="clear" w:color="auto" w:fill="C5E0B3"/>
                        <w:rPr>
                          <w:b/>
                          <w:lang w:val="sr-Cyrl-RS"/>
                        </w:rPr>
                      </w:pPr>
                    </w:p>
                    <w:p>
                      <w:pPr>
                        <w:shd w:val="clear" w:color="auto" w:fill="C5E0B3"/>
                        <w:rPr>
                          <w:b/>
                          <w:lang w:val="sr-Cyrl-RS"/>
                        </w:rPr>
                      </w:pPr>
                    </w:p>
                    <w:p>
                      <w:pPr>
                        <w:shd w:val="clear" w:color="auto" w:fill="C5E0B3"/>
                        <w:rPr>
                          <w:sz w:val="20"/>
                          <w:szCs w:val="20"/>
                        </w:rPr>
                      </w:pPr>
                    </w:p>
                  </w:txbxContent>
                </v:textbox>
                <w10:wrap type="square"/>
              </v:shape>
            </w:pict>
          </mc:Fallback>
        </mc:AlternateContent>
      </w:r>
      <w:r>
        <w:rPr>
          <w:lang w:val="sr-Latn-CS" w:eastAsia="sr-Latn-CS"/>
        </w:rPr>
        <mc:AlternateContent>
          <mc:Choice Requires="wps">
            <w:drawing>
              <wp:anchor distT="45720" distB="45720" distL="114300" distR="114300" simplePos="0" relativeHeight="251649024" behindDoc="0" locked="0" layoutInCell="1" allowOverlap="1">
                <wp:simplePos x="0" y="0"/>
                <wp:positionH relativeFrom="column">
                  <wp:posOffset>1743075</wp:posOffset>
                </wp:positionH>
                <wp:positionV relativeFrom="paragraph">
                  <wp:posOffset>44450</wp:posOffset>
                </wp:positionV>
                <wp:extent cx="1304925" cy="2124075"/>
                <wp:effectExtent l="0" t="0" r="28575" b="28575"/>
                <wp:wrapSquare wrapText="bothSides"/>
                <wp:docPr id="42" name="Text Box 42"/>
                <wp:cNvGraphicFramePr/>
                <a:graphic xmlns:a="http://schemas.openxmlformats.org/drawingml/2006/main">
                  <a:graphicData uri="http://schemas.microsoft.com/office/word/2010/wordprocessingShape">
                    <wps:wsp>
                      <wps:cNvSpPr txBox="1">
                        <a:spLocks noChangeArrowheads="1"/>
                      </wps:cNvSpPr>
                      <wps:spPr bwMode="auto">
                        <a:xfrm>
                          <a:off x="0" y="0"/>
                          <a:ext cx="1304925" cy="2124075"/>
                        </a:xfrm>
                        <a:prstGeom prst="rect">
                          <a:avLst/>
                        </a:prstGeom>
                        <a:solidFill>
                          <a:srgbClr val="FFFFFF"/>
                        </a:solidFill>
                        <a:ln w="9525">
                          <a:solidFill>
                            <a:sysClr val="window" lastClr="FFFFFF"/>
                          </a:solidFill>
                          <a:miter lim="800000"/>
                        </a:ln>
                      </wps:spPr>
                      <wps:txbx>
                        <w:txbxContent>
                          <w:p>
                            <w:pPr>
                              <w:shd w:val="clear" w:color="auto" w:fill="C5E0B3"/>
                              <w:rPr>
                                <w:b/>
                              </w:rPr>
                            </w:pPr>
                            <w:r>
                              <w:rPr>
                                <w:b/>
                              </w:rPr>
                              <w:t xml:space="preserve">Стратешки циљ 2: </w:t>
                            </w:r>
                          </w:p>
                          <w:p>
                            <w:pPr>
                              <w:shd w:val="clear" w:color="auto" w:fill="C5E0B3"/>
                              <w:rPr>
                                <w:b/>
                              </w:rPr>
                            </w:pPr>
                          </w:p>
                          <w:p>
                            <w:pPr>
                              <w:shd w:val="clear" w:color="auto" w:fill="C5E0B3"/>
                              <w:rPr>
                                <w:b/>
                              </w:rPr>
                            </w:pPr>
                            <w:r>
                              <w:rPr>
                                <w:b/>
                                <w:lang w:val="sr-Cyrl-RS"/>
                              </w:rPr>
                              <w:t>М</w:t>
                            </w:r>
                            <w:r>
                              <w:rPr>
                                <w:b/>
                              </w:rPr>
                              <w:t>одерна, урбана средина</w:t>
                            </w:r>
                            <w:r>
                              <w:rPr>
                                <w:b/>
                                <w:lang w:val="sr-Cyrl-RS"/>
                              </w:rPr>
                              <w:t xml:space="preserve">, </w:t>
                            </w:r>
                            <w:r>
                              <w:rPr>
                                <w:b/>
                              </w:rPr>
                              <w:t>заснован</w:t>
                            </w:r>
                            <w:r>
                              <w:rPr>
                                <w:b/>
                                <w:lang w:val="sr-Cyrl-RS"/>
                              </w:rPr>
                              <w:t>а</w:t>
                            </w:r>
                            <w:r>
                              <w:rPr>
                                <w:b/>
                              </w:rPr>
                              <w:t xml:space="preserve"> на </w:t>
                            </w:r>
                            <w:r>
                              <w:rPr>
                                <w:b/>
                                <w:i/>
                              </w:rPr>
                              <w:t>Smart City</w:t>
                            </w:r>
                            <w:r>
                              <w:rPr>
                                <w:b/>
                              </w:rPr>
                              <w:t xml:space="preserve"> </w:t>
                            </w:r>
                            <w:r>
                              <w:rPr>
                                <w:b/>
                                <w:lang w:val="sr-Cyrl-RS"/>
                              </w:rPr>
                              <w:t>концепту</w:t>
                            </w:r>
                            <w:r>
                              <w:rPr>
                                <w:b/>
                              </w:rPr>
                              <w:t>, угодн</w:t>
                            </w:r>
                            <w:r>
                              <w:rPr>
                                <w:b/>
                                <w:lang w:val="sr-Cyrl-RS"/>
                              </w:rPr>
                              <w:t>а</w:t>
                            </w:r>
                            <w:r>
                              <w:rPr>
                                <w:b/>
                              </w:rPr>
                              <w:t xml:space="preserve"> за живот</w:t>
                            </w:r>
                            <w:r>
                              <w:rPr>
                                <w:b/>
                                <w:lang w:val="sr-Cyrl-RS"/>
                              </w:rPr>
                              <w:t xml:space="preserve"> свих грађана</w:t>
                            </w:r>
                          </w:p>
                          <w:p>
                            <w:pPr>
                              <w:shd w:val="clear" w:color="auto" w:fill="C5E0B3"/>
                              <w:rPr>
                                <w:b/>
                              </w:rPr>
                            </w:pPr>
                          </w:p>
                          <w:p>
                            <w:pPr>
                              <w:shd w:val="clear" w:color="auto" w:fill="C5E0B3"/>
                              <w:rPr>
                                <w:b/>
                              </w:rPr>
                            </w:pPr>
                          </w:p>
                          <w:p>
                            <w:pPr>
                              <w:shd w:val="clear" w:color="auto" w:fill="C5E0B3"/>
                              <w:rPr>
                                <w:b/>
                              </w:rPr>
                            </w:pPr>
                          </w:p>
                          <w:p>
                            <w:pPr>
                              <w:shd w:val="clear" w:color="auto" w:fill="C5E0B3"/>
                              <w:rPr>
                                <w:b/>
                              </w:rPr>
                            </w:pPr>
                          </w:p>
                          <w:p>
                            <w:pPr>
                              <w:shd w:val="clear" w:color="auto" w:fill="C5E0B3"/>
                              <w:rPr>
                                <w:b/>
                              </w:rPr>
                            </w:pPr>
                          </w:p>
                          <w:p>
                            <w:pPr>
                              <w:shd w:val="clear" w:color="auto" w:fill="C5E0B3"/>
                              <w:rPr>
                                <w:b/>
                              </w:rPr>
                            </w:pPr>
                          </w:p>
                          <w:p>
                            <w:pPr>
                              <w:rPr>
                                <w:sz w:val="20"/>
                                <w:szCs w:val="20"/>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7.25pt;margin-top:3.5pt;height:167.25pt;width:102.75pt;mso-wrap-distance-bottom:3.6pt;mso-wrap-distance-left:9pt;mso-wrap-distance-right:9pt;mso-wrap-distance-top:3.6pt;z-index:251649024;mso-width-relative:page;mso-height-relative:page;" fillcolor="#FFFFFF" filled="t" stroked="t" coordsize="21600,21600" o:gfxdata="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wE3jYAAAACQEA&#10;AA8AAAAAAAAAAQAgAAAAIgAAAGRycy9kb3ducmV2LnhtbFBLAQIUABQAAAAIAIdO4kCZ4sc9GgIA&#10;AD8EAAAOAAAAAAAAAAEAIAAAACcBAABkcnMvZTJvRG9jLnhtbFBLBQYAAAAABgAGAFkBAACzBQAA&#10;AAA=&#10;">
                <v:fill on="t" focussize="0,0"/>
                <v:stroke color="#FFFFFF" miterlimit="8" joinstyle="miter"/>
                <v:imagedata o:title=""/>
                <o:lock v:ext="edit" aspectratio="f"/>
                <v:textbox>
                  <w:txbxContent>
                    <w:p>
                      <w:pPr>
                        <w:shd w:val="clear" w:color="auto" w:fill="C5E0B3"/>
                        <w:rPr>
                          <w:b/>
                        </w:rPr>
                      </w:pPr>
                      <w:r>
                        <w:rPr>
                          <w:b/>
                        </w:rPr>
                        <w:t xml:space="preserve">Стратешки циљ 2: </w:t>
                      </w:r>
                    </w:p>
                    <w:p>
                      <w:pPr>
                        <w:shd w:val="clear" w:color="auto" w:fill="C5E0B3"/>
                        <w:rPr>
                          <w:b/>
                        </w:rPr>
                      </w:pPr>
                    </w:p>
                    <w:p>
                      <w:pPr>
                        <w:shd w:val="clear" w:color="auto" w:fill="C5E0B3"/>
                        <w:rPr>
                          <w:b/>
                        </w:rPr>
                      </w:pPr>
                      <w:r>
                        <w:rPr>
                          <w:b/>
                          <w:lang w:val="sr-Cyrl-RS"/>
                        </w:rPr>
                        <w:t>М</w:t>
                      </w:r>
                      <w:r>
                        <w:rPr>
                          <w:b/>
                        </w:rPr>
                        <w:t>одерна, урбана средина</w:t>
                      </w:r>
                      <w:r>
                        <w:rPr>
                          <w:b/>
                          <w:lang w:val="sr-Cyrl-RS"/>
                        </w:rPr>
                        <w:t xml:space="preserve">, </w:t>
                      </w:r>
                      <w:r>
                        <w:rPr>
                          <w:b/>
                        </w:rPr>
                        <w:t>заснован</w:t>
                      </w:r>
                      <w:r>
                        <w:rPr>
                          <w:b/>
                          <w:lang w:val="sr-Cyrl-RS"/>
                        </w:rPr>
                        <w:t>а</w:t>
                      </w:r>
                      <w:r>
                        <w:rPr>
                          <w:b/>
                        </w:rPr>
                        <w:t xml:space="preserve"> на </w:t>
                      </w:r>
                      <w:r>
                        <w:rPr>
                          <w:b/>
                          <w:i/>
                        </w:rPr>
                        <w:t>Smart City</w:t>
                      </w:r>
                      <w:r>
                        <w:rPr>
                          <w:b/>
                        </w:rPr>
                        <w:t xml:space="preserve"> </w:t>
                      </w:r>
                      <w:r>
                        <w:rPr>
                          <w:b/>
                          <w:lang w:val="sr-Cyrl-RS"/>
                        </w:rPr>
                        <w:t>концепту</w:t>
                      </w:r>
                      <w:r>
                        <w:rPr>
                          <w:b/>
                        </w:rPr>
                        <w:t>, угодн</w:t>
                      </w:r>
                      <w:r>
                        <w:rPr>
                          <w:b/>
                          <w:lang w:val="sr-Cyrl-RS"/>
                        </w:rPr>
                        <w:t>а</w:t>
                      </w:r>
                      <w:r>
                        <w:rPr>
                          <w:b/>
                        </w:rPr>
                        <w:t xml:space="preserve"> за живот</w:t>
                      </w:r>
                      <w:r>
                        <w:rPr>
                          <w:b/>
                          <w:lang w:val="sr-Cyrl-RS"/>
                        </w:rPr>
                        <w:t xml:space="preserve"> свих грађана</w:t>
                      </w:r>
                    </w:p>
                    <w:p>
                      <w:pPr>
                        <w:shd w:val="clear" w:color="auto" w:fill="C5E0B3"/>
                        <w:rPr>
                          <w:b/>
                        </w:rPr>
                      </w:pPr>
                    </w:p>
                    <w:p>
                      <w:pPr>
                        <w:shd w:val="clear" w:color="auto" w:fill="C5E0B3"/>
                        <w:rPr>
                          <w:b/>
                        </w:rPr>
                      </w:pPr>
                    </w:p>
                    <w:p>
                      <w:pPr>
                        <w:shd w:val="clear" w:color="auto" w:fill="C5E0B3"/>
                        <w:rPr>
                          <w:b/>
                        </w:rPr>
                      </w:pPr>
                    </w:p>
                    <w:p>
                      <w:pPr>
                        <w:shd w:val="clear" w:color="auto" w:fill="C5E0B3"/>
                        <w:rPr>
                          <w:b/>
                        </w:rPr>
                      </w:pPr>
                    </w:p>
                    <w:p>
                      <w:pPr>
                        <w:shd w:val="clear" w:color="auto" w:fill="C5E0B3"/>
                        <w:rPr>
                          <w:b/>
                        </w:rPr>
                      </w:pPr>
                    </w:p>
                    <w:p>
                      <w:pPr>
                        <w:shd w:val="clear" w:color="auto" w:fill="C5E0B3"/>
                        <w:rPr>
                          <w:b/>
                        </w:rPr>
                      </w:pPr>
                    </w:p>
                    <w:p>
                      <w:pPr>
                        <w:rPr>
                          <w:sz w:val="20"/>
                          <w:szCs w:val="20"/>
                        </w:rPr>
                      </w:pPr>
                    </w:p>
                  </w:txbxContent>
                </v:textbox>
                <w10:wrap type="square"/>
              </v:shape>
            </w:pict>
          </mc:Fallback>
        </mc:AlternateContent>
      </w:r>
      <w:r>
        <w:rPr>
          <w:lang w:val="sr-Latn-CS" w:eastAsia="sr-Latn-CS"/>
        </w:rPr>
        <mc:AlternateContent>
          <mc:Choice Requires="wps">
            <w:drawing>
              <wp:anchor distT="45720" distB="45720" distL="114300" distR="114300" simplePos="0" relativeHeight="251648000" behindDoc="0" locked="0" layoutInCell="1" allowOverlap="1">
                <wp:simplePos x="0" y="0"/>
                <wp:positionH relativeFrom="column">
                  <wp:posOffset>390525</wp:posOffset>
                </wp:positionH>
                <wp:positionV relativeFrom="paragraph">
                  <wp:posOffset>6350</wp:posOffset>
                </wp:positionV>
                <wp:extent cx="1400175" cy="2152650"/>
                <wp:effectExtent l="0" t="0" r="28575" b="19050"/>
                <wp:wrapSquare wrapText="bothSides"/>
                <wp:docPr id="41" name="Text Box 41"/>
                <wp:cNvGraphicFramePr/>
                <a:graphic xmlns:a="http://schemas.openxmlformats.org/drawingml/2006/main">
                  <a:graphicData uri="http://schemas.microsoft.com/office/word/2010/wordprocessingShape">
                    <wps:wsp>
                      <wps:cNvSpPr txBox="1">
                        <a:spLocks noChangeArrowheads="1"/>
                      </wps:cNvSpPr>
                      <wps:spPr bwMode="auto">
                        <a:xfrm>
                          <a:off x="0" y="0"/>
                          <a:ext cx="1400175" cy="2152650"/>
                        </a:xfrm>
                        <a:prstGeom prst="rect">
                          <a:avLst/>
                        </a:prstGeom>
                        <a:solidFill>
                          <a:srgbClr val="FFFFFF"/>
                        </a:solidFill>
                        <a:ln w="9525">
                          <a:solidFill>
                            <a:sysClr val="window" lastClr="FFFFFF"/>
                          </a:solidFill>
                          <a:miter lim="800000"/>
                        </a:ln>
                      </wps:spPr>
                      <wps:txbx>
                        <w:txbxContent>
                          <w:p>
                            <w:pPr>
                              <w:shd w:val="clear" w:color="auto" w:fill="C5E0B3"/>
                              <w:rPr>
                                <w:b/>
                              </w:rPr>
                            </w:pPr>
                            <w:r>
                              <w:rPr>
                                <w:b/>
                              </w:rPr>
                              <w:t xml:space="preserve">Стратешки циљ 1: </w:t>
                            </w:r>
                          </w:p>
                          <w:p>
                            <w:pPr>
                              <w:shd w:val="clear" w:color="auto" w:fill="C5E0B3"/>
                              <w:rPr>
                                <w:b/>
                              </w:rPr>
                            </w:pPr>
                          </w:p>
                          <w:p>
                            <w:pPr>
                              <w:shd w:val="clear" w:color="auto" w:fill="C5E0B3"/>
                              <w:rPr>
                                <w:b/>
                              </w:rPr>
                            </w:pPr>
                            <w:r>
                              <w:rPr>
                                <w:b/>
                                <w:lang w:val="ru-RU"/>
                              </w:rPr>
                              <w:t xml:space="preserve">Град са повољним пословним окружењем, јаком и конкурентном привредом </w:t>
                            </w:r>
                            <w:r>
                              <w:rPr>
                                <w:b/>
                                <w:lang w:val="sr-Cyrl-RS"/>
                              </w:rPr>
                              <w:t>и растом домаћих и страних инвестиција</w:t>
                            </w:r>
                          </w:p>
                          <w:p>
                            <w:pPr>
                              <w:shd w:val="clear" w:color="auto" w:fill="C5E0B3"/>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0.75pt;margin-top:0.5pt;height:169.5pt;width:110.25pt;mso-wrap-distance-bottom:3.6pt;mso-wrap-distance-left:9pt;mso-wrap-distance-right:9pt;mso-wrap-distance-top:3.6pt;z-index:251648000;mso-width-relative:page;mso-height-relative:page;" fillcolor="#FFFFFF" filled="t" stroked="t" coordsize="21600,21600" o:gfxdata="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BD/mjWAAAA&#10;CAEAAA8AAAAAAAAAAQAgAAAAIgAAAGRycy9kb3ducmV2LnhtbFBLAQIUABQAAAAIAIdO4kBruOBV&#10;HwIAAD8EAAAOAAAAAAAAAAEAIAAAACUBAABkcnMvZTJvRG9jLnhtbFBLBQYAAAAABgAGAFkBAAC2&#10;BQAAAAA=&#10;">
                <v:fill on="t" focussize="0,0"/>
                <v:stroke color="#FFFFFF" miterlimit="8" joinstyle="miter"/>
                <v:imagedata o:title=""/>
                <o:lock v:ext="edit" aspectratio="f"/>
                <v:textbox>
                  <w:txbxContent>
                    <w:p>
                      <w:pPr>
                        <w:shd w:val="clear" w:color="auto" w:fill="C5E0B3"/>
                        <w:rPr>
                          <w:b/>
                        </w:rPr>
                      </w:pPr>
                      <w:r>
                        <w:rPr>
                          <w:b/>
                        </w:rPr>
                        <w:t xml:space="preserve">Стратешки циљ 1: </w:t>
                      </w:r>
                    </w:p>
                    <w:p>
                      <w:pPr>
                        <w:shd w:val="clear" w:color="auto" w:fill="C5E0B3"/>
                        <w:rPr>
                          <w:b/>
                        </w:rPr>
                      </w:pPr>
                    </w:p>
                    <w:p>
                      <w:pPr>
                        <w:shd w:val="clear" w:color="auto" w:fill="C5E0B3"/>
                        <w:rPr>
                          <w:b/>
                        </w:rPr>
                      </w:pPr>
                      <w:r>
                        <w:rPr>
                          <w:b/>
                          <w:lang w:val="ru-RU"/>
                        </w:rPr>
                        <w:t xml:space="preserve">Град са повољним пословним окружењем, јаком и конкурентном привредом </w:t>
                      </w:r>
                      <w:r>
                        <w:rPr>
                          <w:b/>
                          <w:lang w:val="sr-Cyrl-RS"/>
                        </w:rPr>
                        <w:t>и растом домаћих и страних инвестиција</w:t>
                      </w:r>
                    </w:p>
                    <w:p>
                      <w:pPr>
                        <w:shd w:val="clear" w:color="auto" w:fill="C5E0B3"/>
                      </w:pPr>
                    </w:p>
                  </w:txbxContent>
                </v:textbox>
                <w10:wrap type="square"/>
              </v:shape>
            </w:pict>
          </mc:Fallback>
        </mc:AlternateConten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jc w:val="both"/>
        <w:rPr>
          <w:lang w:val="sr-Cyrl-RS"/>
        </w:rPr>
      </w:pPr>
      <w:r>
        <w:rPr>
          <w:lang w:val="sr-Cyrl-RS"/>
        </w:rPr>
        <w:t>Стратешки циљеви произилазе из визије и стратешких фокуса и представљају трансформацију и конкретизацију визије и фокуса. Стратешки циљеви представљају главне правце достизања визије и изражавају крајње резултате које намјеравамо постићи до краја планираног периода.</w:t>
      </w:r>
    </w:p>
    <w:p>
      <w:pPr>
        <w:jc w:val="both"/>
        <w:rPr>
          <w:b/>
          <w:lang w:val="sr-Cyrl-RS"/>
        </w:rPr>
      </w:pPr>
      <w:r>
        <w:rPr>
          <w:b/>
          <w:lang w:val="sr-Cyrl-RS"/>
        </w:rPr>
        <w:t> </w:t>
      </w:r>
    </w:p>
    <w:p>
      <w:pPr>
        <w:shd w:val="clear" w:color="auto" w:fill="C5E0B3"/>
        <w:jc w:val="both"/>
        <w:rPr>
          <w:b/>
          <w:lang w:val="sr-Cyrl-RS"/>
        </w:rPr>
      </w:pPr>
      <w:r>
        <w:rPr>
          <w:b/>
        </w:rPr>
        <w:t xml:space="preserve">Стратешки циљ 1: </w:t>
      </w:r>
      <w:r>
        <w:rPr>
          <w:b/>
          <w:lang w:val="ru-RU"/>
        </w:rPr>
        <w:t>Град са повољним пословним окружењем, јаком и конкурентном привредом</w:t>
      </w:r>
      <w:r>
        <w:rPr>
          <w:b/>
          <w:lang w:val="sr-Cyrl-RS"/>
        </w:rPr>
        <w:t xml:space="preserve"> и растом домаћих и страних инвестиција</w:t>
      </w:r>
      <w:r>
        <w:rPr>
          <w:b/>
          <w:lang w:val="ru-RU"/>
        </w:rPr>
        <w:t xml:space="preserve"> </w:t>
      </w:r>
    </w:p>
    <w:p>
      <w:pPr>
        <w:jc w:val="both"/>
        <w:rPr>
          <w:bCs/>
          <w:lang w:val="sr-Cyrl-RS"/>
        </w:rPr>
      </w:pPr>
    </w:p>
    <w:p>
      <w:pPr>
        <w:spacing w:after="120" w:line="276" w:lineRule="auto"/>
        <w:jc w:val="both"/>
        <w:rPr>
          <w:bCs/>
          <w:lang w:val="sr-Cyrl-RS"/>
        </w:rPr>
      </w:pPr>
      <w:r>
        <w:rPr>
          <w:bCs/>
          <w:lang w:val="sr-Cyrl-RS"/>
        </w:rPr>
        <w:t xml:space="preserve">Стицањем </w:t>
      </w:r>
      <w:r>
        <w:rPr>
          <w:bCs/>
          <w:lang w:val="sr-Latn-RS"/>
        </w:rPr>
        <w:t>BFC SEE</w:t>
      </w:r>
      <w:r>
        <w:rPr>
          <w:bCs/>
          <w:lang w:val="sr-Cyrl-RS"/>
        </w:rPr>
        <w:t xml:space="preserve"> сертификата као град са повољним пословним окружењем, Градска управа Бања Лука је исказала своје стратешко опредјељење да се континуирано и систематски бави привредним развојем заједнице. Овај стратешки циљ ће се реализовати стварањем услова за јачање МСП и предузетника, већи прилив директних домаћих и страних инвестиција, нарочито у сектору прерађивачке индустрије. Прерађивачка индустрија пружа највеће могућности за запошљавање и повећање конкурентности, у смислу нових улагања у производне процесе, машине и опрему, унапређење радне снаге, те развој иновативних производа и услуга. Развој прерађивачке индустрије, уз стицање неопходних лиценци и сертификата, омогућава производњу и пласман производа вишег степена финализације на домаћа и посебно инострана тржишта, чиме се повећавају приходи од извоза. Ово је претпоставка за даље повећање обима производње и отварање нових радних мјеста у производном сектору.</w:t>
      </w:r>
    </w:p>
    <w:p>
      <w:pPr>
        <w:spacing w:after="160" w:line="259" w:lineRule="auto"/>
        <w:jc w:val="both"/>
        <w:rPr>
          <w:lang w:val="sr-Cyrl-RS"/>
        </w:rPr>
      </w:pPr>
      <w:r>
        <w:rPr>
          <w:bCs/>
        </w:rPr>
        <w:t>Кључн</w:t>
      </w:r>
      <w:r>
        <w:rPr>
          <w:bCs/>
          <w:lang w:val="sr-Cyrl-RS"/>
        </w:rPr>
        <w:t xml:space="preserve">а </w:t>
      </w:r>
      <w:r>
        <w:rPr>
          <w:bCs/>
        </w:rPr>
        <w:t>претпоставк</w:t>
      </w:r>
      <w:r>
        <w:rPr>
          <w:bCs/>
          <w:lang w:val="sr-Cyrl-RS"/>
        </w:rPr>
        <w:t>а</w:t>
      </w:r>
      <w:r>
        <w:rPr>
          <w:bCs/>
        </w:rPr>
        <w:t xml:space="preserve"> за постизање овог циља је</w:t>
      </w:r>
      <w:r>
        <w:rPr>
          <w:bCs/>
          <w:lang w:val="sr-Cyrl-RS"/>
        </w:rPr>
        <w:t xml:space="preserve"> стварање</w:t>
      </w:r>
      <w:r>
        <w:rPr>
          <w:bCs/>
        </w:rPr>
        <w:t xml:space="preserve"> по</w:t>
      </w:r>
      <w:r>
        <w:rPr>
          <w:bCs/>
          <w:lang w:val="sr-Cyrl-RS"/>
        </w:rPr>
        <w:t>вољног</w:t>
      </w:r>
      <w:r>
        <w:rPr>
          <w:bCs/>
        </w:rPr>
        <w:t xml:space="preserve"> пословног амбијента,</w:t>
      </w:r>
      <w:r>
        <w:rPr>
          <w:bCs/>
          <w:lang w:val="sr-Cyrl-RS"/>
        </w:rPr>
        <w:t xml:space="preserve"> у смислу </w:t>
      </w:r>
      <w:r>
        <w:rPr>
          <w:bCs/>
        </w:rPr>
        <w:t>подршк</w:t>
      </w:r>
      <w:r>
        <w:rPr>
          <w:bCs/>
          <w:lang w:val="sr-Cyrl-RS"/>
        </w:rPr>
        <w:t>е</w:t>
      </w:r>
      <w:r>
        <w:rPr>
          <w:bCs/>
        </w:rPr>
        <w:t xml:space="preserve"> функционисању МСП</w:t>
      </w:r>
      <w:r>
        <w:rPr>
          <w:bCs/>
          <w:lang w:val="sr-Cyrl-RS"/>
        </w:rPr>
        <w:t xml:space="preserve"> и</w:t>
      </w:r>
      <w:r>
        <w:rPr>
          <w:bCs/>
        </w:rPr>
        <w:t xml:space="preserve"> предузетни</w:t>
      </w:r>
      <w:r>
        <w:rPr>
          <w:bCs/>
          <w:lang w:val="sr-Cyrl-RS"/>
        </w:rPr>
        <w:t>ка и пружања квалитетних услуга у свим фазама њиховог развоја и реализације</w:t>
      </w:r>
      <w:r>
        <w:rPr>
          <w:bCs/>
        </w:rPr>
        <w:t xml:space="preserve"> нов</w:t>
      </w:r>
      <w:r>
        <w:rPr>
          <w:bCs/>
          <w:lang w:val="sr-Cyrl-RS"/>
        </w:rPr>
        <w:t>их</w:t>
      </w:r>
      <w:r>
        <w:rPr>
          <w:bCs/>
        </w:rPr>
        <w:t xml:space="preserve"> инвестиција</w:t>
      </w:r>
      <w:r>
        <w:rPr>
          <w:bCs/>
          <w:lang w:val="sr-Cyrl-RS"/>
        </w:rPr>
        <w:t xml:space="preserve">. Ово обухвата изградњу </w:t>
      </w:r>
      <w:r>
        <w:rPr>
          <w:lang w:val="sr-Cyrl-RS"/>
        </w:rPr>
        <w:t>пословне, комуналне и саобраћајне инфраструктуре,</w:t>
      </w:r>
      <w:r>
        <w:rPr>
          <w:bCs/>
          <w:lang w:val="sr-Cyrl-RS"/>
        </w:rPr>
        <w:t xml:space="preserve"> континуирано унапређење административних процедура и јавно-приватног дијалога, </w:t>
      </w:r>
      <w:r>
        <w:rPr>
          <w:lang w:val="sr-Cyrl-RS"/>
        </w:rPr>
        <w:t xml:space="preserve">предвидљивост трошкова пословања, свеобухватан систем подстицаја. </w:t>
      </w:r>
    </w:p>
    <w:p>
      <w:pPr>
        <w:spacing w:after="160" w:line="259" w:lineRule="auto"/>
        <w:jc w:val="both"/>
        <w:rPr>
          <w:lang w:val="sr-Cyrl-RS"/>
        </w:rPr>
      </w:pPr>
      <w:r>
        <w:rPr>
          <w:lang w:val="sr-Cyrl-RS"/>
        </w:rPr>
        <w:t xml:space="preserve">Посебан значај за реализацију овог циља има и унапређење постојећих и развој нових пословних зона при чему је неопходна адекватна промоција понуде пословних зона за инвеститоре, превасходно за индустријске капацитете. </w:t>
      </w:r>
    </w:p>
    <w:p>
      <w:pPr>
        <w:spacing w:after="160" w:line="259" w:lineRule="auto"/>
        <w:jc w:val="both"/>
        <w:rPr>
          <w:lang w:val="sr-Cyrl-RS"/>
        </w:rPr>
      </w:pPr>
      <w:r>
        <w:rPr>
          <w:lang w:val="sr-Cyrl-RS"/>
        </w:rPr>
        <w:t>Јачање пољопривреде и развој руралног туризма ће директно доприниjети побољшању услова за останак становништва на селу, што је итекако важно за будући одрживи развој града. Овај стратешки циљ има у фокусу успостављање институционалног оквира и инфраструктуре за развој пољопривреде, као и јачање конкурентности пољопривредних произвођача.</w:t>
      </w:r>
    </w:p>
    <w:p>
      <w:pPr>
        <w:spacing w:after="160" w:line="259" w:lineRule="auto"/>
        <w:jc w:val="both"/>
        <w:rPr>
          <w:lang w:val="sr-Cyrl-RS"/>
        </w:rPr>
      </w:pPr>
      <w:r>
        <w:rPr>
          <w:lang w:val="sr-Cyrl-RS"/>
        </w:rPr>
        <w:t xml:space="preserve">С обзиром да неки од савремених трендова на туристичком тржишту иду на руку потенцијалима са којима Бања Лука располаже, у оквиру овог стратешког циља биће стављен фокус на компаративне и конкурентске предности за развој туризма и њихову презентацију туристичкој јавности. </w:t>
      </w:r>
    </w:p>
    <w:p>
      <w:pPr>
        <w:spacing w:after="120" w:line="276" w:lineRule="auto"/>
        <w:jc w:val="both"/>
        <w:rPr>
          <w:bCs/>
        </w:rPr>
      </w:pPr>
      <w:r>
        <w:rPr>
          <w:bCs/>
        </w:rPr>
        <w:t>За остварење овог стратешког циља дефинисани су с</w:t>
      </w:r>
      <w:r>
        <w:rPr>
          <w:bCs/>
          <w:lang w:val="sr-Cyrl-RS"/>
        </w:rPr>
        <w:t>л</w:t>
      </w:r>
      <w:r>
        <w:rPr>
          <w:bCs/>
        </w:rPr>
        <w:t xml:space="preserve">едећи индикатори: </w:t>
      </w:r>
    </w:p>
    <w:p>
      <w:pPr>
        <w:pStyle w:val="46"/>
        <w:numPr>
          <w:ilvl w:val="0"/>
          <w:numId w:val="40"/>
        </w:numPr>
        <w:spacing w:before="0" w:line="240" w:lineRule="auto"/>
        <w:jc w:val="left"/>
        <w:rPr>
          <w:rFonts w:cs="Calibri"/>
          <w:lang w:val="hr-BA"/>
        </w:rPr>
      </w:pPr>
      <w:r>
        <w:rPr>
          <w:rFonts w:cs="Calibri"/>
        </w:rPr>
        <w:t>До</w:t>
      </w:r>
      <w:r>
        <w:rPr>
          <w:rFonts w:cs="Calibri"/>
          <w:lang w:val="hr-BA"/>
        </w:rPr>
        <w:t xml:space="preserve"> </w:t>
      </w:r>
      <w:r>
        <w:rPr>
          <w:rFonts w:cs="Calibri"/>
          <w:lang w:val="sr-Cyrl-RS"/>
        </w:rPr>
        <w:t xml:space="preserve">краја </w:t>
      </w:r>
      <w:r>
        <w:rPr>
          <w:rFonts w:cs="Calibri"/>
          <w:lang w:val="hr-BA"/>
        </w:rPr>
        <w:t>202</w:t>
      </w:r>
      <w:r>
        <w:rPr>
          <w:rFonts w:cs="Calibri"/>
          <w:lang w:val="sr-Cyrl-RS"/>
        </w:rPr>
        <w:t>7</w:t>
      </w:r>
      <w:r>
        <w:rPr>
          <w:rFonts w:cs="Calibri"/>
          <w:lang w:val="hr-BA"/>
        </w:rPr>
        <w:t xml:space="preserve">. </w:t>
      </w:r>
      <w:r>
        <w:rPr>
          <w:rFonts w:cs="Calibri"/>
        </w:rPr>
        <w:t>године</w:t>
      </w:r>
      <w:r>
        <w:rPr>
          <w:rFonts w:cs="Calibri"/>
          <w:lang w:val="hr-BA"/>
        </w:rPr>
        <w:t xml:space="preserve">, </w:t>
      </w:r>
      <w:r>
        <w:rPr>
          <w:rFonts w:cs="Calibri"/>
        </w:rPr>
        <w:t>бро</w:t>
      </w:r>
      <w:r>
        <w:rPr>
          <w:rFonts w:cs="Calibri"/>
          <w:lang w:val="hr-BA"/>
        </w:rPr>
        <w:t xml:space="preserve">j </w:t>
      </w:r>
      <w:r>
        <w:rPr>
          <w:rFonts w:cs="Calibri"/>
        </w:rPr>
        <w:t>запослених</w:t>
      </w:r>
      <w:r>
        <w:rPr>
          <w:rFonts w:cs="Calibri"/>
          <w:lang w:val="sr-Cyrl-RS"/>
        </w:rPr>
        <w:t xml:space="preserve"> у производним дјелатностима</w:t>
      </w:r>
      <w:r>
        <w:rPr>
          <w:rFonts w:cs="Calibri"/>
          <w:lang w:val="hr-BA"/>
        </w:rPr>
        <w:t xml:space="preserve"> </w:t>
      </w:r>
      <w:r>
        <w:rPr>
          <w:rFonts w:cs="Calibri"/>
        </w:rPr>
        <w:t>увећан</w:t>
      </w:r>
      <w:r>
        <w:rPr>
          <w:rFonts w:cs="Calibri"/>
          <w:lang w:val="hr-BA"/>
        </w:rPr>
        <w:t xml:space="preserve"> </w:t>
      </w:r>
      <w:r>
        <w:rPr>
          <w:rFonts w:cs="Calibri"/>
          <w:lang w:val="sr-Cyrl-RS"/>
        </w:rPr>
        <w:t>за најмање</w:t>
      </w:r>
      <w:r>
        <w:rPr>
          <w:rFonts w:cs="Calibri"/>
          <w:lang w:val="hr-BA"/>
        </w:rPr>
        <w:t xml:space="preserve"> </w:t>
      </w:r>
      <w:r>
        <w:rPr>
          <w:rFonts w:cs="Calibri"/>
          <w:lang w:val="sr-Cyrl-CS"/>
        </w:rPr>
        <w:t>30</w:t>
      </w:r>
      <w:r>
        <w:rPr>
          <w:rFonts w:cs="Calibri"/>
          <w:lang w:val="hr-BA"/>
        </w:rPr>
        <w:t xml:space="preserve">% </w:t>
      </w:r>
      <w:r>
        <w:rPr>
          <w:rFonts w:cs="Calibri"/>
        </w:rPr>
        <w:t>у</w:t>
      </w:r>
      <w:r>
        <w:rPr>
          <w:rFonts w:cs="Calibri"/>
          <w:lang w:val="hr-BA"/>
        </w:rPr>
        <w:t xml:space="preserve"> </w:t>
      </w:r>
      <w:r>
        <w:rPr>
          <w:rFonts w:cs="Calibri"/>
        </w:rPr>
        <w:t>односу</w:t>
      </w:r>
      <w:r>
        <w:rPr>
          <w:rFonts w:cs="Calibri"/>
          <w:lang w:val="hr-BA"/>
        </w:rPr>
        <w:t xml:space="preserve"> </w:t>
      </w:r>
      <w:r>
        <w:rPr>
          <w:rFonts w:cs="Calibri"/>
        </w:rPr>
        <w:t>на</w:t>
      </w:r>
      <w:r>
        <w:rPr>
          <w:rFonts w:cs="Calibri"/>
          <w:lang w:val="hr-BA"/>
        </w:rPr>
        <w:t xml:space="preserve"> 201</w:t>
      </w:r>
      <w:r>
        <w:rPr>
          <w:rFonts w:cs="Calibri"/>
          <w:lang w:val="sr-Cyrl-RS"/>
        </w:rPr>
        <w:t>7</w:t>
      </w:r>
      <w:r>
        <w:rPr>
          <w:rFonts w:cs="Calibri"/>
          <w:lang w:val="hr-BA"/>
        </w:rPr>
        <w:t xml:space="preserve">. </w:t>
      </w:r>
      <w:r>
        <w:rPr>
          <w:rFonts w:cs="Calibri"/>
        </w:rPr>
        <w:t>годину</w:t>
      </w:r>
      <w:r>
        <w:rPr>
          <w:rFonts w:cs="Calibri"/>
          <w:lang w:val="hr-BA"/>
        </w:rPr>
        <w:t xml:space="preserve">.  </w:t>
      </w:r>
    </w:p>
    <w:p>
      <w:pPr>
        <w:numPr>
          <w:ilvl w:val="0"/>
          <w:numId w:val="40"/>
        </w:numPr>
        <w:rPr>
          <w:rFonts w:cs="Calibri"/>
          <w:lang w:val="sr-Latn-RS" w:eastAsia="zh-CN"/>
        </w:rPr>
      </w:pPr>
      <w:r>
        <w:rPr>
          <w:rFonts w:cs="Calibri"/>
          <w:lang w:val="sr-Cyrl-RS"/>
        </w:rPr>
        <w:t xml:space="preserve">До краја 2027. године, стопа незапослености на територији града Бања Лука смањена је за најмање </w:t>
      </w:r>
      <w:r>
        <w:rPr>
          <w:rFonts w:cs="Calibri"/>
          <w:lang w:val="sr-Latn-CS"/>
        </w:rPr>
        <w:t>10</w:t>
      </w:r>
      <w:r>
        <w:rPr>
          <w:rFonts w:cs="Calibri"/>
          <w:lang w:val="sr-Cyrl-RS"/>
        </w:rPr>
        <w:t>%</w:t>
      </w:r>
      <w:r>
        <w:rPr>
          <w:rFonts w:cs="Calibri"/>
          <w:lang w:val="sr-Latn-RS"/>
        </w:rPr>
        <w:t xml:space="preserve"> </w:t>
      </w:r>
      <w:r>
        <w:rPr>
          <w:rFonts w:cs="Calibri"/>
          <w:lang w:val="sr-Latn-RS" w:eastAsia="zh-CN"/>
        </w:rPr>
        <w:t xml:space="preserve">у односу на 2017. годину.  </w:t>
      </w:r>
    </w:p>
    <w:p>
      <w:pPr>
        <w:pStyle w:val="46"/>
        <w:numPr>
          <w:ilvl w:val="0"/>
          <w:numId w:val="40"/>
        </w:numPr>
        <w:spacing w:before="0" w:line="240" w:lineRule="auto"/>
        <w:jc w:val="left"/>
        <w:rPr>
          <w:rFonts w:cs="Calibri"/>
          <w:lang w:val="hr-BA"/>
        </w:rPr>
      </w:pPr>
      <w:r>
        <w:rPr>
          <w:rFonts w:cs="Calibri"/>
        </w:rPr>
        <w:t>До</w:t>
      </w:r>
      <w:r>
        <w:rPr>
          <w:rFonts w:cs="Calibri"/>
          <w:lang w:val="hr-BA"/>
        </w:rPr>
        <w:t xml:space="preserve"> </w:t>
      </w:r>
      <w:r>
        <w:rPr>
          <w:rFonts w:cs="Calibri"/>
          <w:lang w:val="sr-Cyrl-RS"/>
        </w:rPr>
        <w:t xml:space="preserve">краја </w:t>
      </w:r>
      <w:r>
        <w:rPr>
          <w:rFonts w:cs="Calibri"/>
          <w:lang w:val="hr-BA"/>
        </w:rPr>
        <w:t>202</w:t>
      </w:r>
      <w:r>
        <w:rPr>
          <w:rFonts w:cs="Calibri"/>
          <w:lang w:val="sr-Cyrl-RS"/>
        </w:rPr>
        <w:t>7.</w:t>
      </w:r>
      <w:r>
        <w:rPr>
          <w:rFonts w:cs="Calibri"/>
          <w:lang w:val="hr-BA"/>
        </w:rPr>
        <w:t xml:space="preserve"> </w:t>
      </w:r>
      <w:r>
        <w:rPr>
          <w:rFonts w:cs="Calibri"/>
        </w:rPr>
        <w:t>године</w:t>
      </w:r>
      <w:r>
        <w:rPr>
          <w:rFonts w:cs="Calibri"/>
          <w:lang w:val="hr-BA"/>
        </w:rPr>
        <w:t xml:space="preserve"> </w:t>
      </w:r>
      <w:r>
        <w:rPr>
          <w:rFonts w:cs="Calibri"/>
        </w:rPr>
        <w:t>просјечна</w:t>
      </w:r>
      <w:r>
        <w:rPr>
          <w:rFonts w:cs="Calibri"/>
          <w:lang w:val="hr-BA"/>
        </w:rPr>
        <w:t xml:space="preserve"> </w:t>
      </w:r>
      <w:r>
        <w:rPr>
          <w:rFonts w:cs="Calibri"/>
        </w:rPr>
        <w:t>бруто</w:t>
      </w:r>
      <w:r>
        <w:rPr>
          <w:rFonts w:cs="Calibri"/>
          <w:lang w:val="hr-BA"/>
        </w:rPr>
        <w:t xml:space="preserve"> </w:t>
      </w:r>
      <w:r>
        <w:rPr>
          <w:rFonts w:cs="Calibri"/>
        </w:rPr>
        <w:t>плата</w:t>
      </w:r>
      <w:r>
        <w:rPr>
          <w:rFonts w:cs="Calibri"/>
          <w:lang w:val="hr-BA"/>
        </w:rPr>
        <w:t xml:space="preserve"> </w:t>
      </w:r>
      <w:r>
        <w:rPr>
          <w:rFonts w:cs="Calibri"/>
          <w:lang w:val="sr-Cyrl-RS"/>
        </w:rPr>
        <w:t xml:space="preserve">на територији града Бања Лука </w:t>
      </w:r>
      <w:r>
        <w:rPr>
          <w:rFonts w:cs="Calibri"/>
        </w:rPr>
        <w:t>увећана</w:t>
      </w:r>
      <w:r>
        <w:rPr>
          <w:rFonts w:cs="Calibri"/>
          <w:lang w:val="hr-BA"/>
        </w:rPr>
        <w:t xml:space="preserve"> </w:t>
      </w:r>
      <w:r>
        <w:rPr>
          <w:rFonts w:cs="Calibri"/>
        </w:rPr>
        <w:t>је</w:t>
      </w:r>
      <w:r>
        <w:rPr>
          <w:rFonts w:cs="Calibri"/>
          <w:lang w:val="hr-BA"/>
        </w:rPr>
        <w:t xml:space="preserve"> </w:t>
      </w:r>
      <w:r>
        <w:rPr>
          <w:rFonts w:cs="Calibri"/>
          <w:lang w:val="sr-Cyrl-RS"/>
        </w:rPr>
        <w:t>за</w:t>
      </w:r>
      <w:r>
        <w:rPr>
          <w:rFonts w:cs="Calibri"/>
          <w:lang w:val="hr-BA"/>
        </w:rPr>
        <w:t xml:space="preserve"> </w:t>
      </w:r>
      <w:r>
        <w:rPr>
          <w:rFonts w:cs="Calibri"/>
          <w:lang w:val="sr-Cyrl-CS"/>
        </w:rPr>
        <w:t>2</w:t>
      </w:r>
      <w:r>
        <w:rPr>
          <w:rFonts w:cs="Calibri"/>
          <w:lang w:val="sr-Latn-CS"/>
        </w:rPr>
        <w:t>0</w:t>
      </w:r>
      <w:r>
        <w:rPr>
          <w:rFonts w:cs="Calibri"/>
          <w:lang w:val="hr-BA"/>
        </w:rPr>
        <w:t xml:space="preserve">% </w:t>
      </w:r>
      <w:r>
        <w:rPr>
          <w:rFonts w:cs="Calibri"/>
        </w:rPr>
        <w:t>у</w:t>
      </w:r>
      <w:r>
        <w:rPr>
          <w:rFonts w:cs="Calibri"/>
          <w:lang w:val="hr-BA"/>
        </w:rPr>
        <w:t xml:space="preserve"> </w:t>
      </w:r>
      <w:r>
        <w:rPr>
          <w:rFonts w:cs="Calibri"/>
        </w:rPr>
        <w:t>односу</w:t>
      </w:r>
      <w:r>
        <w:rPr>
          <w:rFonts w:cs="Calibri"/>
          <w:lang w:val="hr-BA"/>
        </w:rPr>
        <w:t xml:space="preserve"> </w:t>
      </w:r>
      <w:r>
        <w:rPr>
          <w:rFonts w:cs="Calibri"/>
        </w:rPr>
        <w:t>на</w:t>
      </w:r>
      <w:r>
        <w:rPr>
          <w:rFonts w:cs="Calibri"/>
          <w:lang w:val="hr-BA"/>
        </w:rPr>
        <w:t xml:space="preserve"> 201</w:t>
      </w:r>
      <w:r>
        <w:rPr>
          <w:rFonts w:cs="Calibri"/>
          <w:lang w:val="sr-Cyrl-RS"/>
        </w:rPr>
        <w:t>7</w:t>
      </w:r>
      <w:r>
        <w:rPr>
          <w:rFonts w:cs="Calibri"/>
          <w:lang w:val="hr-BA"/>
        </w:rPr>
        <w:t xml:space="preserve">. </w:t>
      </w:r>
      <w:r>
        <w:rPr>
          <w:rFonts w:cs="Calibri"/>
        </w:rPr>
        <w:t>годину</w:t>
      </w:r>
      <w:r>
        <w:rPr>
          <w:rFonts w:cs="Calibri"/>
          <w:lang w:val="hr-BA"/>
        </w:rPr>
        <w:t>.</w:t>
      </w:r>
    </w:p>
    <w:p>
      <w:pPr>
        <w:pStyle w:val="46"/>
        <w:numPr>
          <w:ilvl w:val="0"/>
          <w:numId w:val="40"/>
        </w:numPr>
        <w:spacing w:before="0" w:line="240" w:lineRule="auto"/>
        <w:jc w:val="left"/>
        <w:rPr>
          <w:rFonts w:cs="Calibri"/>
          <w:lang w:val="hr-BA"/>
        </w:rPr>
      </w:pPr>
      <w:r>
        <w:rPr>
          <w:rFonts w:cs="Calibri"/>
        </w:rPr>
        <w:t>До</w:t>
      </w:r>
      <w:r>
        <w:rPr>
          <w:rFonts w:cs="Calibri"/>
          <w:lang w:val="hr-BA"/>
        </w:rPr>
        <w:t xml:space="preserve"> </w:t>
      </w:r>
      <w:r>
        <w:rPr>
          <w:rFonts w:cs="Calibri"/>
          <w:lang w:val="sr-Cyrl-RS"/>
        </w:rPr>
        <w:t xml:space="preserve">краја </w:t>
      </w:r>
      <w:r>
        <w:rPr>
          <w:rFonts w:cs="Calibri"/>
          <w:lang w:val="hr-BA"/>
        </w:rPr>
        <w:t>202</w:t>
      </w:r>
      <w:r>
        <w:rPr>
          <w:rFonts w:cs="Calibri"/>
          <w:lang w:val="sr-Cyrl-RS"/>
        </w:rPr>
        <w:t>7</w:t>
      </w:r>
      <w:r>
        <w:rPr>
          <w:rFonts w:cs="Calibri"/>
          <w:lang w:val="hr-BA"/>
        </w:rPr>
        <w:t xml:space="preserve">. </w:t>
      </w:r>
      <w:r>
        <w:rPr>
          <w:rFonts w:cs="Calibri"/>
        </w:rPr>
        <w:t>године</w:t>
      </w:r>
      <w:r>
        <w:rPr>
          <w:rFonts w:cs="Calibri"/>
          <w:lang w:val="hr-BA"/>
        </w:rPr>
        <w:t xml:space="preserve"> </w:t>
      </w:r>
      <w:r>
        <w:rPr>
          <w:rFonts w:cs="Calibri"/>
        </w:rPr>
        <w:t>дошло</w:t>
      </w:r>
      <w:r>
        <w:rPr>
          <w:rFonts w:cs="Calibri"/>
          <w:lang w:val="hr-BA"/>
        </w:rPr>
        <w:t xml:space="preserve"> </w:t>
      </w:r>
      <w:r>
        <w:rPr>
          <w:rFonts w:cs="Calibri"/>
        </w:rPr>
        <w:t>је</w:t>
      </w:r>
      <w:r>
        <w:rPr>
          <w:rFonts w:cs="Calibri"/>
          <w:lang w:val="hr-BA"/>
        </w:rPr>
        <w:t xml:space="preserve"> </w:t>
      </w:r>
      <w:r>
        <w:rPr>
          <w:rFonts w:cs="Calibri"/>
        </w:rPr>
        <w:t>до</w:t>
      </w:r>
      <w:r>
        <w:rPr>
          <w:rFonts w:cs="Calibri"/>
          <w:lang w:val="hr-BA"/>
        </w:rPr>
        <w:t xml:space="preserve"> </w:t>
      </w:r>
      <w:r>
        <w:rPr>
          <w:rFonts w:cs="Calibri"/>
        </w:rPr>
        <w:t>повећања</w:t>
      </w:r>
      <w:r>
        <w:rPr>
          <w:rFonts w:cs="Calibri"/>
          <w:lang w:val="hr-BA"/>
        </w:rPr>
        <w:t xml:space="preserve"> </w:t>
      </w:r>
      <w:r>
        <w:rPr>
          <w:rFonts w:cs="Calibri"/>
        </w:rPr>
        <w:t>укупних</w:t>
      </w:r>
      <w:r>
        <w:rPr>
          <w:rFonts w:cs="Calibri"/>
          <w:lang w:val="hr-BA"/>
        </w:rPr>
        <w:t xml:space="preserve"> </w:t>
      </w:r>
      <w:r>
        <w:rPr>
          <w:rFonts w:cs="Calibri"/>
        </w:rPr>
        <w:t>прихода</w:t>
      </w:r>
      <w:r>
        <w:rPr>
          <w:rFonts w:cs="Calibri"/>
          <w:lang w:val="hr-BA"/>
        </w:rPr>
        <w:t xml:space="preserve"> </w:t>
      </w:r>
      <w:r>
        <w:rPr>
          <w:rFonts w:cs="Calibri"/>
        </w:rPr>
        <w:t>у</w:t>
      </w:r>
      <w:r>
        <w:rPr>
          <w:rFonts w:cs="Calibri"/>
          <w:lang w:val="hr-BA"/>
        </w:rPr>
        <w:t xml:space="preserve"> </w:t>
      </w:r>
      <w:r>
        <w:rPr>
          <w:rFonts w:cs="Calibri"/>
        </w:rPr>
        <w:t>привреди</w:t>
      </w:r>
      <w:r>
        <w:rPr>
          <w:rFonts w:cs="Calibri"/>
          <w:lang w:val="hr-BA"/>
        </w:rPr>
        <w:t xml:space="preserve">  </w:t>
      </w:r>
      <w:r>
        <w:rPr>
          <w:rFonts w:cs="Calibri"/>
          <w:lang w:val="sr-Cyrl-RS"/>
        </w:rPr>
        <w:t>на територији града Бања Лука за</w:t>
      </w:r>
      <w:r>
        <w:rPr>
          <w:rFonts w:cs="Calibri"/>
          <w:lang w:val="hr-BA"/>
        </w:rPr>
        <w:t xml:space="preserve"> </w:t>
      </w:r>
      <w:r>
        <w:rPr>
          <w:rFonts w:cs="Calibri"/>
          <w:lang w:val="sr-Cyrl-CS"/>
        </w:rPr>
        <w:t>30</w:t>
      </w:r>
      <w:r>
        <w:rPr>
          <w:rFonts w:cs="Calibri"/>
          <w:lang w:val="hr-BA"/>
        </w:rPr>
        <w:t xml:space="preserve">% </w:t>
      </w:r>
      <w:r>
        <w:rPr>
          <w:rFonts w:cs="Calibri"/>
        </w:rPr>
        <w:t>у</w:t>
      </w:r>
      <w:r>
        <w:rPr>
          <w:rFonts w:cs="Calibri"/>
          <w:lang w:val="hr-BA"/>
        </w:rPr>
        <w:t xml:space="preserve"> </w:t>
      </w:r>
      <w:r>
        <w:rPr>
          <w:rFonts w:cs="Calibri"/>
        </w:rPr>
        <w:t>односу</w:t>
      </w:r>
      <w:r>
        <w:rPr>
          <w:rFonts w:cs="Calibri"/>
          <w:lang w:val="hr-BA"/>
        </w:rPr>
        <w:t xml:space="preserve"> </w:t>
      </w:r>
      <w:r>
        <w:rPr>
          <w:rFonts w:cs="Calibri"/>
        </w:rPr>
        <w:t>на</w:t>
      </w:r>
      <w:r>
        <w:rPr>
          <w:rFonts w:cs="Calibri"/>
          <w:lang w:val="hr-BA"/>
        </w:rPr>
        <w:t xml:space="preserve"> 201</w:t>
      </w:r>
      <w:r>
        <w:rPr>
          <w:rFonts w:cs="Calibri"/>
          <w:lang w:val="sr-Cyrl-RS"/>
        </w:rPr>
        <w:t>7</w:t>
      </w:r>
      <w:r>
        <w:rPr>
          <w:rFonts w:cs="Calibri"/>
          <w:lang w:val="hr-BA"/>
        </w:rPr>
        <w:t xml:space="preserve">. </w:t>
      </w:r>
      <w:r>
        <w:rPr>
          <w:rFonts w:cs="Calibri"/>
        </w:rPr>
        <w:t>годину</w:t>
      </w:r>
      <w:r>
        <w:rPr>
          <w:rFonts w:cs="Calibri"/>
          <w:lang w:val="hr-BA"/>
        </w:rPr>
        <w:t xml:space="preserve"> </w:t>
      </w:r>
    </w:p>
    <w:p>
      <w:pPr>
        <w:pStyle w:val="46"/>
        <w:numPr>
          <w:ilvl w:val="0"/>
          <w:numId w:val="40"/>
        </w:numPr>
        <w:spacing w:before="0" w:line="240" w:lineRule="auto"/>
        <w:jc w:val="left"/>
        <w:rPr>
          <w:rFonts w:cs="Calibri"/>
          <w:lang w:val="hr-BA"/>
        </w:rPr>
      </w:pPr>
      <w:r>
        <w:rPr>
          <w:rFonts w:cs="Calibri"/>
        </w:rPr>
        <w:t>До</w:t>
      </w:r>
      <w:r>
        <w:rPr>
          <w:rFonts w:cs="Calibri"/>
          <w:lang w:val="hr-BA"/>
        </w:rPr>
        <w:t xml:space="preserve"> </w:t>
      </w:r>
      <w:r>
        <w:rPr>
          <w:rFonts w:cs="Calibri"/>
          <w:lang w:val="sr-Cyrl-RS"/>
        </w:rPr>
        <w:t xml:space="preserve">краја </w:t>
      </w:r>
      <w:r>
        <w:rPr>
          <w:rFonts w:cs="Calibri"/>
          <w:lang w:val="hr-BA"/>
        </w:rPr>
        <w:t>202</w:t>
      </w:r>
      <w:r>
        <w:rPr>
          <w:rFonts w:cs="Calibri"/>
          <w:lang w:val="sr-Cyrl-RS"/>
        </w:rPr>
        <w:t>7</w:t>
      </w:r>
      <w:r>
        <w:rPr>
          <w:rFonts w:cs="Calibri"/>
          <w:lang w:val="hr-BA"/>
        </w:rPr>
        <w:t xml:space="preserve">. </w:t>
      </w:r>
      <w:r>
        <w:rPr>
          <w:rFonts w:cs="Calibri"/>
        </w:rPr>
        <w:t>године</w:t>
      </w:r>
      <w:r>
        <w:rPr>
          <w:rFonts w:cs="Calibri"/>
          <w:lang w:val="hr-BA"/>
        </w:rPr>
        <w:t xml:space="preserve"> </w:t>
      </w:r>
      <w:r>
        <w:rPr>
          <w:rFonts w:cs="Calibri"/>
        </w:rPr>
        <w:t>дошло</w:t>
      </w:r>
      <w:r>
        <w:rPr>
          <w:rFonts w:cs="Calibri"/>
          <w:lang w:val="hr-BA"/>
        </w:rPr>
        <w:t xml:space="preserve"> </w:t>
      </w:r>
      <w:r>
        <w:rPr>
          <w:rFonts w:cs="Calibri"/>
        </w:rPr>
        <w:t>је</w:t>
      </w:r>
      <w:r>
        <w:rPr>
          <w:rFonts w:cs="Calibri"/>
          <w:lang w:val="hr-BA"/>
        </w:rPr>
        <w:t xml:space="preserve"> </w:t>
      </w:r>
      <w:r>
        <w:rPr>
          <w:rFonts w:cs="Calibri"/>
        </w:rPr>
        <w:t>до</w:t>
      </w:r>
      <w:r>
        <w:rPr>
          <w:rFonts w:cs="Calibri"/>
          <w:lang w:val="hr-BA"/>
        </w:rPr>
        <w:t xml:space="preserve"> </w:t>
      </w:r>
      <w:r>
        <w:rPr>
          <w:rFonts w:cs="Calibri"/>
        </w:rPr>
        <w:t>повећања</w:t>
      </w:r>
      <w:r>
        <w:rPr>
          <w:rFonts w:cs="Calibri"/>
          <w:lang w:val="hr-BA"/>
        </w:rPr>
        <w:t xml:space="preserve"> </w:t>
      </w:r>
      <w:r>
        <w:rPr>
          <w:rFonts w:cs="Calibri"/>
          <w:lang w:val="sr-Cyrl-CS"/>
        </w:rPr>
        <w:t>вриједности</w:t>
      </w:r>
      <w:r>
        <w:rPr>
          <w:rFonts w:cs="Calibri"/>
          <w:lang w:val="hr-BA"/>
        </w:rPr>
        <w:t xml:space="preserve"> </w:t>
      </w:r>
      <w:r>
        <w:rPr>
          <w:rFonts w:cs="Calibri"/>
          <w:lang w:val="sr-Cyrl-CS"/>
        </w:rPr>
        <w:t>укупних</w:t>
      </w:r>
      <w:r>
        <w:rPr>
          <w:rFonts w:cs="Calibri"/>
          <w:lang w:val="hr-BA"/>
        </w:rPr>
        <w:t xml:space="preserve"> </w:t>
      </w:r>
      <w:r>
        <w:rPr>
          <w:rFonts w:cs="Calibri"/>
          <w:lang w:val="sr-Cyrl-CS"/>
        </w:rPr>
        <w:t xml:space="preserve">домаћих и страних </w:t>
      </w:r>
      <w:r>
        <w:rPr>
          <w:rFonts w:cs="Calibri"/>
        </w:rPr>
        <w:t>инвестиција</w:t>
      </w:r>
      <w:r>
        <w:rPr>
          <w:rFonts w:cs="Calibri"/>
          <w:lang w:val="hr-BA"/>
        </w:rPr>
        <w:t xml:space="preserve"> </w:t>
      </w:r>
      <w:r>
        <w:rPr>
          <w:rFonts w:cs="Calibri"/>
        </w:rPr>
        <w:t>на</w:t>
      </w:r>
      <w:r>
        <w:rPr>
          <w:rFonts w:cs="Calibri"/>
          <w:lang w:val="hr-BA"/>
        </w:rPr>
        <w:t xml:space="preserve"> </w:t>
      </w:r>
      <w:r>
        <w:rPr>
          <w:rFonts w:cs="Calibri"/>
        </w:rPr>
        <w:t>територији</w:t>
      </w:r>
      <w:r>
        <w:rPr>
          <w:rFonts w:cs="Calibri"/>
          <w:lang w:val="hr-BA"/>
        </w:rPr>
        <w:t xml:space="preserve"> </w:t>
      </w:r>
      <w:r>
        <w:rPr>
          <w:rFonts w:cs="Calibri"/>
          <w:lang w:val="sr-Cyrl-RS"/>
        </w:rPr>
        <w:t>Града</w:t>
      </w:r>
      <w:r>
        <w:rPr>
          <w:rFonts w:cs="Calibri"/>
          <w:lang w:val="hr-BA"/>
        </w:rPr>
        <w:t xml:space="preserve"> </w:t>
      </w:r>
      <w:r>
        <w:rPr>
          <w:rFonts w:cs="Calibri"/>
          <w:lang w:val="sr-Cyrl-RS"/>
        </w:rPr>
        <w:t xml:space="preserve">Бања Лука за </w:t>
      </w:r>
      <w:r>
        <w:rPr>
          <w:rFonts w:cs="Calibri"/>
          <w:lang w:val="sr-Cyrl-CS"/>
        </w:rPr>
        <w:t>5</w:t>
      </w:r>
      <w:r>
        <w:rPr>
          <w:rFonts w:cs="Calibri"/>
          <w:lang w:val="sr-Cyrl-RS"/>
        </w:rPr>
        <w:t>0</w:t>
      </w:r>
      <w:r>
        <w:rPr>
          <w:rFonts w:cs="Calibri"/>
          <w:lang w:val="hr-BA"/>
        </w:rPr>
        <w:t xml:space="preserve">% </w:t>
      </w:r>
      <w:r>
        <w:rPr>
          <w:rFonts w:cs="Calibri"/>
        </w:rPr>
        <w:t>у</w:t>
      </w:r>
      <w:r>
        <w:rPr>
          <w:rFonts w:cs="Calibri"/>
          <w:lang w:val="hr-BA"/>
        </w:rPr>
        <w:t xml:space="preserve"> </w:t>
      </w:r>
      <w:r>
        <w:rPr>
          <w:rFonts w:cs="Calibri"/>
        </w:rPr>
        <w:t>односу</w:t>
      </w:r>
      <w:r>
        <w:rPr>
          <w:rFonts w:cs="Calibri"/>
          <w:lang w:val="hr-BA"/>
        </w:rPr>
        <w:t xml:space="preserve"> </w:t>
      </w:r>
      <w:r>
        <w:rPr>
          <w:rFonts w:cs="Calibri"/>
        </w:rPr>
        <w:t>на</w:t>
      </w:r>
      <w:r>
        <w:rPr>
          <w:rFonts w:cs="Calibri"/>
          <w:lang w:val="hr-BA"/>
        </w:rPr>
        <w:t xml:space="preserve"> 201</w:t>
      </w:r>
      <w:r>
        <w:rPr>
          <w:rFonts w:cs="Calibri"/>
          <w:lang w:val="sr-Cyrl-RS"/>
        </w:rPr>
        <w:t>7</w:t>
      </w:r>
      <w:r>
        <w:rPr>
          <w:rFonts w:cs="Calibri"/>
          <w:lang w:val="hr-BA"/>
        </w:rPr>
        <w:t xml:space="preserve">. </w:t>
      </w:r>
      <w:r>
        <w:rPr>
          <w:rFonts w:cs="Calibri"/>
        </w:rPr>
        <w:t>годину</w:t>
      </w:r>
      <w:r>
        <w:rPr>
          <w:rFonts w:cs="Calibri"/>
          <w:lang w:val="hr-BA"/>
        </w:rPr>
        <w:t>.</w:t>
      </w:r>
    </w:p>
    <w:p>
      <w:pPr>
        <w:pStyle w:val="46"/>
        <w:numPr>
          <w:ilvl w:val="0"/>
          <w:numId w:val="40"/>
        </w:numPr>
        <w:spacing w:before="0" w:line="240" w:lineRule="auto"/>
        <w:jc w:val="left"/>
        <w:rPr>
          <w:rFonts w:cs="Calibri"/>
          <w:lang w:val="hr-BA"/>
        </w:rPr>
      </w:pPr>
      <w:r>
        <w:rPr>
          <w:rFonts w:cs="Calibri"/>
          <w:lang w:val="sr-Cyrl-CS"/>
        </w:rPr>
        <w:t xml:space="preserve">До краја 2027. године, повећани приходи од пољопривреде </w:t>
      </w:r>
      <w:r>
        <w:rPr>
          <w:rFonts w:cs="Calibri"/>
          <w:lang w:val="sr-Cyrl-RS"/>
        </w:rPr>
        <w:t xml:space="preserve">на територији града Бања Лука </w:t>
      </w:r>
      <w:r>
        <w:rPr>
          <w:rFonts w:cs="Calibri"/>
          <w:lang w:val="sr-Cyrl-CS"/>
        </w:rPr>
        <w:t>за 30% у односу на 2017. годину</w:t>
      </w:r>
    </w:p>
    <w:p>
      <w:pPr>
        <w:pStyle w:val="46"/>
        <w:numPr>
          <w:ilvl w:val="0"/>
          <w:numId w:val="40"/>
        </w:numPr>
        <w:spacing w:before="0" w:line="240" w:lineRule="auto"/>
        <w:jc w:val="left"/>
        <w:rPr>
          <w:rFonts w:cs="Calibri"/>
          <w:lang w:val="hr-BA"/>
        </w:rPr>
      </w:pPr>
      <w:r>
        <w:rPr>
          <w:rFonts w:cs="Calibri"/>
          <w:lang w:val="sr-Cyrl-RS"/>
        </w:rPr>
        <w:t>До краја 2027. године повећани приходи од туризма на територији града Бања Лука за 30% у односу на 2017. годину.</w:t>
      </w:r>
    </w:p>
    <w:p>
      <w:pPr>
        <w:spacing w:after="160" w:line="259" w:lineRule="auto"/>
        <w:jc w:val="both"/>
        <w:rPr>
          <w:rFonts w:eastAsia="Times New Roman"/>
          <w:bCs/>
          <w:kern w:val="32"/>
        </w:rPr>
      </w:pPr>
    </w:p>
    <w:p>
      <w:pPr>
        <w:shd w:val="clear" w:color="auto" w:fill="C5E0B3"/>
        <w:jc w:val="both"/>
        <w:rPr>
          <w:b/>
        </w:rPr>
      </w:pPr>
      <w:r>
        <w:rPr>
          <w:b/>
        </w:rPr>
        <w:t xml:space="preserve">Стратешки циљ 2: </w:t>
      </w:r>
      <w:r>
        <w:rPr>
          <w:b/>
          <w:lang w:val="sr-Cyrl-RS"/>
        </w:rPr>
        <w:t>М</w:t>
      </w:r>
      <w:r>
        <w:rPr>
          <w:b/>
        </w:rPr>
        <w:t>одерна, урбана средина</w:t>
      </w:r>
      <w:r>
        <w:rPr>
          <w:b/>
          <w:lang w:val="sr-Cyrl-RS"/>
        </w:rPr>
        <w:t xml:space="preserve">, </w:t>
      </w:r>
      <w:r>
        <w:rPr>
          <w:b/>
        </w:rPr>
        <w:t>заснован</w:t>
      </w:r>
      <w:r>
        <w:rPr>
          <w:b/>
          <w:lang w:val="sr-Cyrl-RS"/>
        </w:rPr>
        <w:t>а</w:t>
      </w:r>
      <w:r>
        <w:rPr>
          <w:b/>
        </w:rPr>
        <w:t xml:space="preserve"> на </w:t>
      </w:r>
      <w:r>
        <w:rPr>
          <w:b/>
          <w:i/>
        </w:rPr>
        <w:t>Smart City</w:t>
      </w:r>
      <w:r>
        <w:rPr>
          <w:b/>
        </w:rPr>
        <w:t xml:space="preserve"> </w:t>
      </w:r>
      <w:r>
        <w:rPr>
          <w:b/>
          <w:lang w:val="sr-Cyrl-RS"/>
        </w:rPr>
        <w:t>концепту</w:t>
      </w:r>
      <w:r>
        <w:rPr>
          <w:b/>
        </w:rPr>
        <w:t>, угодн</w:t>
      </w:r>
      <w:r>
        <w:rPr>
          <w:b/>
          <w:lang w:val="sr-Cyrl-RS"/>
        </w:rPr>
        <w:t>а</w:t>
      </w:r>
      <w:r>
        <w:rPr>
          <w:b/>
        </w:rPr>
        <w:t xml:space="preserve"> за живот</w:t>
      </w:r>
      <w:r>
        <w:rPr>
          <w:b/>
          <w:lang w:val="sr-Cyrl-RS"/>
        </w:rPr>
        <w:t xml:space="preserve"> свих грађана</w:t>
      </w:r>
    </w:p>
    <w:p>
      <w:pPr>
        <w:shd w:val="clear" w:color="auto" w:fill="FFFFFF"/>
        <w:spacing w:before="100" w:beforeAutospacing="1" w:after="24"/>
        <w:jc w:val="both"/>
        <w:rPr>
          <w:lang w:val="sr-Cyrl-RS"/>
        </w:rPr>
      </w:pPr>
      <w:r>
        <w:rPr>
          <w:rFonts w:eastAsia="Times New Roman" w:cs="Calibri"/>
          <w:color w:val="222222"/>
          <w:lang w:val="sr-Cyrl-RS"/>
        </w:rPr>
        <w:t xml:space="preserve">У складу са исказаним потребама, кључним европским вриједностима и смјерницама за развој, укорак са временом, други стратешки циљ града Бања Лука је да се приближи модерним европским градовима који примјењују </w:t>
      </w:r>
      <w:r>
        <w:rPr>
          <w:i/>
        </w:rPr>
        <w:t>Smart City</w:t>
      </w:r>
      <w:r>
        <w:rPr>
          <w:i/>
          <w:lang w:val="sr-Cyrl-CS"/>
        </w:rPr>
        <w:t xml:space="preserve"> </w:t>
      </w:r>
      <w:r>
        <w:rPr>
          <w:lang w:val="sr-Cyrl-CS"/>
        </w:rPr>
        <w:t>концепт</w:t>
      </w:r>
      <w:r>
        <w:rPr>
          <w:lang w:val="sr-Cyrl-RS"/>
        </w:rPr>
        <w:t>, тако што ће се у наредних десет година интензивно бавити:</w:t>
      </w:r>
    </w:p>
    <w:p>
      <w:pPr>
        <w:pStyle w:val="46"/>
        <w:numPr>
          <w:ilvl w:val="0"/>
          <w:numId w:val="41"/>
        </w:numPr>
        <w:shd w:val="clear" w:color="auto" w:fill="FFFFFF"/>
        <w:spacing w:before="100" w:beforeAutospacing="1" w:after="24"/>
        <w:jc w:val="left"/>
        <w:rPr>
          <w:rFonts w:cs="Calibri"/>
          <w:color w:val="222222"/>
          <w:lang w:val="sr-Cyrl-RS"/>
        </w:rPr>
      </w:pPr>
      <w:r>
        <w:rPr>
          <w:lang w:val="sr-Cyrl-RS"/>
        </w:rPr>
        <w:t xml:space="preserve">Модернизацијом јавне управе (е-управа) и увођењем ефикасних и ефективних електронских услуга за грађане и приватни сектор, </w:t>
      </w:r>
    </w:p>
    <w:p>
      <w:pPr>
        <w:pStyle w:val="46"/>
        <w:numPr>
          <w:ilvl w:val="0"/>
          <w:numId w:val="41"/>
        </w:numPr>
        <w:shd w:val="clear" w:color="auto" w:fill="FFFFFF"/>
        <w:spacing w:before="100" w:beforeAutospacing="1" w:after="24"/>
        <w:rPr>
          <w:rFonts w:cs="Calibri"/>
          <w:color w:val="222222"/>
          <w:lang w:val="sr-Cyrl-RS"/>
        </w:rPr>
      </w:pPr>
      <w:r>
        <w:rPr>
          <w:lang w:val="sr-Cyrl-RS"/>
        </w:rPr>
        <w:t xml:space="preserve">Инфраструктурним опремањем града на принципима </w:t>
      </w:r>
      <w:r>
        <w:rPr>
          <w:lang w:val="sr-Latn-RS"/>
        </w:rPr>
        <w:t xml:space="preserve">smart </w:t>
      </w:r>
      <w:r>
        <w:rPr>
          <w:lang w:val="sr-Cyrl-RS"/>
        </w:rPr>
        <w:t>технологија у свим областима одрживог развоја и, нарочито, у погледу енергетске ефикасности;</w:t>
      </w:r>
    </w:p>
    <w:p>
      <w:pPr>
        <w:pStyle w:val="46"/>
        <w:numPr>
          <w:ilvl w:val="0"/>
          <w:numId w:val="41"/>
        </w:numPr>
        <w:shd w:val="clear" w:color="auto" w:fill="FFFFFF"/>
        <w:spacing w:before="100" w:beforeAutospacing="1" w:after="24"/>
        <w:rPr>
          <w:rFonts w:cs="Calibri"/>
          <w:color w:val="222222"/>
          <w:lang w:val="sr-Cyrl-RS"/>
        </w:rPr>
      </w:pPr>
      <w:r>
        <w:rPr>
          <w:rFonts w:cs="Calibri"/>
          <w:color w:val="222222"/>
          <w:lang w:val="sr-Cyrl-RS"/>
        </w:rPr>
        <w:t xml:space="preserve">Развојем механизама за електронско преношење знања и информација грађанима, као будућим корисницима свих погодности које нуди </w:t>
      </w:r>
      <w:r>
        <w:rPr>
          <w:rFonts w:cs="Calibri"/>
          <w:i/>
          <w:color w:val="222222"/>
          <w:lang w:val="sr-Latn-RS"/>
        </w:rPr>
        <w:t>Smart City</w:t>
      </w:r>
      <w:r>
        <w:rPr>
          <w:rFonts w:cs="Calibri"/>
          <w:color w:val="222222"/>
          <w:lang w:val="sr-Cyrl-RS"/>
        </w:rPr>
        <w:t xml:space="preserve"> и </w:t>
      </w:r>
    </w:p>
    <w:p>
      <w:pPr>
        <w:pStyle w:val="46"/>
        <w:numPr>
          <w:ilvl w:val="0"/>
          <w:numId w:val="41"/>
        </w:numPr>
        <w:shd w:val="clear" w:color="auto" w:fill="FFFFFF"/>
        <w:spacing w:before="100" w:beforeAutospacing="1" w:after="24"/>
        <w:rPr>
          <w:rFonts w:cs="Calibri"/>
          <w:color w:val="222222"/>
          <w:lang w:val="sr-Cyrl-RS"/>
        </w:rPr>
      </w:pPr>
      <w:r>
        <w:rPr>
          <w:rFonts w:cs="Calibri"/>
          <w:color w:val="222222"/>
          <w:lang w:val="sr-Cyrl-RS"/>
        </w:rPr>
        <w:t>Развојем иновационе дјелатности у области информационо-комуникационих технологија.</w:t>
      </w:r>
    </w:p>
    <w:p>
      <w:pPr>
        <w:shd w:val="clear" w:color="auto" w:fill="FFFFFF"/>
        <w:spacing w:before="100" w:beforeAutospacing="1" w:after="24"/>
        <w:jc w:val="both"/>
        <w:rPr>
          <w:rFonts w:cs="Calibri"/>
          <w:color w:val="222222"/>
          <w:lang w:val="sr-Cyrl-RS"/>
        </w:rPr>
      </w:pPr>
      <w:r>
        <w:rPr>
          <w:rFonts w:cs="Calibri"/>
          <w:color w:val="222222"/>
          <w:lang w:val="sr-Cyrl-RS"/>
        </w:rPr>
        <w:t xml:space="preserve">Као </w:t>
      </w:r>
      <w:r>
        <w:rPr>
          <w:rFonts w:cs="Calibri"/>
          <w:i/>
          <w:color w:val="222222"/>
          <w:lang w:val="sr-Latn-RS"/>
        </w:rPr>
        <w:t>Smart City</w:t>
      </w:r>
      <w:r>
        <w:rPr>
          <w:rFonts w:cs="Calibri"/>
          <w:i/>
          <w:color w:val="222222"/>
          <w:lang w:val="sr-Cyrl-RS"/>
        </w:rPr>
        <w:t xml:space="preserve">, </w:t>
      </w:r>
      <w:r>
        <w:rPr>
          <w:rFonts w:cs="Calibri"/>
          <w:color w:val="222222"/>
          <w:lang w:val="sr-Cyrl-RS"/>
        </w:rPr>
        <w:t>Град Бања Лука очекује и значајне резултате у областима:</w:t>
      </w:r>
    </w:p>
    <w:p>
      <w:pPr>
        <w:pStyle w:val="46"/>
        <w:numPr>
          <w:ilvl w:val="0"/>
          <w:numId w:val="42"/>
        </w:numPr>
        <w:shd w:val="clear" w:color="auto" w:fill="FFFFFF"/>
        <w:spacing w:before="100" w:beforeAutospacing="1" w:after="24"/>
        <w:rPr>
          <w:rFonts w:cs="Calibri"/>
          <w:color w:val="222222"/>
          <w:lang w:val="sr-Latn-RS"/>
        </w:rPr>
      </w:pPr>
      <w:r>
        <w:rPr>
          <w:rFonts w:cs="Calibri"/>
          <w:b/>
          <w:color w:val="222222"/>
          <w:lang w:val="sr-Cyrl-RS"/>
        </w:rPr>
        <w:t>Енергетске ефикасности</w:t>
      </w:r>
      <w:r>
        <w:rPr>
          <w:rFonts w:cs="Calibri"/>
          <w:color w:val="222222"/>
          <w:lang w:val="sr-Cyrl-RS"/>
        </w:rPr>
        <w:t xml:space="preserve">, путем коришћења модерних технологија за </w:t>
      </w:r>
      <w:r>
        <w:rPr>
          <w:rFonts w:cs="Calibri"/>
          <w:color w:val="222222"/>
          <w:lang w:val="sr-Latn-RS"/>
        </w:rPr>
        <w:t>праћење потрошње</w:t>
      </w:r>
      <w:r>
        <w:rPr>
          <w:rFonts w:cs="Calibri"/>
          <w:color w:val="222222"/>
          <w:lang w:val="sr-Cyrl-RS"/>
        </w:rPr>
        <w:t xml:space="preserve"> енергије</w:t>
      </w:r>
      <w:r>
        <w:rPr>
          <w:rFonts w:cs="Calibri"/>
          <w:color w:val="222222"/>
          <w:lang w:val="sr-Latn-RS"/>
        </w:rPr>
        <w:t xml:space="preserve"> са циљем </w:t>
      </w:r>
      <w:r>
        <w:rPr>
          <w:rFonts w:cs="Calibri"/>
          <w:color w:val="222222"/>
          <w:lang w:val="sr-Cyrl-RS"/>
        </w:rPr>
        <w:t>повећања</w:t>
      </w:r>
      <w:r>
        <w:rPr>
          <w:rFonts w:cs="Calibri"/>
          <w:color w:val="222222"/>
          <w:lang w:val="sr-Latn-RS"/>
        </w:rPr>
        <w:t xml:space="preserve"> контроле</w:t>
      </w:r>
      <w:r>
        <w:rPr>
          <w:rFonts w:cs="Calibri"/>
          <w:color w:val="222222"/>
          <w:lang w:val="sr-Cyrl-RS"/>
        </w:rPr>
        <w:t xml:space="preserve"> и смањења</w:t>
      </w:r>
      <w:r>
        <w:rPr>
          <w:rFonts w:cs="Calibri"/>
          <w:color w:val="222222"/>
          <w:lang w:val="sr-Latn-RS"/>
        </w:rPr>
        <w:t xml:space="preserve"> трошкова</w:t>
      </w:r>
      <w:r>
        <w:rPr>
          <w:rFonts w:cs="Calibri"/>
          <w:color w:val="222222"/>
          <w:lang w:val="sr-Cyrl-RS"/>
        </w:rPr>
        <w:t>, и</w:t>
      </w:r>
      <w:r>
        <w:rPr>
          <w:rFonts w:cs="Calibri"/>
          <w:color w:val="222222"/>
          <w:lang w:val="sr-Latn-RS"/>
        </w:rPr>
        <w:t>нсталациј</w:t>
      </w:r>
      <w:r>
        <w:rPr>
          <w:rFonts w:cs="Calibri"/>
          <w:color w:val="222222"/>
          <w:lang w:val="sr-Cyrl-RS"/>
        </w:rPr>
        <w:t>е савремене</w:t>
      </w:r>
      <w:r>
        <w:rPr>
          <w:rFonts w:cs="Calibri"/>
          <w:color w:val="222222"/>
          <w:lang w:val="sr-Latn-RS"/>
        </w:rPr>
        <w:t xml:space="preserve"> расв</w:t>
      </w:r>
      <w:r>
        <w:rPr>
          <w:rFonts w:cs="Calibri"/>
          <w:color w:val="222222"/>
          <w:lang w:val="sr-Cyrl-RS"/>
        </w:rPr>
        <w:t>ј</w:t>
      </w:r>
      <w:r>
        <w:rPr>
          <w:rFonts w:cs="Calibri"/>
          <w:color w:val="222222"/>
          <w:lang w:val="sr-Latn-RS"/>
        </w:rPr>
        <w:t>ете</w:t>
      </w:r>
      <w:r>
        <w:rPr>
          <w:rFonts w:cs="Calibri"/>
          <w:color w:val="222222"/>
          <w:lang w:val="sr-Cyrl-RS"/>
        </w:rPr>
        <w:t>,</w:t>
      </w:r>
      <w:r>
        <w:rPr>
          <w:rFonts w:cs="Calibri"/>
          <w:color w:val="222222"/>
          <w:lang w:val="sr-Latn-RS"/>
        </w:rPr>
        <w:t xml:space="preserve"> </w:t>
      </w:r>
      <w:r>
        <w:rPr>
          <w:rFonts w:cs="Calibri"/>
          <w:color w:val="222222"/>
          <w:lang w:val="sr-Cyrl-RS"/>
        </w:rPr>
        <w:t>увођења</w:t>
      </w:r>
      <w:r>
        <w:rPr>
          <w:rFonts w:cs="Calibri"/>
          <w:color w:val="222222"/>
          <w:lang w:val="sr-Latn-RS"/>
        </w:rPr>
        <w:t xml:space="preserve"> опреме за контролу загађења и еколошку заштиту</w:t>
      </w:r>
      <w:r>
        <w:rPr>
          <w:rFonts w:cs="Calibri"/>
          <w:color w:val="222222"/>
          <w:lang w:val="sr-Cyrl-RS"/>
        </w:rPr>
        <w:t xml:space="preserve"> итд.</w:t>
      </w:r>
    </w:p>
    <w:p>
      <w:pPr>
        <w:pStyle w:val="46"/>
        <w:shd w:val="clear" w:color="auto" w:fill="FFFFFF"/>
        <w:spacing w:before="100" w:beforeAutospacing="1" w:after="24"/>
        <w:rPr>
          <w:rFonts w:cs="Calibri"/>
          <w:color w:val="222222"/>
          <w:lang w:val="sr-Latn-RS"/>
        </w:rPr>
      </w:pPr>
    </w:p>
    <w:p>
      <w:pPr>
        <w:pStyle w:val="46"/>
        <w:numPr>
          <w:ilvl w:val="0"/>
          <w:numId w:val="42"/>
        </w:numPr>
        <w:rPr>
          <w:rFonts w:cs="Calibri"/>
          <w:color w:val="222222"/>
          <w:lang w:val="sr-Cyrl-RS"/>
        </w:rPr>
      </w:pPr>
      <w:r>
        <w:rPr>
          <w:rFonts w:cs="Calibri"/>
          <w:b/>
          <w:color w:val="222222"/>
          <w:lang w:val="sr-Cyrl-RS"/>
        </w:rPr>
        <w:t xml:space="preserve">Регулисања јавног превоза, динамичког и стационарног саобраћаја: </w:t>
      </w:r>
      <w:r>
        <w:rPr>
          <w:rFonts w:cs="Calibri"/>
          <w:color w:val="222222"/>
          <w:lang w:val="sr-Cyrl-RS"/>
        </w:rPr>
        <w:t>коришћење савремених интелигентних-транспортних рјешења у саобраћајном систему града која ће допринијети подизању саобраћајне услуге на виши ниво и самањењу саобраћајних гужви, развоју урбане мобилности, односно ефикаснијем и модернијем саобраћају на подручју Града. Модерна стајалишта за јавни превоз путника са дисплејима који ће показивати вријеме долазака аутобуса, електронске аутобуске карте, системи за показивање заузетости паркиралишта, семафорски уређаји са аутоматским прилагођавањем саобраћајном оптерећењу у реалном времену, савремено информисање учесника у саобраћају, подршка употреби електричних возила кроз постављање јавних пуњача за електрична возила, имплементација система за аутоматско изнајмљивање бицикала и друга интелигентна савремена транспортна рјешења.</w:t>
      </w:r>
    </w:p>
    <w:p>
      <w:pPr>
        <w:pStyle w:val="46"/>
        <w:shd w:val="clear" w:color="auto" w:fill="FFFFFF"/>
        <w:spacing w:before="100" w:beforeAutospacing="1" w:after="24"/>
        <w:rPr>
          <w:rFonts w:cs="Calibri"/>
          <w:color w:val="222222"/>
          <w:lang w:val="sr-Cyrl-RS"/>
        </w:rPr>
      </w:pPr>
    </w:p>
    <w:p>
      <w:pPr>
        <w:pStyle w:val="46"/>
        <w:numPr>
          <w:ilvl w:val="0"/>
          <w:numId w:val="42"/>
        </w:numPr>
        <w:shd w:val="clear" w:color="auto" w:fill="FFFFFF"/>
        <w:spacing w:before="100" w:beforeAutospacing="1" w:after="24"/>
        <w:rPr>
          <w:lang w:val="sr-Latn-RS"/>
        </w:rPr>
      </w:pPr>
      <w:r>
        <w:rPr>
          <w:rFonts w:cs="Calibri"/>
          <w:b/>
          <w:color w:val="222222"/>
          <w:lang w:val="sr-Latn-RS"/>
        </w:rPr>
        <w:t>M</w:t>
      </w:r>
      <w:r>
        <w:rPr>
          <w:rFonts w:cs="Calibri"/>
          <w:b/>
          <w:color w:val="222222"/>
          <w:lang w:val="sr-Cyrl-RS"/>
        </w:rPr>
        <w:t xml:space="preserve">одернизације рада јавних комуналних предузећа </w:t>
      </w:r>
      <w:r>
        <w:rPr>
          <w:rFonts w:cs="Calibri"/>
          <w:color w:val="222222"/>
          <w:lang w:val="sr-Cyrl-RS"/>
        </w:rPr>
        <w:t xml:space="preserve">путем дигитализације; коришћењем савремених софтверских рјешења за управљање оријентисано ка резултатима (које омогућава мониторинг у реалном времену и аутоматску израду финансијских извјештаја и извјештаја о потрошњи, итд.); увођењем апликације и </w:t>
      </w:r>
      <w:r>
        <w:rPr>
          <w:rFonts w:cs="Calibri"/>
          <w:color w:val="222222"/>
          <w:lang w:val="sr-Latn-RS"/>
        </w:rPr>
        <w:t xml:space="preserve">online </w:t>
      </w:r>
      <w:r>
        <w:rPr>
          <w:rFonts w:cs="Calibri"/>
          <w:color w:val="222222"/>
          <w:lang w:val="sr-Cyrl-RS"/>
        </w:rPr>
        <w:t xml:space="preserve">сервиса за провјеру и плаћање рачуна; електронском пријавом комуналних проблема (на примјер, </w:t>
      </w:r>
      <w:r>
        <w:rPr>
          <w:rFonts w:cs="Calibri"/>
          <w:i/>
          <w:color w:val="222222"/>
          <w:lang w:val="sr-Latn-RS"/>
        </w:rPr>
        <w:t>Sistem 48</w:t>
      </w:r>
      <w:r>
        <w:rPr>
          <w:rFonts w:cs="Calibri"/>
          <w:color w:val="222222"/>
          <w:lang w:val="sr-Latn-RS"/>
        </w:rPr>
        <w:t xml:space="preserve">); </w:t>
      </w:r>
      <w:r>
        <w:rPr>
          <w:rFonts w:cs="Calibri"/>
          <w:color w:val="1A1617"/>
          <w:shd w:val="clear" w:color="auto" w:fill="FFFFFF"/>
          <w:lang w:val="sr-Cyrl-RS"/>
        </w:rPr>
        <w:t>даљинским</w:t>
      </w:r>
      <w:r>
        <w:rPr>
          <w:rFonts w:cs="Calibri"/>
          <w:color w:val="1A1617"/>
          <w:shd w:val="clear" w:color="auto" w:fill="FFFFFF"/>
          <w:lang w:val="sr-Latn-RS"/>
        </w:rPr>
        <w:t xml:space="preserve"> </w:t>
      </w:r>
      <w:r>
        <w:rPr>
          <w:rFonts w:cs="Calibri"/>
          <w:color w:val="1A1617"/>
          <w:shd w:val="clear" w:color="auto" w:fill="FFFFFF"/>
          <w:lang w:val="sr-Cyrl-RS"/>
        </w:rPr>
        <w:t>управљањем</w:t>
      </w:r>
      <w:r>
        <w:rPr>
          <w:rFonts w:cs="Calibri"/>
          <w:color w:val="1A1617"/>
          <w:shd w:val="clear" w:color="auto" w:fill="FFFFFF"/>
          <w:lang w:val="sr-Latn-RS"/>
        </w:rPr>
        <w:t xml:space="preserve"> </w:t>
      </w:r>
      <w:r>
        <w:rPr>
          <w:rFonts w:cs="Calibri"/>
          <w:color w:val="1A1617"/>
          <w:shd w:val="clear" w:color="auto" w:fill="FFFFFF"/>
          <w:lang w:val="sr-Cyrl-RS"/>
        </w:rPr>
        <w:t>извориштима и водоводном мрежом</w:t>
      </w:r>
      <w:r>
        <w:rPr>
          <w:rFonts w:cs="Calibri"/>
          <w:color w:val="1A1617"/>
          <w:shd w:val="clear" w:color="auto" w:fill="FFFFFF"/>
          <w:lang w:val="sr-Latn-RS"/>
        </w:rPr>
        <w:t xml:space="preserve">; </w:t>
      </w:r>
      <w:r>
        <w:rPr>
          <w:rFonts w:cs="Calibri"/>
          <w:color w:val="1A1617"/>
          <w:shd w:val="clear" w:color="auto" w:fill="FFFFFF"/>
          <w:lang w:val="sr-Cyrl-RS"/>
        </w:rPr>
        <w:t>прилагођавањем</w:t>
      </w:r>
      <w:r>
        <w:rPr>
          <w:rFonts w:cs="Calibri"/>
          <w:color w:val="1A1617"/>
          <w:shd w:val="clear" w:color="auto" w:fill="FFFFFF"/>
          <w:lang w:val="sr-Latn-RS"/>
        </w:rPr>
        <w:t xml:space="preserve"> </w:t>
      </w:r>
      <w:r>
        <w:rPr>
          <w:rFonts w:cs="Calibri"/>
          <w:color w:val="1A1617"/>
          <w:shd w:val="clear" w:color="auto" w:fill="FFFFFF"/>
          <w:lang w:val="sr-Cyrl-RS"/>
        </w:rPr>
        <w:t>инфраструктуре</w:t>
      </w:r>
      <w:r>
        <w:rPr>
          <w:rFonts w:cs="Calibri"/>
          <w:color w:val="1A1617"/>
          <w:shd w:val="clear" w:color="auto" w:fill="FFFFFF"/>
          <w:lang w:val="sr-Latn-RS"/>
        </w:rPr>
        <w:t xml:space="preserve"> </w:t>
      </w:r>
      <w:r>
        <w:rPr>
          <w:rFonts w:cs="Calibri"/>
          <w:color w:val="1A1617"/>
          <w:shd w:val="clear" w:color="auto" w:fill="FFFFFF"/>
          <w:lang w:val="sr-Cyrl-RS"/>
        </w:rPr>
        <w:t>за</w:t>
      </w:r>
      <w:r>
        <w:rPr>
          <w:rFonts w:cs="Calibri"/>
          <w:color w:val="1A1617"/>
          <w:shd w:val="clear" w:color="auto" w:fill="FFFFFF"/>
          <w:lang w:val="sr-Latn-RS"/>
        </w:rPr>
        <w:t xml:space="preserve"> </w:t>
      </w:r>
      <w:r>
        <w:rPr>
          <w:rFonts w:cs="Calibri"/>
          <w:color w:val="1A1617"/>
          <w:shd w:val="clear" w:color="auto" w:fill="FFFFFF"/>
          <w:lang w:val="sr-Cyrl-RS"/>
        </w:rPr>
        <w:t>особе</w:t>
      </w:r>
      <w:r>
        <w:rPr>
          <w:rFonts w:cs="Calibri"/>
          <w:color w:val="1A1617"/>
          <w:shd w:val="clear" w:color="auto" w:fill="FFFFFF"/>
          <w:lang w:val="sr-Latn-RS"/>
        </w:rPr>
        <w:t xml:space="preserve"> </w:t>
      </w:r>
      <w:r>
        <w:rPr>
          <w:rFonts w:cs="Calibri"/>
          <w:color w:val="1A1617"/>
          <w:shd w:val="clear" w:color="auto" w:fill="FFFFFF"/>
          <w:lang w:val="sr-Cyrl-RS"/>
        </w:rPr>
        <w:t>са</w:t>
      </w:r>
      <w:r>
        <w:rPr>
          <w:rFonts w:cs="Calibri"/>
          <w:color w:val="1A1617"/>
          <w:shd w:val="clear" w:color="auto" w:fill="FFFFFF"/>
          <w:lang w:val="sr-Latn-RS"/>
        </w:rPr>
        <w:t xml:space="preserve"> </w:t>
      </w:r>
      <w:r>
        <w:rPr>
          <w:rFonts w:cs="Calibri"/>
          <w:color w:val="1A1617"/>
          <w:shd w:val="clear" w:color="auto" w:fill="FFFFFF"/>
          <w:lang w:val="sr-Cyrl-RS"/>
        </w:rPr>
        <w:t>инвалидитетом</w:t>
      </w:r>
      <w:r>
        <w:rPr>
          <w:rFonts w:cs="Calibri"/>
          <w:color w:val="1A1617"/>
          <w:shd w:val="clear" w:color="auto" w:fill="FFFFFF"/>
          <w:lang w:val="sr-Latn-RS"/>
        </w:rPr>
        <w:t xml:space="preserve"> (</w:t>
      </w:r>
      <w:r>
        <w:rPr>
          <w:rFonts w:cs="Calibri"/>
          <w:color w:val="1A1617"/>
          <w:shd w:val="clear" w:color="auto" w:fill="FFFFFF"/>
          <w:lang w:val="sr-Cyrl-RS"/>
        </w:rPr>
        <w:t>рампе</w:t>
      </w:r>
      <w:r>
        <w:rPr>
          <w:rFonts w:cs="Calibri"/>
          <w:color w:val="1A1617"/>
          <w:shd w:val="clear" w:color="auto" w:fill="FFFFFF"/>
          <w:lang w:val="sr-Latn-RS"/>
        </w:rPr>
        <w:t xml:space="preserve">, </w:t>
      </w:r>
      <w:r>
        <w:rPr>
          <w:rFonts w:cs="Calibri"/>
          <w:color w:val="1A1617"/>
          <w:shd w:val="clear" w:color="auto" w:fill="FFFFFF"/>
          <w:lang w:val="sr-Cyrl-RS"/>
        </w:rPr>
        <w:t>аудио</w:t>
      </w:r>
      <w:r>
        <w:rPr>
          <w:rFonts w:cs="Calibri"/>
          <w:color w:val="1A1617"/>
          <w:shd w:val="clear" w:color="auto" w:fill="FFFFFF"/>
          <w:lang w:val="sr-Latn-RS"/>
        </w:rPr>
        <w:t>-</w:t>
      </w:r>
      <w:r>
        <w:rPr>
          <w:rFonts w:cs="Calibri"/>
          <w:color w:val="1A1617"/>
          <w:shd w:val="clear" w:color="auto" w:fill="FFFFFF"/>
          <w:lang w:val="sr-Cyrl-RS"/>
        </w:rPr>
        <w:t>апликације</w:t>
      </w:r>
      <w:r>
        <w:rPr>
          <w:rFonts w:cs="Calibri"/>
          <w:color w:val="1A1617"/>
          <w:shd w:val="clear" w:color="auto" w:fill="FFFFFF"/>
          <w:lang w:val="sr-Latn-RS"/>
        </w:rPr>
        <w:t xml:space="preserve"> </w:t>
      </w:r>
      <w:r>
        <w:rPr>
          <w:rFonts w:cs="Calibri"/>
          <w:color w:val="1A1617"/>
          <w:shd w:val="clear" w:color="auto" w:fill="FFFFFF"/>
          <w:lang w:val="sr-Cyrl-RS"/>
        </w:rPr>
        <w:t>за</w:t>
      </w:r>
      <w:r>
        <w:rPr>
          <w:rFonts w:cs="Calibri"/>
          <w:color w:val="1A1617"/>
          <w:shd w:val="clear" w:color="auto" w:fill="FFFFFF"/>
          <w:lang w:val="sr-Latn-RS"/>
        </w:rPr>
        <w:t xml:space="preserve"> </w:t>
      </w:r>
      <w:r>
        <w:rPr>
          <w:rFonts w:cs="Calibri"/>
          <w:color w:val="1A1617"/>
          <w:shd w:val="clear" w:color="auto" w:fill="FFFFFF"/>
          <w:lang w:val="sr-Cyrl-RS"/>
        </w:rPr>
        <w:t>слијепе</w:t>
      </w:r>
      <w:r>
        <w:rPr>
          <w:rFonts w:cs="Calibri"/>
          <w:color w:val="1A1617"/>
          <w:shd w:val="clear" w:color="auto" w:fill="FFFFFF"/>
          <w:lang w:val="sr-Latn-RS"/>
        </w:rPr>
        <w:t xml:space="preserve"> </w:t>
      </w:r>
      <w:r>
        <w:rPr>
          <w:rFonts w:cs="Calibri"/>
          <w:color w:val="1A1617"/>
          <w:shd w:val="clear" w:color="auto" w:fill="FFFFFF"/>
          <w:lang w:val="sr-Cyrl-RS"/>
        </w:rPr>
        <w:t>и</w:t>
      </w:r>
      <w:r>
        <w:rPr>
          <w:rFonts w:cs="Calibri"/>
          <w:color w:val="1A1617"/>
          <w:shd w:val="clear" w:color="auto" w:fill="FFFFFF"/>
          <w:lang w:val="sr-Latn-RS"/>
        </w:rPr>
        <w:t xml:space="preserve"> </w:t>
      </w:r>
      <w:r>
        <w:rPr>
          <w:rFonts w:cs="Calibri"/>
          <w:color w:val="1A1617"/>
          <w:shd w:val="clear" w:color="auto" w:fill="FFFFFF"/>
          <w:lang w:val="sr-Cyrl-RS"/>
        </w:rPr>
        <w:t>слабовиде</w:t>
      </w:r>
      <w:r>
        <w:rPr>
          <w:rFonts w:cs="Calibri"/>
          <w:color w:val="1A1617"/>
          <w:shd w:val="clear" w:color="auto" w:fill="FFFFFF"/>
          <w:lang w:val="sr-Latn-RS"/>
        </w:rPr>
        <w:t xml:space="preserve">, </w:t>
      </w:r>
      <w:r>
        <w:rPr>
          <w:rFonts w:cs="Calibri"/>
          <w:color w:val="1A1617"/>
          <w:shd w:val="clear" w:color="auto" w:fill="FFFFFF"/>
          <w:lang w:val="sr-Cyrl-RS"/>
        </w:rPr>
        <w:t>дигитализоване</w:t>
      </w:r>
      <w:r>
        <w:rPr>
          <w:rFonts w:cs="Calibri"/>
          <w:color w:val="1A1617"/>
          <w:shd w:val="clear" w:color="auto" w:fill="FFFFFF"/>
          <w:lang w:val="sr-Latn-RS"/>
        </w:rPr>
        <w:t xml:space="preserve"> </w:t>
      </w:r>
      <w:r>
        <w:rPr>
          <w:rFonts w:cs="Calibri"/>
          <w:color w:val="1A1617"/>
          <w:shd w:val="clear" w:color="auto" w:fill="FFFFFF"/>
          <w:lang w:val="sr-Cyrl-RS"/>
        </w:rPr>
        <w:t>ознаке</w:t>
      </w:r>
      <w:r>
        <w:rPr>
          <w:rFonts w:cs="Calibri"/>
          <w:color w:val="1A1617"/>
          <w:shd w:val="clear" w:color="auto" w:fill="FFFFFF"/>
          <w:lang w:val="sr-Latn-RS"/>
        </w:rPr>
        <w:t xml:space="preserve"> </w:t>
      </w:r>
      <w:r>
        <w:rPr>
          <w:rFonts w:cs="Calibri"/>
          <w:color w:val="1A1617"/>
          <w:shd w:val="clear" w:color="auto" w:fill="FFFFFF"/>
          <w:lang w:val="sr-Cyrl-RS"/>
        </w:rPr>
        <w:t>за</w:t>
      </w:r>
      <w:r>
        <w:rPr>
          <w:rFonts w:cs="Calibri"/>
          <w:color w:val="1A1617"/>
          <w:shd w:val="clear" w:color="auto" w:fill="FFFFFF"/>
          <w:lang w:val="sr-Latn-RS"/>
        </w:rPr>
        <w:t xml:space="preserve"> </w:t>
      </w:r>
      <w:r>
        <w:rPr>
          <w:rFonts w:cs="Calibri"/>
          <w:color w:val="1A1617"/>
          <w:shd w:val="clear" w:color="auto" w:fill="FFFFFF"/>
          <w:lang w:val="sr-Cyrl-RS"/>
        </w:rPr>
        <w:t>слабовиде</w:t>
      </w:r>
      <w:r>
        <w:rPr>
          <w:rFonts w:cs="Calibri"/>
          <w:color w:val="1A1617"/>
          <w:shd w:val="clear" w:color="auto" w:fill="FFFFFF"/>
          <w:lang w:val="sr-Latn-RS"/>
        </w:rPr>
        <w:t>);</w:t>
      </w:r>
      <w:r>
        <w:rPr>
          <w:rFonts w:cs="Calibri"/>
          <w:color w:val="1A1617"/>
          <w:shd w:val="clear" w:color="auto" w:fill="FFFFFF"/>
          <w:lang w:val="sr-Cyrl-RS"/>
        </w:rPr>
        <w:t xml:space="preserve"> аутоматизацијом даљинског гријања, увођењем </w:t>
      </w:r>
      <w:r>
        <w:rPr>
          <w:lang w:val="sr-Cyrl-RS"/>
        </w:rPr>
        <w:t>еко</w:t>
      </w:r>
      <w:r>
        <w:rPr>
          <w:lang w:val="sr-Latn-RS"/>
        </w:rPr>
        <w:t>-</w:t>
      </w:r>
      <w:r>
        <w:rPr>
          <w:lang w:val="sr-Cyrl-RS"/>
        </w:rPr>
        <w:t>топлане са аутоматским</w:t>
      </w:r>
      <w:r>
        <w:rPr>
          <w:lang w:val="sr-Latn-RS"/>
        </w:rPr>
        <w:t xml:space="preserve"> </w:t>
      </w:r>
      <w:r>
        <w:rPr>
          <w:lang w:val="sr-Cyrl-RS"/>
        </w:rPr>
        <w:t>управљањем</w:t>
      </w:r>
      <w:r>
        <w:rPr>
          <w:lang w:val="sr-Latn-RS"/>
        </w:rPr>
        <w:t xml:space="preserve"> </w:t>
      </w:r>
      <w:r>
        <w:rPr>
          <w:lang w:val="sr-Cyrl-RS"/>
        </w:rPr>
        <w:t>производњом</w:t>
      </w:r>
      <w:r>
        <w:rPr>
          <w:lang w:val="sr-Latn-RS"/>
        </w:rPr>
        <w:t xml:space="preserve"> </w:t>
      </w:r>
      <w:r>
        <w:rPr>
          <w:lang w:val="sr-Cyrl-RS"/>
        </w:rPr>
        <w:t>и</w:t>
      </w:r>
      <w:r>
        <w:rPr>
          <w:lang w:val="sr-Latn-RS"/>
        </w:rPr>
        <w:t xml:space="preserve"> </w:t>
      </w:r>
      <w:r>
        <w:rPr>
          <w:lang w:val="sr-Cyrl-RS"/>
        </w:rPr>
        <w:t>дистрибутивном мрежом; унапређењем водоводне и канализационе мреже, система за пречишчавање отпадних вода и др.</w:t>
      </w:r>
    </w:p>
    <w:p>
      <w:pPr>
        <w:pStyle w:val="46"/>
        <w:rPr>
          <w:lang w:val="sr-Latn-RS"/>
        </w:rPr>
      </w:pPr>
    </w:p>
    <w:p>
      <w:pPr>
        <w:pStyle w:val="46"/>
        <w:numPr>
          <w:ilvl w:val="0"/>
          <w:numId w:val="42"/>
        </w:numPr>
        <w:shd w:val="clear" w:color="auto" w:fill="FFFFFF"/>
        <w:spacing w:before="100" w:beforeAutospacing="1" w:after="24"/>
        <w:rPr>
          <w:lang w:val="sr-Latn-RS"/>
        </w:rPr>
      </w:pPr>
      <w:r>
        <w:rPr>
          <w:b/>
          <w:lang w:val="sr-Cyrl-RS"/>
        </w:rPr>
        <w:t xml:space="preserve">Модернизације рада јавне управе: </w:t>
      </w:r>
      <w:r>
        <w:rPr>
          <w:rFonts w:cs="Calibri"/>
          <w:color w:val="222222"/>
          <w:lang w:val="sr-Cyrl-RS"/>
        </w:rPr>
        <w:t xml:space="preserve">коришћење савремених информационо-комуникационих технологија за праћење реализације циљева и управљање оријентисано ка резултатима у свим областима: електронска база људских ресурса; електронске провјере задовољства услугама; одржавање електронских сједница; интерактивни </w:t>
      </w:r>
      <w:r>
        <w:rPr>
          <w:rFonts w:cs="Calibri"/>
          <w:color w:val="222222"/>
          <w:lang w:val="sr-Latn-RS"/>
        </w:rPr>
        <w:t xml:space="preserve">website </w:t>
      </w:r>
      <w:r>
        <w:rPr>
          <w:rFonts w:cs="Calibri"/>
          <w:color w:val="222222"/>
          <w:lang w:val="sr-Cyrl-RS"/>
        </w:rPr>
        <w:t>за грађане, подношење захтјева електронским путем; електронско издавање грађевинских дозвола; појачана безбједност у граду (постављање сигурносних камера на ризичним мјестима у граду - видео-надзор).</w:t>
      </w:r>
    </w:p>
    <w:p>
      <w:pPr>
        <w:pStyle w:val="46"/>
        <w:numPr>
          <w:ilvl w:val="0"/>
          <w:numId w:val="42"/>
        </w:numPr>
        <w:shd w:val="clear" w:color="auto" w:fill="FFFFFF"/>
        <w:spacing w:before="100" w:beforeAutospacing="1" w:after="24"/>
        <w:rPr>
          <w:rFonts w:cs="Calibri"/>
          <w:color w:val="222222"/>
          <w:lang w:val="sr-Latn-RS"/>
        </w:rPr>
      </w:pPr>
      <w:r>
        <w:rPr>
          <w:b/>
          <w:lang w:val="sr-Cyrl-RS"/>
        </w:rPr>
        <w:t xml:space="preserve">Подстицања развоја </w:t>
      </w:r>
      <w:r>
        <w:rPr>
          <w:b/>
          <w:lang w:val="sr-Latn-RS"/>
        </w:rPr>
        <w:t xml:space="preserve">ИT </w:t>
      </w:r>
      <w:r>
        <w:rPr>
          <w:b/>
          <w:lang w:val="sr-Cyrl-RS"/>
        </w:rPr>
        <w:t xml:space="preserve">сектора: </w:t>
      </w:r>
      <w:r>
        <w:rPr>
          <w:lang w:val="sr-Cyrl-RS"/>
        </w:rPr>
        <w:t xml:space="preserve">подршка за </w:t>
      </w:r>
      <w:r>
        <w:rPr>
          <w:lang w:val="sr-Latn-RS"/>
        </w:rPr>
        <w:t>start up</w:t>
      </w:r>
      <w:r>
        <w:rPr>
          <w:lang w:val="sr-Cyrl-RS"/>
        </w:rPr>
        <w:t xml:space="preserve">, оснивање ИТ </w:t>
      </w:r>
      <w:r>
        <w:t>парк</w:t>
      </w:r>
      <w:r>
        <w:rPr>
          <w:lang w:val="sr-Cyrl-RS"/>
        </w:rPr>
        <w:t>а, подстицаји за развој информационо-комуникационих технологија.</w:t>
      </w:r>
    </w:p>
    <w:p>
      <w:pPr>
        <w:jc w:val="both"/>
        <w:rPr>
          <w:rFonts w:cs="Calibri"/>
          <w:color w:val="222222"/>
          <w:lang w:val="sr-Latn-RS"/>
        </w:rPr>
      </w:pPr>
    </w:p>
    <w:p>
      <w:pPr>
        <w:jc w:val="both"/>
        <w:rPr>
          <w:rFonts w:cs="Calibri"/>
          <w:color w:val="222222"/>
          <w:lang w:val="sr-Cyrl-RS"/>
        </w:rPr>
      </w:pPr>
      <w:r>
        <w:rPr>
          <w:rFonts w:cs="Calibri"/>
          <w:color w:val="222222"/>
          <w:lang w:val="sr-Cyrl-RS"/>
        </w:rPr>
        <w:t>Реализацијом овог стратешког циља постићи ће се висок ниво интеракције са грађанима и континуирана комуникација о свим кључним питањима живота и развоја града угодног за живот. Успоставиће се и ефикасни систем за мониторинг у реалном времену, као и лакше праћење резултата и ефеката реализације Стратегије интегрисаног развоја града Бања Лука.</w:t>
      </w:r>
    </w:p>
    <w:p>
      <w:pPr>
        <w:spacing w:after="120" w:line="276" w:lineRule="auto"/>
        <w:jc w:val="both"/>
        <w:rPr>
          <w:bCs/>
        </w:rPr>
      </w:pPr>
    </w:p>
    <w:p>
      <w:pPr>
        <w:spacing w:after="120" w:line="276" w:lineRule="auto"/>
        <w:jc w:val="both"/>
        <w:rPr>
          <w:bCs/>
        </w:rPr>
      </w:pPr>
      <w:r>
        <w:rPr>
          <w:bCs/>
        </w:rPr>
        <w:t>За остварење овог стратешког циља дефинисани су с</w:t>
      </w:r>
      <w:r>
        <w:rPr>
          <w:bCs/>
          <w:lang w:val="sr-Cyrl-RS"/>
        </w:rPr>
        <w:t>љ</w:t>
      </w:r>
      <w:r>
        <w:rPr>
          <w:bCs/>
        </w:rPr>
        <w:t xml:space="preserve">едећи индикатори: </w:t>
      </w:r>
    </w:p>
    <w:p>
      <w:pPr>
        <w:numPr>
          <w:ilvl w:val="0"/>
          <w:numId w:val="40"/>
        </w:numPr>
        <w:contextualSpacing/>
        <w:rPr>
          <w:rFonts w:cs="Calibri"/>
          <w:lang w:eastAsia="zh-CN"/>
        </w:rPr>
      </w:pPr>
      <w:r>
        <w:rPr>
          <w:rFonts w:cs="Calibri"/>
          <w:lang w:eastAsia="zh-CN"/>
        </w:rPr>
        <w:t xml:space="preserve">До </w:t>
      </w:r>
      <w:r>
        <w:rPr>
          <w:rFonts w:cs="Calibri"/>
          <w:lang w:val="sr-Cyrl-CS" w:eastAsia="zh-CN"/>
        </w:rPr>
        <w:t xml:space="preserve">краја </w:t>
      </w:r>
      <w:r>
        <w:rPr>
          <w:rFonts w:cs="Calibri"/>
          <w:lang w:eastAsia="zh-CN"/>
        </w:rPr>
        <w:t>2027. године, 30%  више грађана користи IКT него у 201</w:t>
      </w:r>
      <w:r>
        <w:rPr>
          <w:rFonts w:cs="Calibri"/>
          <w:lang w:val="sr-Cyrl-RS" w:eastAsia="zh-CN"/>
        </w:rPr>
        <w:t>7</w:t>
      </w:r>
      <w:r>
        <w:rPr>
          <w:rFonts w:cs="Calibri"/>
          <w:lang w:eastAsia="zh-CN"/>
        </w:rPr>
        <w:t xml:space="preserve">. години.  </w:t>
      </w:r>
    </w:p>
    <w:p>
      <w:pPr>
        <w:numPr>
          <w:ilvl w:val="0"/>
          <w:numId w:val="40"/>
        </w:numPr>
        <w:contextualSpacing/>
        <w:rPr>
          <w:rFonts w:cs="Calibri"/>
          <w:lang w:eastAsia="zh-CN"/>
        </w:rPr>
      </w:pPr>
      <w:r>
        <w:rPr>
          <w:rFonts w:cs="Calibri"/>
          <w:lang w:eastAsia="zh-CN"/>
        </w:rPr>
        <w:t xml:space="preserve">До </w:t>
      </w:r>
      <w:r>
        <w:rPr>
          <w:rFonts w:cs="Calibri"/>
          <w:lang w:val="sr-Cyrl-CS" w:eastAsia="zh-CN"/>
        </w:rPr>
        <w:t xml:space="preserve">краја </w:t>
      </w:r>
      <w:r>
        <w:rPr>
          <w:rFonts w:cs="Calibri"/>
          <w:lang w:eastAsia="zh-CN"/>
        </w:rPr>
        <w:t>2027. године</w:t>
      </w:r>
      <w:r>
        <w:rPr>
          <w:rFonts w:cs="Calibri"/>
          <w:lang w:val="sr-Cyrl-RS" w:eastAsia="zh-CN"/>
        </w:rPr>
        <w:t>,</w:t>
      </w:r>
      <w:r>
        <w:rPr>
          <w:rFonts w:cs="Calibri"/>
          <w:lang w:eastAsia="zh-CN"/>
        </w:rPr>
        <w:t xml:space="preserve"> 20% грађана врши плаћање електронским путем</w:t>
      </w:r>
      <w:r>
        <w:rPr>
          <w:rFonts w:cs="Calibri"/>
          <w:lang w:val="sr-Cyrl-CS" w:eastAsia="zh-CN"/>
        </w:rPr>
        <w:t xml:space="preserve"> у односу на 2017. годину</w:t>
      </w:r>
      <w:r>
        <w:rPr>
          <w:rFonts w:cs="Calibri"/>
          <w:lang w:eastAsia="zh-CN"/>
        </w:rPr>
        <w:t>.</w:t>
      </w:r>
    </w:p>
    <w:p>
      <w:pPr>
        <w:numPr>
          <w:ilvl w:val="0"/>
          <w:numId w:val="40"/>
        </w:numPr>
        <w:contextualSpacing/>
        <w:rPr>
          <w:rFonts w:cs="Calibri"/>
          <w:lang w:eastAsia="zh-CN"/>
        </w:rPr>
      </w:pPr>
      <w:r>
        <w:rPr>
          <w:rFonts w:cs="Calibri"/>
          <w:lang w:eastAsia="zh-CN"/>
        </w:rPr>
        <w:t xml:space="preserve">До </w:t>
      </w:r>
      <w:r>
        <w:rPr>
          <w:rFonts w:cs="Calibri"/>
          <w:lang w:val="sr-Cyrl-CS" w:eastAsia="zh-CN"/>
        </w:rPr>
        <w:t xml:space="preserve">краја </w:t>
      </w:r>
      <w:r>
        <w:rPr>
          <w:rFonts w:cs="Calibri"/>
          <w:lang w:eastAsia="zh-CN"/>
        </w:rPr>
        <w:t xml:space="preserve">2027. године, 40% услуга Градске управе је дигитализовано.  </w:t>
      </w:r>
    </w:p>
    <w:p>
      <w:pPr>
        <w:jc w:val="both"/>
        <w:rPr>
          <w:b/>
        </w:rPr>
      </w:pPr>
    </w:p>
    <w:p>
      <w:pPr>
        <w:shd w:val="clear" w:color="auto" w:fill="A8D08D" w:themeFill="accent6" w:themeFillTint="99"/>
        <w:jc w:val="both"/>
        <w:rPr>
          <w:b/>
          <w:lang w:val="ru-RU"/>
        </w:rPr>
      </w:pPr>
      <w:r>
        <w:rPr>
          <w:b/>
        </w:rPr>
        <w:t xml:space="preserve">Стратешки циљ 3: </w:t>
      </w:r>
      <w:r>
        <w:rPr>
          <w:b/>
          <w:lang w:val="ru-RU"/>
        </w:rPr>
        <w:t>Еколошки одржива, комунално опремљена, енергетски ефикасна и безбједна средина -  Green City</w:t>
      </w:r>
    </w:p>
    <w:p>
      <w:pPr>
        <w:jc w:val="both"/>
        <w:rPr>
          <w:rFonts w:eastAsia="Times New Roman"/>
          <w:bCs/>
          <w:kern w:val="32"/>
          <w:lang w:val="sr-Cyrl-RS"/>
        </w:rPr>
      </w:pPr>
    </w:p>
    <w:p>
      <w:pPr>
        <w:spacing w:after="160" w:line="259" w:lineRule="auto"/>
        <w:jc w:val="both"/>
        <w:rPr>
          <w:rFonts w:eastAsia="Times New Roman"/>
          <w:bCs/>
          <w:kern w:val="32"/>
          <w:lang w:val="sr-Cyrl-RS"/>
        </w:rPr>
      </w:pPr>
      <w:r>
        <w:rPr>
          <w:rFonts w:eastAsia="Times New Roman"/>
          <w:bCs/>
          <w:kern w:val="32"/>
          <w:lang w:val="sr-Cyrl-RS"/>
        </w:rPr>
        <w:t xml:space="preserve">Остварење овог циља доприноси бољем интегрисаном развоју Града, не само у смислу квалитетнијих комуналних услуга и уштеда енергије или атрактивнијег изгледа, него може да иницира читав низ партиципативних еколошких активности које ће довести до дугорочних промјена односа и ставова према животној средини и до утемељавања нових друштвених вриједности, односно да приближи град његовим становницима. </w:t>
      </w:r>
    </w:p>
    <w:p>
      <w:pPr>
        <w:spacing w:after="160" w:line="259" w:lineRule="auto"/>
        <w:jc w:val="both"/>
        <w:rPr>
          <w:rFonts w:eastAsia="Times New Roman"/>
          <w:bCs/>
          <w:kern w:val="32"/>
          <w:lang w:val="sr-Cyrl-RS"/>
        </w:rPr>
      </w:pPr>
      <w:r>
        <w:rPr>
          <w:lang w:val="sr-Cyrl-RS"/>
        </w:rPr>
        <w:t>Концепт „зеленог“ града (</w:t>
      </w:r>
      <w:r>
        <w:rPr>
          <w:i/>
          <w:lang w:val="sr-Latn-RS"/>
        </w:rPr>
        <w:t>Green City</w:t>
      </w:r>
      <w:r>
        <w:rPr>
          <w:lang w:val="sr-Cyrl-RS"/>
        </w:rPr>
        <w:t xml:space="preserve">) подразумијева уређење зелених урбаних површина, паркова, рекреативних зона, обала Врбаса и притока и управљање природним ресурсима на одговоран и креативан начин. Сагледавају се како естетски, тако и функционални аспекти, са фокусом на заштиту урбане животне средине, у контексту друштвеног и економског развоја. </w:t>
      </w:r>
      <w:r>
        <w:rPr>
          <w:rFonts w:eastAsia="Times New Roman"/>
          <w:bCs/>
          <w:kern w:val="32"/>
          <w:lang w:val="sr-Cyrl-RS"/>
        </w:rPr>
        <w:t>Јавни простори са квалитетним садржајима омогућавају бољу интеракцију, физичко ангажовање и бригу о здрављу грађана. Циљ је да грађани буду срећнији и осјећају се боље у зеленом, инспиративном простору у којем живе.</w:t>
      </w:r>
    </w:p>
    <w:p>
      <w:pPr>
        <w:spacing w:after="160" w:line="259" w:lineRule="auto"/>
        <w:jc w:val="both"/>
        <w:rPr>
          <w:rFonts w:eastAsia="Times New Roman"/>
          <w:bCs/>
          <w:kern w:val="32"/>
          <w:lang w:val="sr-Cyrl-RS"/>
        </w:rPr>
      </w:pPr>
      <w:r>
        <w:rPr>
          <w:rFonts w:eastAsia="Times New Roman"/>
          <w:bCs/>
          <w:kern w:val="32"/>
          <w:lang w:val="sr-Cyrl-RS"/>
        </w:rPr>
        <w:t>Као Green City, Град Бања Лука очекује и додатне ефекте, примјеном „паметних рјешења“ у областима:</w:t>
      </w:r>
    </w:p>
    <w:p>
      <w:pPr>
        <w:pStyle w:val="46"/>
        <w:numPr>
          <w:ilvl w:val="0"/>
          <w:numId w:val="41"/>
        </w:numPr>
        <w:spacing w:after="160" w:line="259" w:lineRule="auto"/>
        <w:rPr>
          <w:bCs/>
          <w:kern w:val="32"/>
          <w:lang w:val="sr-Cyrl-RS"/>
        </w:rPr>
      </w:pPr>
      <w:r>
        <w:rPr>
          <w:bCs/>
          <w:kern w:val="32"/>
          <w:lang w:val="sr-Cyrl-RS"/>
        </w:rPr>
        <w:t>Енергетске ефикасности путем инсталације савремене расвјете, увођења опреме за контролу загађења и еколошку заштиту, итд.</w:t>
      </w:r>
    </w:p>
    <w:p>
      <w:pPr>
        <w:pStyle w:val="46"/>
        <w:numPr>
          <w:ilvl w:val="0"/>
          <w:numId w:val="41"/>
        </w:numPr>
        <w:spacing w:after="160" w:line="259" w:lineRule="auto"/>
        <w:rPr>
          <w:bCs/>
          <w:kern w:val="32"/>
          <w:lang w:val="sr-Cyrl-RS"/>
        </w:rPr>
      </w:pPr>
      <w:r>
        <w:rPr>
          <w:bCs/>
          <w:kern w:val="32"/>
          <w:lang w:val="sr-Cyrl-RS"/>
        </w:rPr>
        <w:t>ефикаснијег управљања ванредним ситуацијама (јачањем система цивилне заштите, увођење интерактивних мапа ризика, електронског система узбуњивања, софтвера за управљање ванредним ситуацијама, савремене опреме, итд.).</w:t>
      </w:r>
    </w:p>
    <w:p>
      <w:pPr>
        <w:pStyle w:val="46"/>
        <w:spacing w:after="160" w:line="259" w:lineRule="auto"/>
        <w:rPr>
          <w:bCs/>
          <w:kern w:val="32"/>
          <w:lang w:val="sr-Cyrl-RS"/>
        </w:rPr>
      </w:pPr>
    </w:p>
    <w:p>
      <w:pPr>
        <w:pStyle w:val="46"/>
        <w:spacing w:after="160" w:line="259" w:lineRule="auto"/>
        <w:rPr>
          <w:bCs/>
          <w:kern w:val="32"/>
          <w:lang w:val="sr-Cyrl-RS"/>
        </w:rPr>
      </w:pPr>
    </w:p>
    <w:p>
      <w:pPr>
        <w:pStyle w:val="46"/>
        <w:spacing w:after="160" w:line="259" w:lineRule="auto"/>
        <w:rPr>
          <w:bCs/>
          <w:kern w:val="32"/>
          <w:lang w:val="sr-Cyrl-RS"/>
        </w:rPr>
      </w:pPr>
    </w:p>
    <w:p>
      <w:pPr>
        <w:spacing w:after="160" w:line="259" w:lineRule="auto"/>
        <w:ind w:left="360"/>
        <w:rPr>
          <w:bCs/>
          <w:kern w:val="32"/>
          <w:lang w:val="sr-Cyrl-RS"/>
        </w:rPr>
      </w:pPr>
      <w:r>
        <w:rPr>
          <w:bCs/>
        </w:rPr>
        <w:t>За остварење овог стратешког циља дефинисани су с</w:t>
      </w:r>
      <w:r>
        <w:rPr>
          <w:bCs/>
          <w:lang w:val="sr-Cyrl-RS"/>
        </w:rPr>
        <w:t>л</w:t>
      </w:r>
      <w:r>
        <w:rPr>
          <w:bCs/>
        </w:rPr>
        <w:t>едећи индикатори</w:t>
      </w:r>
      <w:r>
        <w:rPr>
          <w:bCs/>
          <w:lang w:val="sr-Cyrl-RS"/>
        </w:rPr>
        <w:t>:</w:t>
      </w:r>
    </w:p>
    <w:p>
      <w:pPr>
        <w:numPr>
          <w:ilvl w:val="0"/>
          <w:numId w:val="43"/>
        </w:numPr>
        <w:tabs>
          <w:tab w:val="left" w:pos="450"/>
          <w:tab w:val="clear" w:pos="720"/>
        </w:tabs>
        <w:ind w:left="450"/>
        <w:contextualSpacing/>
        <w:rPr>
          <w:lang w:val="sr-Cyrl-RS"/>
        </w:rPr>
      </w:pPr>
      <w:r>
        <w:rPr>
          <w:lang w:val="sr-Cyrl-RS"/>
        </w:rPr>
        <w:t>До краја 2027. године повећано задовољство грађана комуналним услугама (мјерено анкетом) за 20% у односу на 2017. годину.</w:t>
      </w:r>
    </w:p>
    <w:p>
      <w:pPr>
        <w:numPr>
          <w:ilvl w:val="0"/>
          <w:numId w:val="43"/>
        </w:numPr>
        <w:tabs>
          <w:tab w:val="left" w:pos="450"/>
          <w:tab w:val="clear" w:pos="720"/>
        </w:tabs>
        <w:ind w:left="450"/>
        <w:contextualSpacing/>
        <w:rPr>
          <w:lang w:val="sr-Latn-BA"/>
        </w:rPr>
      </w:pPr>
      <w:r>
        <w:rPr>
          <w:lang w:val="sr-Cyrl-RS"/>
        </w:rPr>
        <w:t xml:space="preserve">До краја 2027. године 90% становништва прикљученo на јавну водоводну мрежу </w:t>
      </w:r>
    </w:p>
    <w:p>
      <w:pPr>
        <w:numPr>
          <w:ilvl w:val="0"/>
          <w:numId w:val="43"/>
        </w:numPr>
        <w:tabs>
          <w:tab w:val="left" w:pos="450"/>
          <w:tab w:val="clear" w:pos="720"/>
        </w:tabs>
        <w:ind w:left="450"/>
        <w:contextualSpacing/>
        <w:rPr>
          <w:lang w:val="sr-Latn-BA"/>
        </w:rPr>
      </w:pPr>
      <w:r>
        <w:rPr>
          <w:lang w:val="sr-Cyrl-RS"/>
        </w:rPr>
        <w:t xml:space="preserve">До краја 2027. године 80% становништва прикључено на јавну канализациону мрежу </w:t>
      </w:r>
    </w:p>
    <w:p>
      <w:pPr>
        <w:numPr>
          <w:ilvl w:val="0"/>
          <w:numId w:val="43"/>
        </w:numPr>
        <w:tabs>
          <w:tab w:val="left" w:pos="450"/>
          <w:tab w:val="clear" w:pos="720"/>
        </w:tabs>
        <w:ind w:left="450"/>
        <w:contextualSpacing/>
        <w:rPr>
          <w:lang w:val="sr-Cyrl-RS"/>
        </w:rPr>
      </w:pPr>
      <w:r>
        <w:rPr>
          <w:lang w:val="sr-Cyrl-RS"/>
        </w:rPr>
        <w:t xml:space="preserve">До краја 2027. године 90% становништва покривено одвозом комуналног отпада </w:t>
      </w:r>
    </w:p>
    <w:p>
      <w:pPr>
        <w:numPr>
          <w:ilvl w:val="0"/>
          <w:numId w:val="43"/>
        </w:numPr>
        <w:tabs>
          <w:tab w:val="left" w:pos="450"/>
          <w:tab w:val="clear" w:pos="720"/>
        </w:tabs>
        <w:ind w:left="450"/>
        <w:contextualSpacing/>
        <w:rPr>
          <w:lang w:val="sr-Cyrl-RS"/>
        </w:rPr>
      </w:pPr>
      <w:r>
        <w:rPr>
          <w:lang w:val="sr-Cyrl-RS"/>
        </w:rPr>
        <w:t xml:space="preserve">До краја 2027. године најмање 20% од укупних прикупљених количина отпада се рециклира </w:t>
      </w:r>
    </w:p>
    <w:p>
      <w:pPr>
        <w:numPr>
          <w:ilvl w:val="0"/>
          <w:numId w:val="43"/>
        </w:numPr>
        <w:tabs>
          <w:tab w:val="left" w:pos="450"/>
          <w:tab w:val="clear" w:pos="720"/>
        </w:tabs>
        <w:ind w:left="450"/>
        <w:contextualSpacing/>
        <w:rPr>
          <w:lang w:val="sr-Cyrl-RS"/>
        </w:rPr>
      </w:pPr>
      <w:r>
        <w:rPr>
          <w:lang w:val="sr-Cyrl-RS"/>
        </w:rPr>
        <w:t>До краја 2027. године, количине емитираног CO</w:t>
      </w:r>
      <w:r>
        <w:rPr>
          <w:vertAlign w:val="subscript"/>
          <w:lang w:val="sr-Cyrl-RS"/>
        </w:rPr>
        <w:t>2</w:t>
      </w:r>
      <w:r>
        <w:rPr>
          <w:lang w:val="sr-Cyrl-RS"/>
        </w:rPr>
        <w:t xml:space="preserve">/глави становника мање за </w:t>
      </w:r>
      <w:r>
        <w:rPr>
          <w:lang w:val="sr-Latn-RS"/>
        </w:rPr>
        <w:t>2</w:t>
      </w:r>
      <w:r>
        <w:rPr>
          <w:lang w:val="sr-Cyrl-RS"/>
        </w:rPr>
        <w:t>0% у односу на 2017</w:t>
      </w:r>
      <w:r>
        <w:rPr>
          <w:lang w:val="hr-HR"/>
        </w:rPr>
        <w:t>.</w:t>
      </w:r>
      <w:r>
        <w:rPr>
          <w:lang w:val="sr-Cyrl-RS"/>
        </w:rPr>
        <w:t xml:space="preserve"> годину.</w:t>
      </w:r>
    </w:p>
    <w:p>
      <w:pPr>
        <w:numPr>
          <w:ilvl w:val="0"/>
          <w:numId w:val="43"/>
        </w:numPr>
        <w:tabs>
          <w:tab w:val="left" w:pos="450"/>
          <w:tab w:val="clear" w:pos="720"/>
        </w:tabs>
        <w:ind w:left="450"/>
        <w:contextualSpacing/>
      </w:pPr>
      <w:r>
        <w:rPr>
          <w:lang w:val="sr-Cyrl-RS"/>
        </w:rPr>
        <w:t>До краја 2027. показатељи квалитета (загађења) ваздуха мањи за 10% у односу на 2017. годину</w:t>
      </w:r>
    </w:p>
    <w:p>
      <w:pPr>
        <w:pStyle w:val="46"/>
        <w:numPr>
          <w:ilvl w:val="0"/>
          <w:numId w:val="43"/>
        </w:numPr>
        <w:shd w:val="clear" w:color="auto" w:fill="FFFFFF"/>
        <w:tabs>
          <w:tab w:val="left" w:pos="450"/>
          <w:tab w:val="clear" w:pos="720"/>
        </w:tabs>
        <w:spacing w:before="100" w:beforeAutospacing="1" w:after="24"/>
        <w:ind w:left="450"/>
        <w:jc w:val="left"/>
        <w:rPr>
          <w:rFonts w:cs="Calibri"/>
          <w:color w:val="222222"/>
          <w:lang w:val="sr-Cyrl-RS"/>
        </w:rPr>
      </w:pPr>
      <w:r>
        <w:rPr>
          <w:rFonts w:cs="Calibri"/>
          <w:color w:val="222222"/>
          <w:lang w:val="sr-Cyrl-RS"/>
        </w:rPr>
        <w:t>До краја 2027. године, број м</w:t>
      </w:r>
      <w:r>
        <w:rPr>
          <w:rFonts w:cs="Calibri"/>
          <w:color w:val="222222"/>
          <w:vertAlign w:val="superscript"/>
          <w:lang w:val="sr-Cyrl-RS"/>
        </w:rPr>
        <w:t xml:space="preserve">2 </w:t>
      </w:r>
      <w:r>
        <w:rPr>
          <w:rFonts w:cs="Calibri"/>
          <w:color w:val="222222"/>
          <w:lang w:val="sr-Cyrl-RS"/>
        </w:rPr>
        <w:t xml:space="preserve">уређених </w:t>
      </w:r>
      <w:r>
        <w:rPr>
          <w:rFonts w:cs="Calibri"/>
          <w:lang w:val="sr-Cyrl-RS"/>
        </w:rPr>
        <w:t>јавних/парковских/зелених</w:t>
      </w:r>
      <w:r>
        <w:rPr>
          <w:rFonts w:cs="Calibri"/>
          <w:color w:val="222222"/>
          <w:lang w:val="sr-Cyrl-RS"/>
        </w:rPr>
        <w:t xml:space="preserve"> површина на 1.000 становника повећан за 30% у односу на </w:t>
      </w:r>
      <w:r>
        <w:rPr>
          <w:lang w:val="sr-Cyrl-RS"/>
        </w:rPr>
        <w:t>2017.</w:t>
      </w:r>
      <w:r>
        <w:rPr>
          <w:rFonts w:cs="Calibri"/>
          <w:color w:val="222222"/>
          <w:lang w:val="sr-Cyrl-RS"/>
        </w:rPr>
        <w:t xml:space="preserve"> годину.</w:t>
      </w:r>
    </w:p>
    <w:p>
      <w:pPr>
        <w:pStyle w:val="46"/>
        <w:numPr>
          <w:ilvl w:val="0"/>
          <w:numId w:val="43"/>
        </w:numPr>
        <w:shd w:val="clear" w:color="auto" w:fill="FFFFFF"/>
        <w:tabs>
          <w:tab w:val="left" w:pos="450"/>
          <w:tab w:val="clear" w:pos="720"/>
        </w:tabs>
        <w:spacing w:before="100" w:beforeAutospacing="1" w:after="24"/>
        <w:ind w:left="450"/>
        <w:jc w:val="left"/>
        <w:rPr>
          <w:rFonts w:cs="Calibri"/>
          <w:color w:val="222222"/>
          <w:lang w:val="sr-Cyrl-RS"/>
        </w:rPr>
      </w:pPr>
      <w:r>
        <w:rPr>
          <w:rFonts w:cs="Calibri"/>
          <w:color w:val="222222"/>
          <w:lang w:val="sr-Cyrl-RS"/>
        </w:rPr>
        <w:t>Вриједност материјалних штета  у привреди, инфраструктури, јавним и приватним објектима од природних и других непогода (поплаве, земљотреси, пожари) смањен за 20% (годишњи просјек) у периоду 2018-2027. у односу на просјек штета у периоду 2013-2017.</w:t>
      </w:r>
    </w:p>
    <w:p>
      <w:pPr>
        <w:contextualSpacing/>
        <w:jc w:val="both"/>
        <w:rPr>
          <w:b/>
          <w:lang w:val="sr-Cyrl-CS"/>
        </w:rPr>
      </w:pPr>
    </w:p>
    <w:p>
      <w:pPr>
        <w:contextualSpacing/>
        <w:jc w:val="both"/>
        <w:rPr>
          <w:b/>
          <w:lang w:val="sr-Cyrl-CS"/>
        </w:rPr>
      </w:pPr>
    </w:p>
    <w:p>
      <w:pPr>
        <w:shd w:val="clear" w:color="auto" w:fill="C5E0B3"/>
        <w:jc w:val="both"/>
        <w:rPr>
          <w:b/>
          <w:lang w:val="sr-Cyrl-RS"/>
        </w:rPr>
      </w:pPr>
      <w:r>
        <w:rPr>
          <w:b/>
        </w:rPr>
        <w:t>Стратешки циљ 4: Препознатљив регионални, образовни, здравствени, културни</w:t>
      </w:r>
      <w:r>
        <w:rPr>
          <w:b/>
          <w:lang w:val="sr-Cyrl-CS"/>
        </w:rPr>
        <w:t xml:space="preserve">, </w:t>
      </w:r>
      <w:r>
        <w:rPr>
          <w:b/>
        </w:rPr>
        <w:t xml:space="preserve">спортски и </w:t>
      </w:r>
      <w:r>
        <w:rPr>
          <w:b/>
          <w:lang w:val="sr-Cyrl-CS"/>
        </w:rPr>
        <w:t>центар унапређене социјалне инклузије</w:t>
      </w:r>
    </w:p>
    <w:p>
      <w:pPr>
        <w:contextualSpacing/>
        <w:jc w:val="both"/>
        <w:rPr>
          <w:lang w:val="sr-Cyrl-RS"/>
        </w:rPr>
      </w:pPr>
    </w:p>
    <w:p>
      <w:pPr>
        <w:jc w:val="both"/>
        <w:rPr>
          <w:lang w:val="sr-Cyrl-RS"/>
        </w:rPr>
      </w:pPr>
      <w:r>
        <w:rPr>
          <w:lang w:val="sr-Cyrl-RS"/>
        </w:rPr>
        <w:t xml:space="preserve">У оквиру овог циља, Град ће развијати инфраструктуру, обогаћивати садржаје и јачати капацитете људских ресурса у свим областима друштвеног живота. Просторе који су на располагању треба даље унапређивати, у складу са стратешким развојем  образовања, здравства, културе и спорта. Циљ је да Бања Лука постане Европска престоница културе, а да Бански Двор постане „епицентар“ културе града Бања Лука и да се постојећи објекти културе реновирају и унаприједе и њихови садржаји, али и изграде нови објекти који недостају у граду. </w:t>
      </w:r>
    </w:p>
    <w:p>
      <w:pPr>
        <w:jc w:val="both"/>
        <w:rPr>
          <w:lang w:val="sr-Cyrl-RS"/>
        </w:rPr>
      </w:pPr>
    </w:p>
    <w:p>
      <w:pPr>
        <w:jc w:val="both"/>
        <w:rPr>
          <w:lang w:val="sr-Cyrl-RS"/>
        </w:rPr>
      </w:pPr>
      <w:r>
        <w:rPr>
          <w:lang w:val="sr-Cyrl-RS"/>
        </w:rPr>
        <w:t>Спорт ће се систематски подстицати на свим нивоима - кроз изградњу инфраструктуре, програм школског спорта, развој спортова и спортских клубова који су препознати као стратешка предност града.</w:t>
      </w:r>
      <w:r>
        <w:rPr>
          <w:lang w:val="sr-Latn-RS"/>
        </w:rPr>
        <w:t xml:space="preserve"> </w:t>
      </w:r>
      <w:r>
        <w:rPr>
          <w:lang w:val="sr-Cyrl-RS"/>
        </w:rPr>
        <w:t>Програмом развоја спорта Града Бања Лука за период 2018-2022. године</w:t>
      </w:r>
      <w:r>
        <w:rPr>
          <w:lang w:val="sr-Latn-RS"/>
        </w:rPr>
        <w:t>,</w:t>
      </w:r>
      <w:r>
        <w:rPr>
          <w:lang w:val="sr-Cyrl-RS"/>
        </w:rPr>
        <w:t xml:space="preserve"> дефинисани су јасни основни и посебни циљеви развоја спорта у граду Бања Лука, који ће се реализовати кроз неколико различитих програма и пројеката како би се што више утицало на развој спорта код основношколске дјеце и омладине, као и вредновању остварених спортских резултата и изградње спортске инфраструктуре.</w:t>
      </w:r>
    </w:p>
    <w:p>
      <w:pPr>
        <w:jc w:val="both"/>
        <w:rPr>
          <w:lang w:val="sr-Cyrl-RS"/>
        </w:rPr>
      </w:pPr>
    </w:p>
    <w:p>
      <w:pPr>
        <w:jc w:val="both"/>
        <w:rPr>
          <w:lang w:val="sr-Cyrl-RS"/>
        </w:rPr>
      </w:pPr>
      <w:r>
        <w:rPr>
          <w:lang w:val="sr-Cyrl-RS"/>
        </w:rPr>
        <w:t xml:space="preserve">Циљ је и да се Бања Лука даље развија као здравствени центар региона са разноврсним и квалитетним услугама, кроз унапређење здравствених објеката, модернизацију опреме и промоцију здравствених услуга које се нуде на подручју града, као и да се константно унапређује социјална инклузија. </w:t>
      </w:r>
    </w:p>
    <w:p>
      <w:pPr>
        <w:jc w:val="both"/>
        <w:rPr>
          <w:lang w:val="sr-Cyrl-RS"/>
        </w:rPr>
      </w:pPr>
    </w:p>
    <w:p>
      <w:pPr>
        <w:jc w:val="both"/>
        <w:rPr>
          <w:lang w:val="sr-Cyrl-RS"/>
        </w:rPr>
      </w:pPr>
      <w:r>
        <w:rPr>
          <w:lang w:val="sr-Cyrl-RS"/>
        </w:rPr>
        <w:t>У оквиру овог стратешког циља посебна пажња ће се посветити јачању универзитетског духа града Бања Лука, као регионалног центра знања и иновација.</w:t>
      </w:r>
    </w:p>
    <w:p>
      <w:pPr>
        <w:jc w:val="both"/>
        <w:rPr>
          <w:lang w:val="sr-Cyrl-RS"/>
        </w:rPr>
      </w:pPr>
    </w:p>
    <w:p>
      <w:pPr>
        <w:jc w:val="both"/>
        <w:rPr>
          <w:lang w:val="sr-Cyrl-RS"/>
        </w:rPr>
      </w:pPr>
    </w:p>
    <w:p>
      <w:pPr>
        <w:jc w:val="both"/>
        <w:rPr>
          <w:lang w:val="sr-Cyrl-RS"/>
        </w:rPr>
      </w:pPr>
    </w:p>
    <w:p>
      <w:pPr>
        <w:jc w:val="both"/>
        <w:rPr>
          <w:lang w:val="sr-Cyrl-RS"/>
        </w:rPr>
      </w:pPr>
    </w:p>
    <w:p>
      <w:pPr>
        <w:jc w:val="both"/>
        <w:rPr>
          <w:lang w:val="sr-Cyrl-RS"/>
        </w:rPr>
      </w:pPr>
      <w:r>
        <w:rPr>
          <w:bCs/>
        </w:rPr>
        <w:t>За остварење овог стратешког циља дефинисани су с</w:t>
      </w:r>
      <w:r>
        <w:rPr>
          <w:bCs/>
          <w:lang w:val="sr-Cyrl-RS"/>
        </w:rPr>
        <w:t>л</w:t>
      </w:r>
      <w:r>
        <w:rPr>
          <w:bCs/>
        </w:rPr>
        <w:t>едећи индикатори</w:t>
      </w:r>
      <w:r>
        <w:rPr>
          <w:bCs/>
          <w:lang w:val="sr-Cyrl-RS"/>
        </w:rPr>
        <w:t>:</w:t>
      </w:r>
    </w:p>
    <w:p>
      <w:pPr>
        <w:ind w:left="450"/>
        <w:jc w:val="both"/>
        <w:rPr>
          <w:lang w:val="sr-Cyrl-RS"/>
        </w:rPr>
      </w:pPr>
    </w:p>
    <w:p>
      <w:pPr>
        <w:numPr>
          <w:ilvl w:val="0"/>
          <w:numId w:val="43"/>
        </w:numPr>
        <w:tabs>
          <w:tab w:val="left" w:pos="450"/>
          <w:tab w:val="clear" w:pos="720"/>
        </w:tabs>
        <w:ind w:left="450"/>
        <w:rPr>
          <w:lang w:val="sr-Cyrl-RS"/>
        </w:rPr>
      </w:pPr>
      <w:r>
        <w:rPr>
          <w:lang w:val="sr-Cyrl-RS"/>
        </w:rPr>
        <w:t>До краја 2027. године проценат становнима из категорије „испод границе сиромаштва“/укупан број становника мањи од 10%.</w:t>
      </w:r>
    </w:p>
    <w:p>
      <w:pPr>
        <w:numPr>
          <w:ilvl w:val="0"/>
          <w:numId w:val="44"/>
        </w:numPr>
        <w:rPr>
          <w:lang w:val="sr-Cyrl-RS"/>
        </w:rPr>
      </w:pPr>
      <w:r>
        <w:rPr>
          <w:lang w:val="sr-Cyrl-BA"/>
        </w:rPr>
        <w:t>До краја 2027.г. преко 75% анкетираних грађана задовољно је у</w:t>
      </w:r>
      <w:r>
        <w:rPr>
          <w:lang w:val="sr-Cyrl-CS"/>
        </w:rPr>
        <w:t>словима</w:t>
      </w:r>
      <w:r>
        <w:rPr>
          <w:lang w:val="sr-Cyrl-BA"/>
        </w:rPr>
        <w:t xml:space="preserve"> за образовање.</w:t>
      </w:r>
    </w:p>
    <w:p>
      <w:pPr>
        <w:numPr>
          <w:ilvl w:val="0"/>
          <w:numId w:val="44"/>
        </w:numPr>
        <w:rPr>
          <w:lang w:val="sr-Cyrl-RS"/>
        </w:rPr>
      </w:pPr>
      <w:r>
        <w:rPr>
          <w:lang w:val="sr-Cyrl-BA"/>
        </w:rPr>
        <w:t>До краја 2027.г. преко 75% анкетираних грађана задовољно је здравственим услугама.</w:t>
      </w:r>
    </w:p>
    <w:p>
      <w:pPr>
        <w:pStyle w:val="54"/>
        <w:numPr>
          <w:ilvl w:val="0"/>
          <w:numId w:val="44"/>
        </w:numPr>
        <w:rPr>
          <w:rFonts w:cs="Calibri"/>
          <w:lang w:val="sr-Cyrl-RS"/>
        </w:rPr>
      </w:pPr>
      <w:r>
        <w:rPr>
          <w:rFonts w:cs="Calibri"/>
          <w:lang w:val="sr-Cyrl-RS"/>
        </w:rPr>
        <w:t>До краја 2027. године  буџетска издвајања за културну политику повећана за 30% у односу на 2017. годину.</w:t>
      </w:r>
    </w:p>
    <w:p>
      <w:pPr>
        <w:numPr>
          <w:ilvl w:val="0"/>
          <w:numId w:val="43"/>
        </w:numPr>
        <w:tabs>
          <w:tab w:val="left" w:pos="450"/>
          <w:tab w:val="clear" w:pos="720"/>
        </w:tabs>
        <w:ind w:left="450"/>
        <w:rPr>
          <w:lang w:val="sr-Cyrl-RS"/>
        </w:rPr>
      </w:pPr>
      <w:r>
        <w:rPr>
          <w:lang w:val="sr-Cyrl-BA"/>
        </w:rPr>
        <w:t>До краја 2027.г. преко 75% анкетираних грађана задовољно је културним садржајима и условима у области културе.</w:t>
      </w:r>
    </w:p>
    <w:p>
      <w:pPr>
        <w:numPr>
          <w:ilvl w:val="0"/>
          <w:numId w:val="43"/>
        </w:numPr>
        <w:tabs>
          <w:tab w:val="left" w:pos="450"/>
          <w:tab w:val="clear" w:pos="720"/>
        </w:tabs>
        <w:ind w:left="450"/>
        <w:rPr>
          <w:rFonts w:cs="Calibri"/>
          <w:lang w:val="sr-Cyrl-RS"/>
        </w:rPr>
      </w:pPr>
      <w:bookmarkStart w:id="101" w:name="_Hlk519072967"/>
      <w:r>
        <w:rPr>
          <w:rFonts w:cs="Calibri"/>
          <w:lang w:val="sr-Cyrl-RS"/>
        </w:rPr>
        <w:t xml:space="preserve">До краја 2027. </w:t>
      </w:r>
      <w:r>
        <w:rPr>
          <w:rFonts w:cs="Calibri"/>
          <w:lang w:val="sr-Cyrl-CS"/>
        </w:rPr>
        <w:t>г</w:t>
      </w:r>
      <w:r>
        <w:rPr>
          <w:rFonts w:cs="Calibri"/>
          <w:lang w:val="sr-Cyrl-RS"/>
        </w:rPr>
        <w:t>одине</w:t>
      </w:r>
      <w:r>
        <w:rPr>
          <w:rFonts w:cs="Calibri"/>
          <w:lang w:val="sr-Latn-CS"/>
        </w:rPr>
        <w:t xml:space="preserve">, </w:t>
      </w:r>
      <w:r>
        <w:rPr>
          <w:rFonts w:cs="Calibri"/>
          <w:lang w:val="sr-Cyrl-CS"/>
        </w:rPr>
        <w:t xml:space="preserve">повећана улагања у област спорта за </w:t>
      </w:r>
      <w:r>
        <w:rPr>
          <w:rFonts w:cs="Calibri"/>
          <w:lang w:val="sr-Latn-CS"/>
        </w:rPr>
        <w:t>3</w:t>
      </w:r>
      <w:r>
        <w:rPr>
          <w:rFonts w:cs="Calibri"/>
          <w:lang w:val="sr-Cyrl-CS"/>
        </w:rPr>
        <w:t>0% у односу на 2017. годину</w:t>
      </w:r>
      <w:bookmarkEnd w:id="101"/>
    </w:p>
    <w:p>
      <w:pPr>
        <w:numPr>
          <w:ilvl w:val="0"/>
          <w:numId w:val="43"/>
        </w:numPr>
        <w:tabs>
          <w:tab w:val="left" w:pos="450"/>
          <w:tab w:val="clear" w:pos="720"/>
        </w:tabs>
        <w:ind w:left="450"/>
        <w:rPr>
          <w:rFonts w:cs="Calibri"/>
          <w:lang w:val="sr-Cyrl-RS"/>
        </w:rPr>
      </w:pPr>
      <w:r>
        <w:rPr>
          <w:rFonts w:cs="Calibri"/>
          <w:lang w:val="sr-Cyrl-RS"/>
        </w:rPr>
        <w:t>До краја 2027. године, град Бања Лука повећао апсорпцију средстава из екстерних извора за 50% у односу на 2017. годину.</w:t>
      </w:r>
    </w:p>
    <w:p>
      <w:pPr>
        <w:pStyle w:val="54"/>
        <w:jc w:val="both"/>
        <w:rPr>
          <w:rFonts w:cs="Calibri"/>
          <w:lang w:val="sr-Latn-BA"/>
        </w:rPr>
      </w:pPr>
    </w:p>
    <w:p>
      <w:pPr>
        <w:jc w:val="both"/>
        <w:rPr>
          <w:rFonts w:cs="Calibri"/>
          <w:b/>
          <w:lang w:val="sr-Cyrl-RS"/>
        </w:rPr>
      </w:pPr>
      <w:r>
        <w:rPr>
          <w:rFonts w:cs="Calibri"/>
          <w:b/>
          <w:lang w:val="sr-Cyrl-RS"/>
        </w:rPr>
        <w:t>Равномјеран и интегрисани развој градских, приградских и руралних подручја</w:t>
      </w:r>
    </w:p>
    <w:p>
      <w:pPr>
        <w:jc w:val="both"/>
        <w:rPr>
          <w:rFonts w:cs="Calibri"/>
          <w:lang w:val="sr-Cyrl-RS"/>
        </w:rPr>
      </w:pPr>
    </w:p>
    <w:p>
      <w:pPr>
        <w:jc w:val="both"/>
        <w:rPr>
          <w:rFonts w:cs="Calibri"/>
          <w:lang w:val="sr-Cyrl-RS"/>
        </w:rPr>
      </w:pPr>
      <w:r>
        <w:rPr>
          <w:rFonts w:cs="Calibri"/>
          <w:lang w:val="sr-Cyrl-RS"/>
        </w:rPr>
        <w:t>У остварењу свих стратешких циљева примењиваће се интегрисани приступ</w:t>
      </w:r>
      <w:r>
        <w:rPr>
          <w:rFonts w:cs="Calibri"/>
        </w:rPr>
        <w:t xml:space="preserve">, </w:t>
      </w:r>
      <w:r>
        <w:rPr>
          <w:rFonts w:cs="Calibri"/>
          <w:lang w:val="sr-Cyrl-RS"/>
        </w:rPr>
        <w:t>који ће осигурати равномеран развој свих аспеката урбаних и руралних подручја (села и приградских насеља), у циљу стварања угоднијих услова за живот и привређивање цјелокупног становништа, а нарочито стварања услова за останак младих на селу. То подразумијева:</w:t>
      </w:r>
    </w:p>
    <w:p>
      <w:pPr>
        <w:jc w:val="both"/>
        <w:rPr>
          <w:rFonts w:cs="Calibri"/>
          <w:lang w:val="sr-Cyrl-RS"/>
        </w:rPr>
      </w:pPr>
    </w:p>
    <w:p>
      <w:pPr>
        <w:pStyle w:val="46"/>
        <w:numPr>
          <w:ilvl w:val="0"/>
          <w:numId w:val="45"/>
        </w:numPr>
        <w:rPr>
          <w:rFonts w:cs="Calibri"/>
          <w:lang w:val="sr-Cyrl-RS"/>
        </w:rPr>
      </w:pPr>
      <w:r>
        <w:rPr>
          <w:rFonts w:cs="Calibri"/>
          <w:lang w:val="sr-Cyrl-RS"/>
        </w:rPr>
        <w:t>Изградњу комуналне и путне инфраструктуре, како у градским, тако и приградским и руралним подручјима;</w:t>
      </w:r>
    </w:p>
    <w:p>
      <w:pPr>
        <w:pStyle w:val="46"/>
        <w:numPr>
          <w:ilvl w:val="0"/>
          <w:numId w:val="45"/>
        </w:numPr>
        <w:rPr>
          <w:rFonts w:cs="Calibri"/>
          <w:lang w:val="sr-Cyrl-RS"/>
        </w:rPr>
      </w:pPr>
      <w:r>
        <w:rPr>
          <w:rFonts w:cs="Calibri"/>
          <w:lang w:val="sr-Cyrl-RS"/>
        </w:rPr>
        <w:t>Озакоњење нелегално изграђених објеката у приградским насељима;</w:t>
      </w:r>
    </w:p>
    <w:p>
      <w:pPr>
        <w:pStyle w:val="46"/>
        <w:numPr>
          <w:ilvl w:val="0"/>
          <w:numId w:val="45"/>
        </w:numPr>
        <w:rPr>
          <w:rFonts w:cs="Calibri"/>
          <w:lang w:val="sr-Cyrl-RS"/>
        </w:rPr>
      </w:pPr>
      <w:r>
        <w:rPr>
          <w:rFonts w:cs="Calibri"/>
          <w:lang w:val="sr-Cyrl-RS"/>
        </w:rPr>
        <w:t>Унапријеђење комуникација (телекомуникационе мреже, интернета, електронских услуга) у руралним областима;</w:t>
      </w:r>
    </w:p>
    <w:p>
      <w:pPr>
        <w:pStyle w:val="46"/>
        <w:numPr>
          <w:ilvl w:val="0"/>
          <w:numId w:val="45"/>
        </w:numPr>
        <w:rPr>
          <w:rFonts w:cs="Calibri"/>
          <w:lang w:val="sr-Cyrl-RS"/>
        </w:rPr>
      </w:pPr>
      <w:r>
        <w:rPr>
          <w:rFonts w:cs="Calibri"/>
          <w:lang w:val="sr-Cyrl-RS"/>
        </w:rPr>
        <w:t>Јачање социјалне кохезије кроз изградњу инфраструктуре и садржаја у области културе и спорта у урбаним и руралним дијеловима града;</w:t>
      </w:r>
    </w:p>
    <w:p>
      <w:pPr>
        <w:pStyle w:val="46"/>
        <w:numPr>
          <w:ilvl w:val="0"/>
          <w:numId w:val="45"/>
        </w:numPr>
        <w:rPr>
          <w:rFonts w:cs="Calibri"/>
          <w:lang w:val="sr-Cyrl-RS"/>
        </w:rPr>
      </w:pPr>
      <w:r>
        <w:rPr>
          <w:rFonts w:cs="Calibri"/>
          <w:lang w:val="sr-Cyrl-RS"/>
        </w:rPr>
        <w:t>Унапријеђење здравствене заштите у руралним подручјима;</w:t>
      </w:r>
    </w:p>
    <w:p>
      <w:pPr>
        <w:pStyle w:val="46"/>
        <w:numPr>
          <w:ilvl w:val="0"/>
          <w:numId w:val="45"/>
        </w:numPr>
        <w:rPr>
          <w:rFonts w:cs="Calibri"/>
          <w:lang w:val="sr-Cyrl-RS"/>
        </w:rPr>
      </w:pPr>
      <w:r>
        <w:rPr>
          <w:rFonts w:cs="Calibri"/>
          <w:lang w:val="sr-Cyrl-RS"/>
        </w:rPr>
        <w:t>Оптпимизацију предшколског и основног образовања на селу и у приградским насељима,</w:t>
      </w:r>
    </w:p>
    <w:p>
      <w:pPr>
        <w:pStyle w:val="46"/>
        <w:numPr>
          <w:ilvl w:val="0"/>
          <w:numId w:val="45"/>
        </w:numPr>
        <w:rPr>
          <w:rFonts w:cs="Calibri"/>
          <w:lang w:val="sr-Cyrl-RS"/>
        </w:rPr>
      </w:pPr>
      <w:r>
        <w:rPr>
          <w:rFonts w:cs="Calibri"/>
          <w:lang w:val="sr-Cyrl-RS"/>
        </w:rPr>
        <w:t xml:space="preserve">Успостављање </w:t>
      </w:r>
      <w:r>
        <w:rPr>
          <w:rFonts w:cs="Calibri"/>
          <w:i/>
          <w:lang w:val="sr-Latn-RS"/>
        </w:rPr>
        <w:t>ad hoc</w:t>
      </w:r>
      <w:r>
        <w:rPr>
          <w:rFonts w:cs="Calibri"/>
          <w:lang w:val="sr-Latn-RS"/>
        </w:rPr>
        <w:t xml:space="preserve"> </w:t>
      </w:r>
      <w:r>
        <w:rPr>
          <w:rFonts w:cs="Calibri"/>
          <w:lang w:val="sr-Cyrl-RS"/>
        </w:rPr>
        <w:t>институција и структура која доприносе економском, друштвеном и еколошком равоју руралних подручја (нпр. локалне акционе групе – ЛАГ);</w:t>
      </w:r>
    </w:p>
    <w:p>
      <w:pPr>
        <w:pStyle w:val="46"/>
        <w:numPr>
          <w:ilvl w:val="0"/>
          <w:numId w:val="45"/>
        </w:numPr>
        <w:rPr>
          <w:rFonts w:cs="Calibri"/>
          <w:lang w:val="sr-Cyrl-RS"/>
        </w:rPr>
      </w:pPr>
      <w:r>
        <w:rPr>
          <w:rFonts w:cs="Calibri"/>
          <w:lang w:val="sr-Cyrl-RS"/>
        </w:rPr>
        <w:t>Унапређење система подстицаја, субвенција и других мјера за развој села и приграских насеља;</w:t>
      </w:r>
    </w:p>
    <w:p>
      <w:pPr>
        <w:pStyle w:val="46"/>
        <w:numPr>
          <w:ilvl w:val="0"/>
          <w:numId w:val="45"/>
        </w:numPr>
        <w:rPr>
          <w:rFonts w:cs="Calibri"/>
          <w:lang w:val="sr-Cyrl-RS"/>
        </w:rPr>
      </w:pPr>
      <w:r>
        <w:rPr>
          <w:rFonts w:cs="Calibri"/>
          <w:lang w:val="sr-Cyrl-RS"/>
        </w:rPr>
        <w:t>Промоцију увођења иновација, како у урбаном, тако и руралном подручју (нпр. нове технологије, савремени производни стандарди, иновативни маркетинг, стратегија развоја пољопривреде, итд.);</w:t>
      </w:r>
    </w:p>
    <w:p>
      <w:pPr>
        <w:pStyle w:val="46"/>
        <w:numPr>
          <w:ilvl w:val="0"/>
          <w:numId w:val="45"/>
        </w:numPr>
        <w:rPr>
          <w:rFonts w:cs="Calibri"/>
          <w:lang w:val="sr-Cyrl-RS"/>
        </w:rPr>
      </w:pPr>
      <w:r>
        <w:rPr>
          <w:rFonts w:cs="Calibri"/>
          <w:lang w:val="sr-Cyrl-RS"/>
        </w:rPr>
        <w:t>Промовисање и успостављање јавно-приватних партнерстава и предузетништва у градду, селу и приградским насељима;</w:t>
      </w:r>
    </w:p>
    <w:p>
      <w:pPr>
        <w:pStyle w:val="46"/>
        <w:numPr>
          <w:ilvl w:val="0"/>
          <w:numId w:val="45"/>
        </w:numPr>
        <w:rPr>
          <w:rFonts w:cs="Calibri"/>
          <w:lang w:val="sr-Cyrl-RS"/>
        </w:rPr>
      </w:pPr>
      <w:r>
        <w:rPr>
          <w:rFonts w:cs="Calibri"/>
          <w:lang w:val="sr-Cyrl-RS"/>
        </w:rPr>
        <w:t>Праћење развоја руралног подручја, спровођење студија и анализа и укључивање руралног становништва у развојне пројекте.</w:t>
      </w:r>
    </w:p>
    <w:p>
      <w:pPr>
        <w:rPr>
          <w:rFonts w:cs="Calibri"/>
          <w:lang w:val="sr-Cyrl-RS"/>
        </w:rPr>
      </w:pPr>
    </w:p>
    <w:p>
      <w:pPr>
        <w:rPr>
          <w:rFonts w:cs="Calibri"/>
          <w:lang w:val="sr-Cyrl-RS"/>
        </w:rPr>
      </w:pPr>
    </w:p>
    <w:p>
      <w:pPr>
        <w:rPr>
          <w:rFonts w:cs="Calibri"/>
          <w:lang w:val="sr-Cyrl-RS"/>
        </w:rPr>
      </w:pPr>
    </w:p>
    <w:p>
      <w:pPr>
        <w:rPr>
          <w:rFonts w:cs="Calibri"/>
          <w:lang w:val="sr-Cyrl-RS"/>
        </w:rPr>
      </w:pPr>
    </w:p>
    <w:p>
      <w:pPr>
        <w:rPr>
          <w:rFonts w:cs="Calibri"/>
          <w:lang w:val="sr-Cyrl-RS"/>
        </w:rPr>
      </w:pPr>
    </w:p>
    <w:p>
      <w:pPr>
        <w:pStyle w:val="2"/>
        <w:spacing w:before="120" w:after="120" w:line="240" w:lineRule="auto"/>
        <w:rPr>
          <w:caps/>
          <w:szCs w:val="22"/>
          <w:lang w:val="sr-Cyrl-RS"/>
        </w:rPr>
      </w:pPr>
      <w:bookmarkStart w:id="102" w:name="_Toc473095865"/>
      <w:bookmarkStart w:id="103" w:name="_Toc526761927"/>
      <w:r>
        <w:t>V</w:t>
      </w:r>
      <w:r>
        <w:rPr>
          <w:lang w:val="sr-Cyrl-RS"/>
        </w:rPr>
        <w:t>.</w:t>
      </w:r>
      <w:r>
        <w:rPr>
          <w:caps/>
          <w:szCs w:val="22"/>
          <w:lang w:val="sr-Cyrl-RS"/>
        </w:rPr>
        <w:t xml:space="preserve"> </w:t>
      </w:r>
      <w:r>
        <w:rPr>
          <w:szCs w:val="22"/>
          <w:lang w:val="sr-Cyrl-RS"/>
        </w:rPr>
        <w:t>СЕКТОРСКИ РАЗВОЈНИ ПЛАНОВИ</w:t>
      </w:r>
      <w:bookmarkEnd w:id="102"/>
      <w:bookmarkEnd w:id="103"/>
    </w:p>
    <w:p>
      <w:pPr>
        <w:pStyle w:val="3"/>
      </w:pPr>
      <w:bookmarkStart w:id="104" w:name="_Toc473095866"/>
      <w:bookmarkStart w:id="105" w:name="_Toc526761928"/>
      <w:bookmarkStart w:id="106" w:name="_Toc461719854"/>
      <w:bookmarkStart w:id="107" w:name="_Toc452886790"/>
      <w:r>
        <w:t>V.1. Усклађеност, комплементарност и међусобни утицај секторских планова</w:t>
      </w:r>
      <w:bookmarkEnd w:id="104"/>
      <w:bookmarkEnd w:id="105"/>
      <w:bookmarkEnd w:id="106"/>
      <w:bookmarkEnd w:id="107"/>
    </w:p>
    <w:p>
      <w:pPr>
        <w:pStyle w:val="13"/>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rPr>
        <w:t xml:space="preserve">Секторски планови </w:t>
      </w:r>
      <w:r>
        <w:rPr>
          <w:rFonts w:cs="Helvetica"/>
          <w:color w:val="000000"/>
          <w:sz w:val="22"/>
          <w:szCs w:val="22"/>
          <w:shd w:val="clear" w:color="auto" w:fill="FFFFFF"/>
          <w:lang w:val="sr-Cyrl-RS"/>
        </w:rPr>
        <w:t>града Бања Лука</w:t>
      </w:r>
      <w:r>
        <w:rPr>
          <w:rFonts w:cs="Helvetica"/>
          <w:color w:val="000000"/>
          <w:sz w:val="22"/>
          <w:szCs w:val="22"/>
          <w:shd w:val="clear" w:color="auto" w:fill="FFFFFF"/>
        </w:rPr>
        <w:t xml:space="preserve"> су усклађени </w:t>
      </w:r>
      <w:r>
        <w:rPr>
          <w:rFonts w:cs="Helvetica"/>
          <w:color w:val="000000"/>
          <w:sz w:val="22"/>
          <w:szCs w:val="22"/>
          <w:shd w:val="clear" w:color="auto" w:fill="FFFFFF"/>
          <w:lang w:val="sr-Cyrl-RS"/>
        </w:rPr>
        <w:t>су са</w:t>
      </w:r>
      <w:r>
        <w:rPr>
          <w:rFonts w:cs="Helvetica"/>
          <w:color w:val="000000"/>
          <w:sz w:val="22"/>
          <w:szCs w:val="22"/>
          <w:shd w:val="clear" w:color="auto" w:fill="FFFFFF"/>
        </w:rPr>
        <w:t xml:space="preserve"> </w:t>
      </w:r>
      <w:r>
        <w:rPr>
          <w:rFonts w:cs="Helvetica"/>
          <w:color w:val="000000"/>
          <w:sz w:val="22"/>
          <w:szCs w:val="22"/>
          <w:shd w:val="clear" w:color="auto" w:fill="FFFFFF"/>
          <w:lang w:val="sr-Cyrl-RS"/>
        </w:rPr>
        <w:t xml:space="preserve">постојећом </w:t>
      </w:r>
      <w:r>
        <w:rPr>
          <w:rFonts w:cs="Helvetica"/>
          <w:color w:val="000000"/>
          <w:sz w:val="22"/>
          <w:szCs w:val="22"/>
          <w:shd w:val="clear" w:color="auto" w:fill="FFFFFF"/>
        </w:rPr>
        <w:t>просторно-планском документацијом</w:t>
      </w:r>
      <w:r>
        <w:rPr>
          <w:rFonts w:cs="Helvetica"/>
          <w:color w:val="000000"/>
          <w:sz w:val="22"/>
          <w:szCs w:val="22"/>
          <w:shd w:val="clear" w:color="auto" w:fill="FFFFFF"/>
          <w:lang w:val="sr-Cyrl-RS"/>
        </w:rPr>
        <w:t xml:space="preserve">, претходно дефинисаним </w:t>
      </w:r>
      <w:r>
        <w:rPr>
          <w:rFonts w:cs="Helvetica"/>
          <w:color w:val="000000"/>
          <w:sz w:val="22"/>
          <w:szCs w:val="22"/>
          <w:shd w:val="clear" w:color="auto" w:fill="FFFFFF"/>
        </w:rPr>
        <w:t xml:space="preserve">стратешким циљевима </w:t>
      </w:r>
      <w:r>
        <w:rPr>
          <w:rFonts w:cs="Helvetica"/>
          <w:color w:val="000000"/>
          <w:sz w:val="22"/>
          <w:szCs w:val="22"/>
          <w:shd w:val="clear" w:color="auto" w:fill="FFFFFF"/>
          <w:lang w:val="sr-Cyrl-RS"/>
        </w:rPr>
        <w:t xml:space="preserve">и међусобно су комплементарни. Секторски циљеви дефинисани у оквиру економског, друштвеног и сектора заштите животне средине међусобно су комплементарни и вертикално разрађени </w:t>
      </w:r>
      <w:r>
        <w:rPr>
          <w:rFonts w:cs="Helvetica"/>
          <w:color w:val="000000"/>
          <w:sz w:val="22"/>
          <w:szCs w:val="22"/>
          <w:shd w:val="clear" w:color="auto" w:fill="FFFFFF"/>
        </w:rPr>
        <w:t xml:space="preserve">на нивоу програма, пројеката и мјера, </w:t>
      </w:r>
      <w:r>
        <w:rPr>
          <w:rFonts w:cs="Helvetica"/>
          <w:color w:val="000000"/>
          <w:sz w:val="22"/>
          <w:szCs w:val="22"/>
          <w:shd w:val="clear" w:color="auto" w:fill="FFFFFF"/>
          <w:lang w:val="sr-Cyrl-RS"/>
        </w:rPr>
        <w:t>које имају своје планиране резултате, очекиване исходе и утицај на реализацију секторских, као и стратешких циљева.</w:t>
      </w:r>
    </w:p>
    <w:p>
      <w:pPr>
        <w:pStyle w:val="13"/>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rPr>
        <w:t>Секторски план економског развоја</w:t>
      </w:r>
      <w:r>
        <w:rPr>
          <w:rFonts w:cs="Helvetica"/>
          <w:color w:val="000000"/>
          <w:sz w:val="22"/>
          <w:szCs w:val="22"/>
          <w:shd w:val="clear" w:color="auto" w:fill="FFFFFF"/>
        </w:rPr>
        <w:t xml:space="preserve"> </w:t>
      </w:r>
      <w:r>
        <w:rPr>
          <w:rFonts w:cs="Helvetica"/>
          <w:color w:val="000000"/>
          <w:sz w:val="22"/>
          <w:szCs w:val="22"/>
          <w:shd w:val="clear" w:color="auto" w:fill="FFFFFF"/>
          <w:lang w:val="sr-Cyrl-RS"/>
        </w:rPr>
        <w:t xml:space="preserve">реализоваће се кроз програме, пројекте и мјере груписане око четири логички интегрисана секторска циља, који заједно доприносе остварењу првог стратешког циља кроз: </w:t>
      </w:r>
    </w:p>
    <w:p>
      <w:pPr>
        <w:pStyle w:val="13"/>
        <w:numPr>
          <w:ilvl w:val="2"/>
          <w:numId w:val="46"/>
        </w:numPr>
        <w:spacing w:before="120" w:after="120"/>
        <w:ind w:left="63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Унапређење услова за пословање привредних субјеката и развој локација за инвестирање</w:t>
      </w:r>
      <w:r>
        <w:rPr>
          <w:rFonts w:cs="Helvetica"/>
          <w:color w:val="000000"/>
          <w:sz w:val="22"/>
          <w:szCs w:val="22"/>
          <w:shd w:val="clear" w:color="auto" w:fill="FFFFFF"/>
          <w:lang w:val="sr-Cyrl-RS"/>
        </w:rPr>
        <w:t xml:space="preserve">, и то кроз јачање институционалних капацитета, усвајање подстицајних мјера, и систематско управљање зонама за инвестирање на подручју града; </w:t>
      </w:r>
    </w:p>
    <w:p>
      <w:pPr>
        <w:pStyle w:val="13"/>
        <w:numPr>
          <w:ilvl w:val="2"/>
          <w:numId w:val="46"/>
        </w:numPr>
        <w:spacing w:before="120" w:after="120"/>
        <w:ind w:left="63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Повећање конкурентности МСП и предузетништва</w:t>
      </w:r>
      <w:r>
        <w:rPr>
          <w:rFonts w:cs="Helvetica"/>
          <w:color w:val="000000"/>
          <w:sz w:val="22"/>
          <w:szCs w:val="22"/>
          <w:shd w:val="clear" w:color="auto" w:fill="FFFFFF"/>
          <w:lang w:val="sr-Cyrl-RS"/>
        </w:rPr>
        <w:t xml:space="preserve"> путем пружања адекватне институционалне подршке, јачања јавно-приватног дијалога, подршке запошљавању и самозапошљавању, успостављања механизама за образовање људских ресурса, путем преквалификације и доквалификације за тражена занимања, у складу са исказаним потребама приватног сектора, подизање конкурентности, иновативности и извозних капацитета микро, малих и средњих предузећа и предузетника, те јачање прерађивачке индустрије;</w:t>
      </w:r>
    </w:p>
    <w:p>
      <w:pPr>
        <w:pStyle w:val="13"/>
        <w:numPr>
          <w:ilvl w:val="2"/>
          <w:numId w:val="46"/>
        </w:numPr>
        <w:spacing w:before="120" w:after="120"/>
        <w:ind w:left="63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Развој пољопривреде, </w:t>
      </w:r>
      <w:r>
        <w:rPr>
          <w:rFonts w:cs="Helvetica"/>
          <w:color w:val="000000"/>
          <w:sz w:val="22"/>
          <w:szCs w:val="22"/>
          <w:shd w:val="clear" w:color="auto" w:fill="FFFFFF"/>
          <w:lang w:val="sr-Cyrl-RS"/>
        </w:rPr>
        <w:t>прије свега, тако што ће се обезбиједити адекватан институционални оквир за подршку пољопривредним произвођачима, да би постали конкурентнији и освојили нова тржишта;</w:t>
      </w:r>
    </w:p>
    <w:p>
      <w:pPr>
        <w:pStyle w:val="13"/>
        <w:numPr>
          <w:ilvl w:val="2"/>
          <w:numId w:val="46"/>
        </w:numPr>
        <w:spacing w:before="120" w:after="120"/>
        <w:ind w:left="63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Развој туризма, </w:t>
      </w:r>
      <w:r>
        <w:rPr>
          <w:rFonts w:cs="Helvetica"/>
          <w:color w:val="000000"/>
          <w:sz w:val="22"/>
          <w:szCs w:val="22"/>
          <w:shd w:val="clear" w:color="auto" w:fill="FFFFFF"/>
          <w:lang w:val="sr-Cyrl-RS"/>
        </w:rPr>
        <w:t>који носи велики потенцијал за економски развој, кроз унапређење институционалног и стратешког оквира, изградњу нове и побољшање постојеће туристичке инфраструктуре и развој адекватних туристичких садржаја, који ће значајно побољшати туристичку понуду и привући већи број туриста.</w:t>
      </w:r>
    </w:p>
    <w:p>
      <w:pPr>
        <w:pStyle w:val="13"/>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 xml:space="preserve">Сви секторски циљеви економског развоја имају значајан утицај на друштвени развој, прије свега кроз отварање нових радних мјеста и стварање могућности за запошљавање младих, жена и осјетљивог становништва, који спадају у теже запошљиве категорије. Повећан број и количина директних инвестиција, као и јачање МСП креирају нове шансе за запошљавање, систематско образовање и јачање људских ресурса и развој иновативних дјелатности, нарочито у </w:t>
      </w:r>
      <w:r>
        <w:rPr>
          <w:rFonts w:cs="Helvetica"/>
          <w:color w:val="000000"/>
          <w:sz w:val="22"/>
          <w:szCs w:val="22"/>
          <w:shd w:val="clear" w:color="auto" w:fill="FFFFFF"/>
          <w:lang w:val="en-US"/>
        </w:rPr>
        <w:t>IT</w:t>
      </w:r>
      <w:r>
        <w:rPr>
          <w:rFonts w:cs="Helvetica"/>
          <w:color w:val="000000"/>
          <w:sz w:val="22"/>
          <w:szCs w:val="22"/>
          <w:shd w:val="clear" w:color="auto" w:fill="FFFFFF"/>
          <w:lang w:val="sr-Cyrl-RS"/>
        </w:rPr>
        <w:t xml:space="preserve"> индустрији што, дугорочно, може имати значајан утицај на останак младих у Бања Луци и свеукупно смањење миграција становништва. </w:t>
      </w:r>
    </w:p>
    <w:p>
      <w:pPr>
        <w:pStyle w:val="13"/>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Рурални развој једнако је битан као и развој урбаног дијела града, па ће се, осим економског оснаживања села путем развоја пољопривреде, кроз све секторске циљеве доприносити свеукупном побољшању услова за живот и рад у руралним подручјима – путем доступности интернета, образовних, спортских и културних садржаја, али и очувања животне средине, кроз реализацију секторских циљева који се односе на побошање квалитета ваздуха, воде, очување биодиверзитета и повећање енергетске ефикасности.</w:t>
      </w:r>
    </w:p>
    <w:p>
      <w:pPr>
        <w:pStyle w:val="13"/>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Стварањем атрактивних туристичких садржаја, Бања Лука неће имати само економску корист, већ ће то значајно допринјети и бољем имиџу Града као потенцијалне пријестонице културе, у којој се вриједнује различитост у сваком погледу и која је мјесто културно-историјске размјене међу народима. Развој туризма може бити и прилика заразвој еколошке производње и пласман здраве хране и различитих конкурентних пољопривредних производа, кроз адекватан маркетинг и пласман производа.</w:t>
      </w:r>
    </w:p>
    <w:p>
      <w:pPr>
        <w:pStyle w:val="13"/>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rPr>
        <w:t>Секторски план</w:t>
      </w:r>
      <w:r>
        <w:rPr>
          <w:rFonts w:cs="Helvetica"/>
          <w:b/>
          <w:color w:val="000000"/>
          <w:sz w:val="22"/>
          <w:szCs w:val="22"/>
          <w:shd w:val="clear" w:color="auto" w:fill="FFFFFF"/>
          <w:lang w:val="sr-Cyrl-RS"/>
        </w:rPr>
        <w:t xml:space="preserve"> друштвеног развоја </w:t>
      </w:r>
      <w:r>
        <w:rPr>
          <w:rFonts w:cs="Helvetica"/>
          <w:color w:val="000000"/>
          <w:sz w:val="22"/>
          <w:szCs w:val="22"/>
          <w:shd w:val="clear" w:color="auto" w:fill="FFFFFF"/>
          <w:lang w:val="sr-Cyrl-RS"/>
        </w:rPr>
        <w:t>реализоваће се кроз седам дефинисаних секторских циљева и бави се свим кључним питањима од значаја за угодан живот свих грађана и пружање једнаких шанси, без обзира на различитости у годинама, старости, интересовањима. Секторски циљеви су дефинисани тако да сагледавају потребе како младих и старих и рањивих група у друштву, тако и свих оних који долазе у Бања Луку као инвеститори, посјетиоци (из различитих разлога), студенти или рекреативци. У оквиру секторског плана друштвеног развоја покривене су све кључне области:</w:t>
      </w:r>
    </w:p>
    <w:p>
      <w:pPr>
        <w:pStyle w:val="13"/>
        <w:numPr>
          <w:ilvl w:val="0"/>
          <w:numId w:val="47"/>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Образовање,</w:t>
      </w:r>
      <w:r>
        <w:rPr>
          <w:rFonts w:cs="Helvetica"/>
          <w:color w:val="000000"/>
          <w:sz w:val="22"/>
          <w:szCs w:val="22"/>
          <w:shd w:val="clear" w:color="auto" w:fill="FFFFFF"/>
          <w:lang w:val="sr-Cyrl-RS"/>
        </w:rPr>
        <w:t xml:space="preserve"> од предшколског, преко основног и средњошколског, до сарадње са факултетима. Овде, прије свега, спада изградња инфраструктуре и набавка неопходне опреме у складу са надлежностима града, у циљу осигурања доступности и приступачности образовања, поштовање принципа инклузивности и недискриминације. У фокусу ће, нарочито бити повезивање образовања и привреде, кроз сагледавање потреба приватног сектора и промовисање образовних профила за дефицитарна занимања у средњим стручним школама. Кроз образовање ће се тежити и иновативности, нарочито у дијелу образовања кадрова за рад у области информационих технологија, као дјелатности која је у замаху. Коначно, повезаност са економским сектором огледа се и у неопходној сарадњи образовних институција (нарочито средњих стручних школа и факултета у оквиру Универзитета у Бања Луци), Бироа за запошљавање, локалне управе и приватног сектора, у циљу преквалификације и доквалификације незапослених у складу са потребама привреде.</w:t>
      </w:r>
    </w:p>
    <w:p>
      <w:pPr>
        <w:pStyle w:val="13"/>
        <w:numPr>
          <w:ilvl w:val="0"/>
          <w:numId w:val="47"/>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Обезбјеђење здравствене и социјалне заштита </w:t>
      </w:r>
      <w:r>
        <w:rPr>
          <w:rFonts w:cs="Helvetica"/>
          <w:color w:val="000000"/>
          <w:sz w:val="22"/>
          <w:szCs w:val="22"/>
          <w:shd w:val="clear" w:color="auto" w:fill="FFFFFF"/>
          <w:lang w:val="sr-Cyrl-RS"/>
        </w:rPr>
        <w:t>путем изградње инфраструктуре,  опремања здравствених установа и омогућавања здравствених услуга у урбаној и руралној средини, пружања институционалне и ванинституционалне социјалне подршке припадницима рањивих и маргинализованих група. У економском смислу, овај секторски циљ,  једним дијелом је повезан и са секторским циљем 1.4 Развој туризма, с обзиром да је у процесу стратешког планирања здравствени туризам препознат као област са великим потенцијалом за остваривање економских бенефита Града.</w:t>
      </w:r>
    </w:p>
    <w:p>
      <w:pPr>
        <w:pStyle w:val="13"/>
        <w:numPr>
          <w:ilvl w:val="0"/>
          <w:numId w:val="47"/>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Унапређење културних садржаја Града </w:t>
      </w:r>
      <w:r>
        <w:rPr>
          <w:rFonts w:cs="Helvetica"/>
          <w:color w:val="000000"/>
          <w:sz w:val="22"/>
          <w:szCs w:val="22"/>
          <w:shd w:val="clear" w:color="auto" w:fill="FFFFFF"/>
          <w:lang w:val="sr-Cyrl-RS"/>
        </w:rPr>
        <w:t>у складу са стандардима који важе за културне пријестонице Европе и стратешким правцима развоја културе, од јачања институционалних капацитета, до провођења интегралне културне политике Града и унапређења инфраструктуре од значаја за културу, умјетност и заштиту историјског насљеђа. Уколико Бања Лука добије статус пријестонице културе 2024. године, то ће осим отварања Града ка свијету, грађанима донијети и значајне економске користи.</w:t>
      </w:r>
    </w:p>
    <w:p>
      <w:pPr>
        <w:pStyle w:val="13"/>
        <w:numPr>
          <w:ilvl w:val="0"/>
          <w:numId w:val="47"/>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Унапређење спортских садржаја и доступност спорта на подручју Града </w:t>
      </w:r>
      <w:r>
        <w:rPr>
          <w:rFonts w:cs="Helvetica"/>
          <w:color w:val="000000"/>
          <w:sz w:val="22"/>
          <w:szCs w:val="22"/>
          <w:shd w:val="clear" w:color="auto" w:fill="FFFFFF"/>
          <w:lang w:val="sr-Cyrl-RS"/>
        </w:rPr>
        <w:t xml:space="preserve">– као и култура, спорт представља велики потенцијал за отварање Града према Европи и свијету, па је унапређење спорта један од кључних циљева у оквиру сектора друштвеног развоја. Спорт ће се развијати у складу са развојном политиком Града у овој области, путем унапређења спортске и рекреативне активности, те реализацијом добро испланираних спортских садржаја за различите циљне и старосне групе. Осим што може промовисати Бања Луку изван граница земље, спорт може, дугорочно, уз стратешки приступ бити и значајан извор прихода за Град, Овај секторски циљ директно је повезан са промоцијом здравих животних навика, те принципима у оквиру концепта </w:t>
      </w:r>
      <w:r>
        <w:rPr>
          <w:rFonts w:cs="Helvetica"/>
          <w:i/>
          <w:color w:val="000000"/>
          <w:sz w:val="22"/>
          <w:szCs w:val="22"/>
          <w:shd w:val="clear" w:color="auto" w:fill="FFFFFF"/>
          <w:lang w:val="sr-Latn-RS"/>
        </w:rPr>
        <w:t>Green City.</w:t>
      </w:r>
      <w:r>
        <w:rPr>
          <w:rFonts w:cs="Helvetica"/>
          <w:color w:val="000000"/>
          <w:sz w:val="22"/>
          <w:szCs w:val="22"/>
          <w:shd w:val="clear" w:color="auto" w:fill="FFFFFF"/>
          <w:lang w:val="sr-Latn-RS"/>
        </w:rPr>
        <w:t xml:space="preserve"> </w:t>
      </w:r>
    </w:p>
    <w:p>
      <w:pPr>
        <w:pStyle w:val="13"/>
        <w:numPr>
          <w:ilvl w:val="0"/>
          <w:numId w:val="47"/>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Безбједност грађана </w:t>
      </w:r>
      <w:r>
        <w:rPr>
          <w:rFonts w:cs="Helvetica"/>
          <w:color w:val="000000"/>
          <w:sz w:val="22"/>
          <w:szCs w:val="22"/>
          <w:shd w:val="clear" w:color="auto" w:fill="FFFFFF"/>
          <w:lang w:val="sr-Cyrl-RS"/>
        </w:rPr>
        <w:t xml:space="preserve">је значајна за реализацију свих секторских циљева у овој Стратегији. Сигурност грађана је приоритет, који ће се реализовати кроз континуирани рад Савјета за безбједност и провођење пројеката и мјера унапређења система и инфраструктуре неопходне за заштиту грађана. И сами концепти </w:t>
      </w:r>
      <w:r>
        <w:rPr>
          <w:rFonts w:cs="Helvetica"/>
          <w:i/>
          <w:color w:val="000000"/>
          <w:sz w:val="22"/>
          <w:szCs w:val="22"/>
          <w:shd w:val="clear" w:color="auto" w:fill="FFFFFF"/>
          <w:lang w:val="sr-Latn-RS"/>
        </w:rPr>
        <w:t>Smart City</w:t>
      </w:r>
      <w:r>
        <w:rPr>
          <w:rFonts w:cs="Helvetica"/>
          <w:i/>
          <w:color w:val="000000"/>
          <w:sz w:val="22"/>
          <w:szCs w:val="22"/>
          <w:shd w:val="clear" w:color="auto" w:fill="FFFFFF"/>
          <w:lang w:val="sr-Cyrl-RS"/>
        </w:rPr>
        <w:t xml:space="preserve"> </w:t>
      </w:r>
      <w:r>
        <w:rPr>
          <w:rFonts w:cs="Helvetica"/>
          <w:color w:val="000000"/>
          <w:sz w:val="22"/>
          <w:szCs w:val="22"/>
          <w:shd w:val="clear" w:color="auto" w:fill="FFFFFF"/>
          <w:lang w:val="sr-Cyrl-RS"/>
        </w:rPr>
        <w:t>и</w:t>
      </w:r>
      <w:r>
        <w:rPr>
          <w:rFonts w:cs="Helvetica"/>
          <w:i/>
          <w:color w:val="000000"/>
          <w:sz w:val="22"/>
          <w:szCs w:val="22"/>
          <w:shd w:val="clear" w:color="auto" w:fill="FFFFFF"/>
          <w:lang w:val="sr-Latn-RS"/>
        </w:rPr>
        <w:t xml:space="preserve"> Green City</w:t>
      </w:r>
      <w:r>
        <w:rPr>
          <w:rFonts w:cs="Helvetica"/>
          <w:color w:val="000000"/>
          <w:sz w:val="22"/>
          <w:szCs w:val="22"/>
          <w:shd w:val="clear" w:color="auto" w:fill="FFFFFF"/>
          <w:lang w:val="sr-Cyrl-RS"/>
        </w:rPr>
        <w:t>, који представљају стратешко оприједеље Града, чврсто су засновани на осигурању безбједности као предуслову за добар живот грађана.</w:t>
      </w:r>
    </w:p>
    <w:p>
      <w:pPr>
        <w:pStyle w:val="13"/>
        <w:numPr>
          <w:ilvl w:val="0"/>
          <w:numId w:val="47"/>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Модерна урбана средина, заснована на</w:t>
      </w:r>
      <w:r>
        <w:rPr>
          <w:rFonts w:cs="Helvetica"/>
          <w:b/>
          <w:i/>
          <w:color w:val="000000"/>
          <w:sz w:val="22"/>
          <w:szCs w:val="22"/>
          <w:shd w:val="clear" w:color="auto" w:fill="FFFFFF"/>
          <w:lang w:val="sr-Cyrl-RS"/>
        </w:rPr>
        <w:t xml:space="preserve"> </w:t>
      </w:r>
      <w:r>
        <w:rPr>
          <w:rFonts w:cs="Helvetica"/>
          <w:b/>
          <w:i/>
          <w:color w:val="000000"/>
          <w:sz w:val="22"/>
          <w:szCs w:val="22"/>
          <w:shd w:val="clear" w:color="auto" w:fill="FFFFFF"/>
          <w:lang w:val="sr-Latn-RS"/>
        </w:rPr>
        <w:t>Smart City</w:t>
      </w:r>
      <w:r>
        <w:rPr>
          <w:rFonts w:cs="Helvetica"/>
          <w:b/>
          <w:i/>
          <w:color w:val="000000"/>
          <w:sz w:val="22"/>
          <w:szCs w:val="22"/>
          <w:shd w:val="clear" w:color="auto" w:fill="FFFFFF"/>
          <w:lang w:val="sr-Cyrl-RS"/>
        </w:rPr>
        <w:t xml:space="preserve"> </w:t>
      </w:r>
      <w:r>
        <w:rPr>
          <w:rFonts w:cs="Helvetica"/>
          <w:b/>
          <w:color w:val="000000"/>
          <w:sz w:val="22"/>
          <w:szCs w:val="22"/>
          <w:shd w:val="clear" w:color="auto" w:fill="FFFFFF"/>
          <w:lang w:val="sr-Cyrl-RS"/>
        </w:rPr>
        <w:t>концепту</w:t>
      </w:r>
      <w:r>
        <w:rPr>
          <w:rFonts w:cs="Helvetica"/>
          <w:color w:val="000000"/>
          <w:sz w:val="22"/>
          <w:szCs w:val="22"/>
          <w:shd w:val="clear" w:color="auto" w:fill="FFFFFF"/>
          <w:lang w:val="sr-Cyrl-RS"/>
        </w:rPr>
        <w:t xml:space="preserve"> </w:t>
      </w:r>
      <w:r>
        <w:rPr>
          <w:rFonts w:cs="Helvetica"/>
          <w:b/>
          <w:color w:val="000000"/>
          <w:sz w:val="22"/>
          <w:szCs w:val="22"/>
          <w:shd w:val="clear" w:color="auto" w:fill="FFFFFF"/>
          <w:lang w:val="sr-Cyrl-RS"/>
        </w:rPr>
        <w:t>и дигитална трансформација Града</w:t>
      </w:r>
      <w:r>
        <w:rPr>
          <w:rFonts w:cs="Helvetica"/>
          <w:color w:val="000000"/>
          <w:sz w:val="22"/>
          <w:szCs w:val="22"/>
          <w:shd w:val="clear" w:color="auto" w:fill="FFFFFF"/>
          <w:lang w:val="sr-Cyrl-RS"/>
        </w:rPr>
        <w:t>, градиће се постепено: кроз дигитализацију и увођење е-Управе, у складу са остатком Европе и свијета, што ће омогућити и значајно побољшање ефикасности у свим доменима функионисања Градске управе; кроз ефикасно просторно и урбанистичко планирање; постављање и употребу паметних рјешења за грађане и приватни сектор;  модернизацију саобраћајног система;  и увођења е-услуга за грађане и приватни сектор. Овај стратешки циљ, као и секторски циљеви, доприносе како економском, тако и развоју здраве животне средине.</w:t>
      </w:r>
    </w:p>
    <w:p>
      <w:pPr>
        <w:pStyle w:val="13"/>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Реализацијом секторских циљева у оквиру друштвеног развоја, систематски ће се радити на осигурању равномерног раста и напретка услова за живот, како у граду, тако и у селу. Унапређење образовних, здравствених, културних и спортских  садржаја, као и безбједности у граду, може  допринијети одлуци многих инвеститора да изаберу Бањалуку као пожељну дестинацију за рад и живот, одлуци младих људи из региона да дођу студирати на неки од бањалучких факултета и одлуци туриста из региона, Европе и свијета, да изаберу Бања Луку као пожељан и узбудљив, а прије свега безбједан град, који нуди јединствене и богате садржаје.</w:t>
      </w:r>
    </w:p>
    <w:p>
      <w:pPr>
        <w:pStyle w:val="13"/>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Секторски план заштите животне средине и развоја комуналне инфраструктуре </w:t>
      </w:r>
      <w:r>
        <w:rPr>
          <w:rFonts w:cs="Helvetica"/>
          <w:color w:val="000000"/>
          <w:sz w:val="22"/>
          <w:szCs w:val="22"/>
          <w:shd w:val="clear" w:color="auto" w:fill="FFFFFF"/>
          <w:lang w:val="sr-Cyrl-RS"/>
        </w:rPr>
        <w:t xml:space="preserve">заснован је на </w:t>
      </w:r>
      <w:r>
        <w:rPr>
          <w:rFonts w:cs="Helvetica"/>
          <w:i/>
          <w:color w:val="000000"/>
          <w:sz w:val="22"/>
          <w:szCs w:val="22"/>
          <w:shd w:val="clear" w:color="auto" w:fill="FFFFFF"/>
          <w:lang w:val="sr-Latn-RS"/>
        </w:rPr>
        <w:t xml:space="preserve">Green City </w:t>
      </w:r>
      <w:r>
        <w:rPr>
          <w:rFonts w:cs="Helvetica"/>
          <w:color w:val="000000"/>
          <w:sz w:val="22"/>
          <w:szCs w:val="22"/>
          <w:shd w:val="clear" w:color="auto" w:fill="FFFFFF"/>
          <w:lang w:val="sr-Cyrl-RS"/>
        </w:rPr>
        <w:t xml:space="preserve">концепту и формулисан је кроз </w:t>
      </w:r>
      <w:r>
        <w:rPr>
          <w:rFonts w:cs="Helvetica"/>
          <w:b/>
          <w:color w:val="000000"/>
          <w:sz w:val="22"/>
          <w:szCs w:val="22"/>
          <w:shd w:val="clear" w:color="auto" w:fill="FFFFFF"/>
          <w:lang w:val="sr-Cyrl-RS"/>
        </w:rPr>
        <w:t xml:space="preserve"> </w:t>
      </w:r>
      <w:r>
        <w:rPr>
          <w:rFonts w:cs="Helvetica"/>
          <w:color w:val="000000"/>
          <w:sz w:val="22"/>
          <w:szCs w:val="22"/>
          <w:shd w:val="clear" w:color="auto" w:fill="FFFFFF"/>
          <w:lang w:val="sr-Cyrl-RS"/>
        </w:rPr>
        <w:t>пројекте и мјере груписане у седам секторских циљева, који се баве свим битним аспектима квалитета живота, здравља и безбједности грађана, укључујући:</w:t>
      </w:r>
    </w:p>
    <w:p>
      <w:pPr>
        <w:pStyle w:val="13"/>
        <w:numPr>
          <w:ilvl w:val="0"/>
          <w:numId w:val="48"/>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Унапређење </w:t>
      </w:r>
      <w:r>
        <w:rPr>
          <w:b/>
          <w:i/>
          <w:sz w:val="22"/>
          <w:szCs w:val="22"/>
          <w:lang w:val="sr-Latn-RS"/>
        </w:rPr>
        <w:t>Green City</w:t>
      </w:r>
      <w:r>
        <w:rPr>
          <w:b/>
          <w:i/>
          <w:sz w:val="22"/>
          <w:szCs w:val="22"/>
          <w:lang w:val="sr-Cyrl-RS"/>
        </w:rPr>
        <w:t xml:space="preserve"> </w:t>
      </w:r>
      <w:r>
        <w:rPr>
          <w:b/>
          <w:sz w:val="22"/>
          <w:szCs w:val="22"/>
          <w:lang w:val="sr-Cyrl-RS"/>
        </w:rPr>
        <w:t xml:space="preserve">концепта у граду Бања Лука </w:t>
      </w:r>
      <w:r>
        <w:rPr>
          <w:sz w:val="22"/>
          <w:szCs w:val="22"/>
          <w:lang w:val="sr-Cyrl-RS"/>
        </w:rPr>
        <w:t xml:space="preserve">путем јачања институционалних капацитета града у области животне средине и подизања свијести грађана о томе шта поразумијева </w:t>
      </w:r>
      <w:r>
        <w:rPr>
          <w:i/>
          <w:sz w:val="22"/>
          <w:szCs w:val="22"/>
          <w:lang w:val="sr-Latn-RS"/>
        </w:rPr>
        <w:t>Green City</w:t>
      </w:r>
      <w:r>
        <w:rPr>
          <w:sz w:val="22"/>
          <w:szCs w:val="22"/>
          <w:lang w:val="sr-Cyrl-RS"/>
        </w:rPr>
        <w:t>,</w:t>
      </w:r>
    </w:p>
    <w:p>
      <w:pPr>
        <w:pStyle w:val="13"/>
        <w:numPr>
          <w:ilvl w:val="0"/>
          <w:numId w:val="48"/>
        </w:numPr>
        <w:spacing w:before="120" w:after="120"/>
        <w:jc w:val="both"/>
        <w:rPr>
          <w:rFonts w:cs="Helvetica"/>
          <w:color w:val="000000"/>
          <w:sz w:val="22"/>
          <w:szCs w:val="22"/>
          <w:shd w:val="clear" w:color="auto" w:fill="FFFFFF"/>
          <w:lang w:val="sr-Cyrl-RS"/>
        </w:rPr>
      </w:pPr>
      <w:r>
        <w:rPr>
          <w:b/>
          <w:sz w:val="22"/>
          <w:szCs w:val="22"/>
          <w:lang w:val="sr-Cyrl-RS"/>
        </w:rPr>
        <w:t>Унапређење система интегралног управљања отпадом</w:t>
      </w:r>
      <w:r>
        <w:rPr>
          <w:sz w:val="22"/>
          <w:szCs w:val="22"/>
          <w:lang w:val="sr-Cyrl-RS"/>
        </w:rPr>
        <w:t xml:space="preserve"> кроз побољшање система прикупљања отпада и јачање свијести грађана о овом проблему и адекватно управљање регионалном санитарном депонијом,</w:t>
      </w:r>
    </w:p>
    <w:p>
      <w:pPr>
        <w:pStyle w:val="46"/>
        <w:numPr>
          <w:ilvl w:val="0"/>
          <w:numId w:val="48"/>
        </w:numPr>
        <w:spacing w:after="120"/>
        <w:rPr>
          <w:rFonts w:cstheme="minorHAnsi"/>
          <w:b/>
          <w:lang w:val="bs-Latn-BA"/>
        </w:rPr>
      </w:pPr>
      <w:r>
        <w:rPr>
          <w:b/>
          <w:lang w:val="sr-Cyrl-RS"/>
        </w:rPr>
        <w:t xml:space="preserve">Побољшање јавног система водоснабдијевања, система сакупљања, одвођења и третмана комуналних отпадних вода и квалитетa </w:t>
      </w:r>
      <w:r>
        <w:rPr>
          <w:b/>
          <w:lang w:val="sr-Cyrl-RS" w:eastAsia="bs-Latn-BA"/>
        </w:rPr>
        <w:t xml:space="preserve">водa </w:t>
      </w:r>
      <w:r>
        <w:rPr>
          <w:lang w:val="sr-Cyrl-RS" w:eastAsia="bs-Latn-BA"/>
        </w:rPr>
        <w:t xml:space="preserve">кроз реконструкцију и изградњу нове водоводне и канализационе мреже, те рјешавање питања третмана отпадних вода, </w:t>
      </w:r>
    </w:p>
    <w:p>
      <w:pPr>
        <w:pStyle w:val="13"/>
        <w:numPr>
          <w:ilvl w:val="0"/>
          <w:numId w:val="48"/>
        </w:numPr>
        <w:spacing w:before="120" w:after="120"/>
        <w:jc w:val="both"/>
        <w:rPr>
          <w:rFonts w:cs="Helvetica"/>
          <w:color w:val="000000"/>
          <w:sz w:val="22"/>
          <w:szCs w:val="22"/>
          <w:shd w:val="clear" w:color="auto" w:fill="FFFFFF"/>
          <w:lang w:val="sr-Cyrl-RS"/>
        </w:rPr>
      </w:pPr>
      <w:r>
        <w:rPr>
          <w:rFonts w:cstheme="minorHAnsi"/>
          <w:b/>
          <w:color w:val="1A1617"/>
          <w:sz w:val="22"/>
          <w:szCs w:val="22"/>
          <w:shd w:val="clear" w:color="auto" w:fill="FFFFFF" w:themeFill="background1"/>
          <w:lang w:val="sr-Cyrl-RS"/>
        </w:rPr>
        <w:t xml:space="preserve">Побољшање квалитета ваздуха и енергетска ефикасност, </w:t>
      </w:r>
      <w:r>
        <w:rPr>
          <w:rFonts w:cstheme="minorHAnsi"/>
          <w:color w:val="1A1617"/>
          <w:sz w:val="22"/>
          <w:szCs w:val="22"/>
          <w:shd w:val="clear" w:color="auto" w:fill="FFFFFF" w:themeFill="background1"/>
          <w:lang w:val="sr-Cyrl-RS"/>
        </w:rPr>
        <w:t>кроз спровођење дефинисаних мјера за заштиту ваздуха, смањење загађења и емисије угљен-диоксида на саобраћајницама, смањење потрошње енергије и коришћење обновљивих извора енергије,</w:t>
      </w:r>
    </w:p>
    <w:p>
      <w:pPr>
        <w:pStyle w:val="13"/>
        <w:numPr>
          <w:ilvl w:val="0"/>
          <w:numId w:val="48"/>
        </w:numPr>
        <w:spacing w:before="120" w:after="120"/>
        <w:jc w:val="both"/>
        <w:rPr>
          <w:rFonts w:cs="Helvetica"/>
          <w:color w:val="000000"/>
          <w:sz w:val="22"/>
          <w:szCs w:val="22"/>
          <w:shd w:val="clear" w:color="auto" w:fill="FFFFFF"/>
          <w:lang w:val="sr-Cyrl-RS"/>
        </w:rPr>
      </w:pPr>
      <w:r>
        <w:rPr>
          <w:rFonts w:cstheme="minorHAnsi"/>
          <w:b/>
          <w:color w:val="1A1617"/>
          <w:sz w:val="22"/>
          <w:szCs w:val="22"/>
          <w:shd w:val="clear" w:color="auto" w:fill="FFFFFF" w:themeFill="background1"/>
          <w:lang w:val="sr-Cyrl-RS"/>
        </w:rPr>
        <w:t xml:space="preserve">Унапређење саобраћајне инфраструктуре </w:t>
      </w:r>
      <w:r>
        <w:rPr>
          <w:rFonts w:cstheme="minorHAnsi"/>
          <w:color w:val="1A1617"/>
          <w:sz w:val="22"/>
          <w:szCs w:val="22"/>
          <w:shd w:val="clear" w:color="auto" w:fill="FFFFFF" w:themeFill="background1"/>
          <w:lang w:val="sr-Cyrl-RS"/>
        </w:rPr>
        <w:t>кроз изградњу, модернизацију и одржавање градске уличне мреже, изградњу саобраћајне инфраструктуре у приградском подручју, изградњу мостова и кружних раскрсница, гаражног и паркинг простора, те пјешачких и бициклистичких стаза,</w:t>
      </w:r>
    </w:p>
    <w:p>
      <w:pPr>
        <w:pStyle w:val="13"/>
        <w:numPr>
          <w:ilvl w:val="0"/>
          <w:numId w:val="48"/>
        </w:numPr>
        <w:spacing w:before="120" w:after="120"/>
        <w:jc w:val="both"/>
        <w:rPr>
          <w:rFonts w:cs="Helvetica"/>
          <w:color w:val="000000"/>
          <w:sz w:val="22"/>
          <w:szCs w:val="22"/>
          <w:shd w:val="clear" w:color="auto" w:fill="FFFFFF"/>
          <w:lang w:val="sr-Cyrl-RS"/>
        </w:rPr>
      </w:pPr>
      <w:r>
        <w:rPr>
          <w:rFonts w:cs="Cambria"/>
          <w:b/>
          <w:bCs/>
          <w:color w:val="000000"/>
          <w:sz w:val="22"/>
          <w:szCs w:val="22"/>
          <w:lang w:val="sr-Cyrl-RS" w:eastAsia="bs-Latn-BA"/>
        </w:rPr>
        <w:t xml:space="preserve">Заштита природног насљеђа, </w:t>
      </w:r>
      <w:r>
        <w:rPr>
          <w:b/>
          <w:sz w:val="22"/>
          <w:szCs w:val="22"/>
          <w:lang w:val="sr-Cyrl-RS"/>
        </w:rPr>
        <w:t xml:space="preserve">унапређење стања парковских и зелених површина, </w:t>
      </w:r>
      <w:r>
        <w:rPr>
          <w:sz w:val="22"/>
          <w:szCs w:val="22"/>
          <w:lang w:val="sr-Cyrl-RS"/>
        </w:rPr>
        <w:t>путем очување станишта и биолошке разноврсности и изградње нових и очување постојећих зелених површина, уз обогаћивање садржаја на јавним зеленим површинама,</w:t>
      </w:r>
    </w:p>
    <w:p>
      <w:pPr>
        <w:pStyle w:val="13"/>
        <w:numPr>
          <w:ilvl w:val="0"/>
          <w:numId w:val="48"/>
        </w:numPr>
        <w:spacing w:before="120" w:after="120"/>
        <w:jc w:val="both"/>
        <w:rPr>
          <w:rFonts w:cs="Helvetica"/>
          <w:color w:val="000000"/>
          <w:sz w:val="22"/>
          <w:szCs w:val="22"/>
          <w:shd w:val="clear" w:color="auto" w:fill="FFFFFF"/>
          <w:lang w:val="sr-Cyrl-RS"/>
        </w:rPr>
      </w:pPr>
      <w:r>
        <w:rPr>
          <w:b/>
          <w:sz w:val="22"/>
          <w:szCs w:val="22"/>
          <w:lang w:val="sr-Cyrl-RS"/>
        </w:rPr>
        <w:t xml:space="preserve">Побољшање система заштите од поплава, земљотреса,  пожара и других непогода, </w:t>
      </w:r>
      <w:r>
        <w:rPr>
          <w:rFonts w:cs="Calibri"/>
          <w:sz w:val="22"/>
          <w:szCs w:val="22"/>
          <w:lang w:val="sr-Cyrl-RS"/>
        </w:rPr>
        <w:t>кроз адекватну припрему за дјеловање, јачање капацитета, изградњу капацитета и инфраструктуре за спашавање у условима природних и других непогода.</w:t>
      </w:r>
    </w:p>
    <w:p>
      <w:pPr>
        <w:pStyle w:val="13"/>
        <w:spacing w:before="120" w:after="120"/>
        <w:jc w:val="both"/>
        <w:rPr>
          <w:rFonts w:cs="Helvetica"/>
          <w:color w:val="000000"/>
          <w:sz w:val="22"/>
          <w:szCs w:val="22"/>
          <w:shd w:val="clear" w:color="auto" w:fill="FFFFFF"/>
        </w:rPr>
      </w:pPr>
      <w:r>
        <w:rPr>
          <w:rFonts w:cs="Helvetica"/>
          <w:color w:val="000000"/>
          <w:sz w:val="22"/>
          <w:szCs w:val="22"/>
          <w:shd w:val="clear" w:color="auto" w:fill="FFFFFF"/>
          <w:lang w:val="sr-Cyrl-RS"/>
        </w:rPr>
        <w:t>За сва три</w:t>
      </w:r>
      <w:r>
        <w:rPr>
          <w:rFonts w:cs="Helvetica"/>
          <w:color w:val="000000"/>
          <w:sz w:val="22"/>
          <w:szCs w:val="22"/>
          <w:shd w:val="clear" w:color="auto" w:fill="FFFFFF"/>
        </w:rPr>
        <w:t xml:space="preserve"> секторска плана</w:t>
      </w:r>
      <w:r>
        <w:rPr>
          <w:rFonts w:cs="Helvetica"/>
          <w:color w:val="000000"/>
          <w:sz w:val="22"/>
          <w:szCs w:val="22"/>
          <w:shd w:val="clear" w:color="auto" w:fill="FFFFFF"/>
          <w:lang w:val="sr-Cyrl-RS"/>
        </w:rPr>
        <w:t>, кључно је</w:t>
      </w:r>
      <w:r>
        <w:rPr>
          <w:rFonts w:cs="Helvetica"/>
          <w:color w:val="000000"/>
          <w:sz w:val="22"/>
          <w:szCs w:val="22"/>
          <w:shd w:val="clear" w:color="auto" w:fill="FFFFFF"/>
        </w:rPr>
        <w:t xml:space="preserve"> оснаживање грађан</w:t>
      </w:r>
      <w:r>
        <w:rPr>
          <w:rFonts w:cs="Helvetica"/>
          <w:color w:val="000000"/>
          <w:sz w:val="22"/>
          <w:szCs w:val="22"/>
          <w:shd w:val="clear" w:color="auto" w:fill="FFFFFF"/>
          <w:lang w:val="sr-Cyrl-RS"/>
        </w:rPr>
        <w:t>а у циљу њихове веће</w:t>
      </w:r>
      <w:r>
        <w:rPr>
          <w:rFonts w:cs="Helvetica"/>
          <w:color w:val="000000"/>
          <w:sz w:val="22"/>
          <w:szCs w:val="22"/>
          <w:shd w:val="clear" w:color="auto" w:fill="FFFFFF"/>
        </w:rPr>
        <w:t xml:space="preserve"> укључености,</w:t>
      </w:r>
      <w:r>
        <w:rPr>
          <w:rFonts w:cs="Helvetica"/>
          <w:color w:val="000000"/>
          <w:sz w:val="22"/>
          <w:szCs w:val="22"/>
          <w:shd w:val="clear" w:color="auto" w:fill="FFFFFF"/>
          <w:lang w:val="sr-Cyrl-RS"/>
        </w:rPr>
        <w:t xml:space="preserve"> унапређење јавно-приватног дијалога,</w:t>
      </w:r>
      <w:r>
        <w:rPr>
          <w:rFonts w:cs="Helvetica"/>
          <w:color w:val="000000"/>
          <w:sz w:val="22"/>
          <w:szCs w:val="22"/>
          <w:shd w:val="clear" w:color="auto" w:fill="FFFFFF"/>
        </w:rPr>
        <w:t xml:space="preserve"> </w:t>
      </w:r>
      <w:r>
        <w:rPr>
          <w:rFonts w:cs="Helvetica"/>
          <w:color w:val="000000"/>
          <w:sz w:val="22"/>
          <w:szCs w:val="22"/>
          <w:shd w:val="clear" w:color="auto" w:fill="FFFFFF"/>
          <w:lang w:val="sr-Cyrl-RS"/>
        </w:rPr>
        <w:t>инклузиван приступ и јачање</w:t>
      </w:r>
      <w:r>
        <w:rPr>
          <w:rFonts w:cs="Helvetica"/>
          <w:color w:val="000000"/>
          <w:sz w:val="22"/>
          <w:szCs w:val="22"/>
          <w:shd w:val="clear" w:color="auto" w:fill="FFFFFF"/>
        </w:rPr>
        <w:t xml:space="preserve"> цивилног друштва, </w:t>
      </w:r>
      <w:r>
        <w:rPr>
          <w:rFonts w:cs="Helvetica"/>
          <w:color w:val="000000"/>
          <w:sz w:val="22"/>
          <w:szCs w:val="22"/>
          <w:shd w:val="clear" w:color="auto" w:fill="FFFFFF"/>
          <w:lang w:val="sr-Cyrl-RS"/>
        </w:rPr>
        <w:t xml:space="preserve"> </w:t>
      </w:r>
      <w:r>
        <w:rPr>
          <w:rFonts w:cs="Helvetica"/>
          <w:color w:val="000000"/>
          <w:sz w:val="22"/>
          <w:szCs w:val="22"/>
          <w:shd w:val="clear" w:color="auto" w:fill="FFFFFF"/>
        </w:rPr>
        <w:t>едукациј</w:t>
      </w:r>
      <w:r>
        <w:rPr>
          <w:rFonts w:cs="Helvetica"/>
          <w:color w:val="000000"/>
          <w:sz w:val="22"/>
          <w:szCs w:val="22"/>
          <w:shd w:val="clear" w:color="auto" w:fill="FFFFFF"/>
          <w:lang w:val="sr-Cyrl-RS"/>
        </w:rPr>
        <w:t>а</w:t>
      </w:r>
      <w:r>
        <w:rPr>
          <w:rFonts w:cs="Helvetica"/>
          <w:color w:val="000000"/>
          <w:sz w:val="22"/>
          <w:szCs w:val="22"/>
          <w:shd w:val="clear" w:color="auto" w:fill="FFFFFF"/>
        </w:rPr>
        <w:t xml:space="preserve"> грађана и подизање свијести о </w:t>
      </w:r>
      <w:r>
        <w:rPr>
          <w:rFonts w:cs="Helvetica"/>
          <w:color w:val="000000"/>
          <w:sz w:val="22"/>
          <w:szCs w:val="22"/>
          <w:shd w:val="clear" w:color="auto" w:fill="FFFFFF"/>
          <w:lang w:val="sr-Cyrl-RS"/>
        </w:rPr>
        <w:t xml:space="preserve">значају и предностима електронског пословања, </w:t>
      </w:r>
      <w:r>
        <w:rPr>
          <w:rFonts w:cs="Helvetica"/>
          <w:color w:val="000000"/>
          <w:sz w:val="22"/>
          <w:szCs w:val="22"/>
          <w:shd w:val="clear" w:color="auto" w:fill="FFFFFF"/>
        </w:rPr>
        <w:t xml:space="preserve">заштити животне средине, </w:t>
      </w:r>
      <w:r>
        <w:rPr>
          <w:rFonts w:cs="Helvetica"/>
          <w:color w:val="000000"/>
          <w:sz w:val="22"/>
          <w:szCs w:val="22"/>
          <w:shd w:val="clear" w:color="auto" w:fill="FFFFFF"/>
          <w:lang w:val="sr-Cyrl-CS"/>
        </w:rPr>
        <w:t xml:space="preserve">као </w:t>
      </w:r>
      <w:r>
        <w:rPr>
          <w:rFonts w:cs="Helvetica"/>
          <w:color w:val="000000"/>
          <w:sz w:val="22"/>
          <w:szCs w:val="22"/>
          <w:shd w:val="clear" w:color="auto" w:fill="FFFFFF"/>
        </w:rPr>
        <w:t xml:space="preserve">и </w:t>
      </w:r>
      <w:r>
        <w:rPr>
          <w:rFonts w:cs="Helvetica"/>
          <w:color w:val="000000"/>
          <w:sz w:val="22"/>
          <w:szCs w:val="22"/>
          <w:shd w:val="clear" w:color="auto" w:fill="FFFFFF"/>
          <w:lang w:val="sr-Cyrl-RS"/>
        </w:rPr>
        <w:t xml:space="preserve">сарадња са организацијама цивилног друштва и приватним сектором на спровођењу </w:t>
      </w:r>
      <w:r>
        <w:rPr>
          <w:rFonts w:cs="Helvetica"/>
          <w:color w:val="000000"/>
          <w:sz w:val="22"/>
          <w:szCs w:val="22"/>
          <w:shd w:val="clear" w:color="auto" w:fill="FFFFFF"/>
        </w:rPr>
        <w:t>пројеката</w:t>
      </w:r>
      <w:r>
        <w:rPr>
          <w:rFonts w:cs="Helvetica"/>
          <w:color w:val="000000"/>
          <w:sz w:val="22"/>
          <w:szCs w:val="22"/>
          <w:shd w:val="clear" w:color="auto" w:fill="FFFFFF"/>
          <w:lang w:val="sr-Cyrl-RS"/>
        </w:rPr>
        <w:t xml:space="preserve"> из свих кључних области,</w:t>
      </w:r>
      <w:r>
        <w:rPr>
          <w:rFonts w:cs="Helvetica"/>
          <w:color w:val="000000"/>
          <w:sz w:val="22"/>
          <w:szCs w:val="22"/>
          <w:shd w:val="clear" w:color="auto" w:fill="FFFFFF"/>
        </w:rPr>
        <w:t xml:space="preserve"> </w:t>
      </w:r>
      <w:r>
        <w:rPr>
          <w:rFonts w:cs="Helvetica"/>
          <w:color w:val="000000"/>
          <w:sz w:val="22"/>
          <w:szCs w:val="22"/>
          <w:shd w:val="clear" w:color="auto" w:fill="FFFFFF"/>
          <w:lang w:val="sr-Cyrl-RS"/>
        </w:rPr>
        <w:t>усмјерених ка</w:t>
      </w:r>
      <w:r>
        <w:rPr>
          <w:rFonts w:cs="Helvetica"/>
          <w:color w:val="000000"/>
          <w:sz w:val="22"/>
          <w:szCs w:val="22"/>
          <w:shd w:val="clear" w:color="auto" w:fill="FFFFFF"/>
        </w:rPr>
        <w:t xml:space="preserve"> оснаживањ</w:t>
      </w:r>
      <w:r>
        <w:rPr>
          <w:rFonts w:cs="Helvetica"/>
          <w:color w:val="000000"/>
          <w:sz w:val="22"/>
          <w:szCs w:val="22"/>
          <w:shd w:val="clear" w:color="auto" w:fill="FFFFFF"/>
          <w:lang w:val="sr-Cyrl-RS"/>
        </w:rPr>
        <w:t>у</w:t>
      </w:r>
      <w:r>
        <w:rPr>
          <w:rFonts w:cs="Helvetica"/>
          <w:color w:val="000000"/>
          <w:sz w:val="22"/>
          <w:szCs w:val="22"/>
          <w:shd w:val="clear" w:color="auto" w:fill="FFFFFF"/>
        </w:rPr>
        <w:t xml:space="preserve"> грађана </w:t>
      </w:r>
      <w:r>
        <w:rPr>
          <w:rFonts w:cs="Helvetica"/>
          <w:color w:val="000000"/>
          <w:sz w:val="22"/>
          <w:szCs w:val="22"/>
          <w:shd w:val="clear" w:color="auto" w:fill="FFFFFF"/>
          <w:lang w:val="sr-Cyrl-RS"/>
        </w:rPr>
        <w:t xml:space="preserve">како из урбаних, тако и </w:t>
      </w:r>
      <w:r>
        <w:rPr>
          <w:rFonts w:cs="Helvetica"/>
          <w:color w:val="000000"/>
          <w:sz w:val="22"/>
          <w:szCs w:val="22"/>
          <w:shd w:val="clear" w:color="auto" w:fill="FFFFFF"/>
        </w:rPr>
        <w:t xml:space="preserve">руралних </w:t>
      </w:r>
      <w:r>
        <w:rPr>
          <w:rFonts w:cs="Helvetica"/>
          <w:color w:val="000000"/>
          <w:sz w:val="22"/>
          <w:szCs w:val="22"/>
          <w:shd w:val="clear" w:color="auto" w:fill="FFFFFF"/>
          <w:lang w:val="sr-Cyrl-RS"/>
        </w:rPr>
        <w:t>дијелова града Бања Лука</w:t>
      </w:r>
      <w:r>
        <w:rPr>
          <w:rFonts w:cs="Helvetica"/>
          <w:color w:val="000000"/>
          <w:sz w:val="22"/>
          <w:szCs w:val="22"/>
          <w:shd w:val="clear" w:color="auto" w:fill="FFFFFF"/>
        </w:rPr>
        <w:t>.</w:t>
      </w:r>
    </w:p>
    <w:p>
      <w:pPr>
        <w:pStyle w:val="3"/>
      </w:pPr>
      <w:bookmarkStart w:id="108" w:name="_Toc298390154"/>
      <w:bookmarkStart w:id="109" w:name="_Toc461719855"/>
      <w:bookmarkStart w:id="110" w:name="_Toc473095867"/>
      <w:bookmarkStart w:id="111" w:name="_Toc452886791"/>
      <w:bookmarkStart w:id="112" w:name="_Toc526761929"/>
      <w:r>
        <w:t>V.2.</w:t>
      </w:r>
      <w:r>
        <w:tab/>
      </w:r>
      <w:r>
        <w:t>План локалног економског развоја</w:t>
      </w:r>
      <w:bookmarkEnd w:id="108"/>
      <w:bookmarkEnd w:id="109"/>
      <w:bookmarkEnd w:id="110"/>
      <w:bookmarkEnd w:id="111"/>
      <w:bookmarkEnd w:id="112"/>
    </w:p>
    <w:p>
      <w:pPr>
        <w:jc w:val="both"/>
      </w:pPr>
      <w:r>
        <w:t xml:space="preserve">Секторски план локалног економског развоја </w:t>
      </w:r>
      <w:r>
        <w:rPr>
          <w:lang w:val="sr-Cyrl-RS"/>
        </w:rPr>
        <w:t>града Бања Лука</w:t>
      </w:r>
      <w:r>
        <w:t xml:space="preserve"> се израђује на основу резултата социо-економске анализе, дефинисане визије развоја и стратешких циљева као и анализе снага, слабости, прилика и пријетњи у сектору економије. У складу са дефинисаном визијом и стратешким циљевима економски развој </w:t>
      </w:r>
      <w:r>
        <w:rPr>
          <w:lang w:val="sr-Cyrl-RS"/>
        </w:rPr>
        <w:t>града Бања Лука</w:t>
      </w:r>
      <w:r>
        <w:t xml:space="preserve"> се базира на </w:t>
      </w:r>
      <w:r>
        <w:rPr>
          <w:lang w:val="sr-Cyrl-RS"/>
        </w:rPr>
        <w:t>унапређењу пословног окружења, привлачењу директних инвестиција, јачању МСП и предузетништва, нарочито у области прерађивачке индустрије, унапређењу пољопривреде</w:t>
      </w:r>
      <w:r>
        <w:t>, као и на развоју туризма.</w:t>
      </w:r>
    </w:p>
    <w:p>
      <w:pPr>
        <w:jc w:val="both"/>
      </w:pPr>
    </w:p>
    <w:p>
      <w:pPr>
        <w:pStyle w:val="13"/>
        <w:spacing w:before="120" w:after="120"/>
        <w:jc w:val="center"/>
        <w:rPr>
          <w:rFonts w:eastAsia="Times New Roman" w:asciiTheme="minorHAnsi" w:hAnsiTheme="minorHAnsi" w:cstheme="minorHAnsi"/>
          <w:b/>
          <w:bCs/>
          <w:kern w:val="32"/>
          <w:sz w:val="22"/>
          <w:szCs w:val="22"/>
          <w:lang w:val="bs-Latn-BA"/>
        </w:rPr>
      </w:pPr>
      <w:r>
        <w:rPr>
          <w:rFonts w:eastAsia="Times New Roman" w:asciiTheme="minorHAnsi" w:hAnsiTheme="minorHAnsi" w:cstheme="minorHAnsi"/>
          <w:b/>
          <w:bCs/>
          <w:kern w:val="32"/>
          <w:sz w:val="22"/>
          <w:szCs w:val="22"/>
          <w:lang w:val="bs-Latn-BA"/>
        </w:rPr>
        <w:t xml:space="preserve">SWOT АНАЛИЗА – </w:t>
      </w:r>
      <w:r>
        <w:rPr>
          <w:rFonts w:eastAsia="Times New Roman" w:asciiTheme="minorHAnsi" w:hAnsiTheme="minorHAnsi" w:cstheme="minorHAnsi"/>
          <w:b/>
          <w:bCs/>
          <w:kern w:val="32"/>
          <w:sz w:val="22"/>
          <w:szCs w:val="22"/>
          <w:lang w:val="sr-Cyrl-RS"/>
        </w:rPr>
        <w:t>ЕКОНОМСКИ</w:t>
      </w:r>
      <w:r>
        <w:rPr>
          <w:rFonts w:eastAsia="Times New Roman" w:asciiTheme="minorHAnsi" w:hAnsiTheme="minorHAnsi" w:cstheme="minorHAnsi"/>
          <w:b/>
          <w:bCs/>
          <w:kern w:val="32"/>
          <w:sz w:val="22"/>
          <w:szCs w:val="22"/>
          <w:lang w:val="bs-Latn-BA"/>
        </w:rPr>
        <w:t xml:space="preserve"> РАЗВОЈ</w:t>
      </w:r>
    </w:p>
    <w:tbl>
      <w:tblPr>
        <w:tblStyle w:val="37"/>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5"/>
        <w:gridCol w:w="5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shd w:val="clear" w:color="auto" w:fill="A8D08D" w:themeFill="accent6" w:themeFillTint="99"/>
          </w:tcPr>
          <w:p>
            <w:pPr>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СНАГЕ</w:t>
            </w:r>
          </w:p>
        </w:tc>
        <w:tc>
          <w:tcPr>
            <w:tcW w:w="5035" w:type="dxa"/>
            <w:shd w:val="clear" w:color="auto" w:fill="A8D08D" w:themeFill="accent6" w:themeFillTint="99"/>
          </w:tcPr>
          <w:p>
            <w:pPr>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СЛАБОСТИ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tcBorders>
              <w:bottom w:val="single" w:color="auto" w:sz="4" w:space="0"/>
            </w:tcBorders>
          </w:tcPr>
          <w:p>
            <w:pPr>
              <w:autoSpaceDE w:val="0"/>
              <w:autoSpaceDN w:val="0"/>
              <w:adjustRightInd w:val="0"/>
              <w:rPr>
                <w:rFonts w:asciiTheme="minorHAnsi" w:hAnsiTheme="minorHAnsi" w:cstheme="minorHAnsi"/>
                <w:b/>
                <w:sz w:val="20"/>
                <w:szCs w:val="20"/>
                <w:lang w:val="bs-Latn-BA"/>
              </w:rPr>
            </w:pPr>
            <w:r>
              <w:rPr>
                <w:rFonts w:asciiTheme="minorHAnsi" w:hAnsiTheme="minorHAnsi" w:cstheme="minorHAnsi"/>
                <w:b/>
                <w:sz w:val="20"/>
                <w:szCs w:val="20"/>
                <w:lang w:val="bs-Latn-BA"/>
              </w:rPr>
              <w:t>Опште карактеристике: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Карактеристике главног града – сједиште институција РС</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Средњоевропски дух Града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Добар географски положај Града, близина Хрватске, Србије и Словеније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Повезаност са домаћим, регионалним и  међународним тржиштем</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Добра мрежа локалних и магистралних путева, </w:t>
            </w:r>
            <w:r>
              <w:rPr>
                <w:rFonts w:asciiTheme="minorHAnsi" w:hAnsiTheme="minorHAnsi" w:cstheme="minorHAnsi"/>
                <w:sz w:val="20"/>
                <w:szCs w:val="20"/>
                <w:lang w:val="sr-Cyrl-CS"/>
              </w:rPr>
              <w:t>д</w:t>
            </w:r>
            <w:r>
              <w:rPr>
                <w:rFonts w:asciiTheme="minorHAnsi" w:hAnsiTheme="minorHAnsi" w:cstheme="minorHAnsi"/>
                <w:sz w:val="20"/>
                <w:szCs w:val="20"/>
                <w:lang w:val="bs-Latn-BA"/>
              </w:rPr>
              <w:t xml:space="preserve">обра саобраћајна повезаност са сусједним земљама </w:t>
            </w:r>
          </w:p>
          <w:p>
            <w:pPr>
              <w:autoSpaceDE w:val="0"/>
              <w:autoSpaceDN w:val="0"/>
              <w:adjustRightInd w:val="0"/>
              <w:spacing w:before="60"/>
              <w:rPr>
                <w:rFonts w:asciiTheme="minorHAnsi" w:hAnsiTheme="minorHAnsi" w:cstheme="minorHAnsi"/>
                <w:b/>
                <w:sz w:val="20"/>
                <w:szCs w:val="20"/>
                <w:lang w:val="bs-Latn-BA"/>
              </w:rPr>
            </w:pPr>
            <w:r>
              <w:rPr>
                <w:rFonts w:asciiTheme="minorHAnsi" w:hAnsiTheme="minorHAnsi" w:cstheme="minorHAnsi"/>
                <w:b/>
                <w:sz w:val="20"/>
                <w:szCs w:val="20"/>
                <w:lang w:val="bs-Latn-BA"/>
              </w:rPr>
              <w:t>Пословно окружење, предузетништво:</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Град је сертификован као повољно пословно окружење – BFC SEE</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Постоји градска инфраструктура за развој предузетништва (ICBL, CIDEA)</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Позитиван тренд раста и развоја предузетништва и предузетничке иницијативе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Унапређене процедуре - смањени трошкови и вријеме регистрације предузетника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Град додјељује подстицаје у области предузетништва на локалном нивоу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Град пружа подршку за оснивање и развој „start up“ -ова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Квалификована и конкурентна радна снага -  постојање великог броја високо образованих кадрова на тржишту рад</w:t>
            </w:r>
            <w:r>
              <w:rPr>
                <w:rFonts w:asciiTheme="minorHAnsi" w:hAnsiTheme="minorHAnsi" w:cstheme="minorHAnsi"/>
                <w:sz w:val="20"/>
                <w:szCs w:val="20"/>
                <w:lang w:val="sr-Cyrl-CS"/>
              </w:rPr>
              <w:t>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Дивер</w:t>
            </w:r>
            <w:r>
              <w:rPr>
                <w:rFonts w:asciiTheme="minorHAnsi" w:hAnsiTheme="minorHAnsi" w:cstheme="minorHAnsi"/>
                <w:sz w:val="20"/>
                <w:szCs w:val="20"/>
                <w:lang w:val="sr-Cyrl-CS"/>
              </w:rPr>
              <w:t>з</w:t>
            </w:r>
            <w:r>
              <w:rPr>
                <w:rFonts w:asciiTheme="minorHAnsi" w:hAnsiTheme="minorHAnsi" w:cstheme="minorHAnsi"/>
                <w:sz w:val="20"/>
                <w:szCs w:val="20"/>
                <w:lang w:val="bs-Latn-BA"/>
              </w:rPr>
              <w:t>ификована привредна структура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Добра сарадња локалне самоуправе и привредника </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Развијен ИТ сектор, нарочито у приватном сектору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Квалитетни и компетентни ИТ кадрови</w:t>
            </w:r>
          </w:p>
          <w:p>
            <w:pPr>
              <w:autoSpaceDE w:val="0"/>
              <w:autoSpaceDN w:val="0"/>
              <w:adjustRightInd w:val="0"/>
              <w:spacing w:before="60"/>
              <w:rPr>
                <w:rFonts w:asciiTheme="minorHAnsi" w:hAnsiTheme="minorHAnsi" w:cstheme="minorHAnsi"/>
                <w:b/>
                <w:sz w:val="20"/>
                <w:szCs w:val="20"/>
                <w:lang w:val="bs-Latn-BA"/>
              </w:rPr>
            </w:pPr>
            <w:r>
              <w:rPr>
                <w:rFonts w:asciiTheme="minorHAnsi" w:hAnsiTheme="minorHAnsi" w:cstheme="minorHAnsi"/>
                <w:b/>
                <w:sz w:val="20"/>
                <w:szCs w:val="20"/>
                <w:lang w:val="bs-Latn-BA"/>
              </w:rPr>
              <w:t>Рад ГУ:</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Транспарентна додјела пословних простора у власништву Града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Транспарентан рад Градске управе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Буџет Града је стабилан и у потпуности ликвидан</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Добра покривеност планском документацијом</w:t>
            </w:r>
          </w:p>
          <w:p>
            <w:pPr>
              <w:autoSpaceDE w:val="0"/>
              <w:autoSpaceDN w:val="0"/>
              <w:adjustRightInd w:val="0"/>
              <w:spacing w:before="60"/>
              <w:rPr>
                <w:rFonts w:asciiTheme="minorHAnsi" w:hAnsiTheme="minorHAnsi" w:cstheme="minorHAnsi"/>
                <w:b/>
                <w:sz w:val="20"/>
                <w:szCs w:val="20"/>
                <w:lang w:val="bs-Latn-BA"/>
              </w:rPr>
            </w:pPr>
            <w:r>
              <w:rPr>
                <w:rFonts w:asciiTheme="minorHAnsi" w:hAnsiTheme="minorHAnsi" w:cstheme="minorHAnsi"/>
                <w:b/>
                <w:sz w:val="20"/>
                <w:szCs w:val="20"/>
                <w:lang w:val="bs-Latn-BA"/>
              </w:rPr>
              <w:t>Пољопривреда и туризам:</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Велика површина пољопривредног земљишта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Изузетна гастро и угоститељска понуда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Развијен манифестациони туризам</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Развијен приватни сектор у здравству са карактеристикама здравственог туризма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Богато културно-историјско насљеђе</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Авантуризам, културни и манифестациони туризам</w:t>
            </w:r>
          </w:p>
        </w:tc>
        <w:tc>
          <w:tcPr>
            <w:tcW w:w="5035" w:type="dxa"/>
            <w:tcBorders>
              <w:bottom w:val="single" w:color="auto" w:sz="4" w:space="0"/>
            </w:tcBorders>
          </w:tcPr>
          <w:p>
            <w:pPr>
              <w:rPr>
                <w:rFonts w:asciiTheme="minorHAnsi" w:hAnsiTheme="minorHAnsi" w:cstheme="minorHAnsi"/>
                <w:b/>
                <w:sz w:val="20"/>
                <w:szCs w:val="20"/>
                <w:lang w:val="bs-Latn-BA"/>
              </w:rPr>
            </w:pPr>
            <w:r>
              <w:rPr>
                <w:rFonts w:asciiTheme="minorHAnsi" w:hAnsiTheme="minorHAnsi" w:cstheme="minorHAnsi"/>
                <w:b/>
                <w:sz w:val="20"/>
                <w:szCs w:val="20"/>
                <w:lang w:val="bs-Latn-BA"/>
              </w:rPr>
              <w:t>Кретање становништва: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Висока стопа миграције из села у град - 85% територије је рурално подручје, а 75% становника живи у урбаном дјелу</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Миграција младих из села у град</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Велики број старачких сеоских домаћинстава</w:t>
            </w:r>
          </w:p>
          <w:p>
            <w:pPr>
              <w:autoSpaceDE w:val="0"/>
              <w:autoSpaceDN w:val="0"/>
              <w:adjustRightInd w:val="0"/>
              <w:spacing w:before="60"/>
              <w:rPr>
                <w:rFonts w:asciiTheme="minorHAnsi" w:hAnsiTheme="minorHAnsi" w:cstheme="minorHAnsi"/>
                <w:b/>
                <w:sz w:val="20"/>
                <w:szCs w:val="20"/>
                <w:lang w:val="bs-Latn-BA"/>
              </w:rPr>
            </w:pPr>
            <w:r>
              <w:rPr>
                <w:rFonts w:asciiTheme="minorHAnsi" w:hAnsiTheme="minorHAnsi" w:cstheme="minorHAnsi"/>
                <w:b/>
                <w:sz w:val="20"/>
                <w:szCs w:val="20"/>
                <w:lang w:val="bs-Latn-BA"/>
              </w:rPr>
              <w:t>Радна снага: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Доминантна запосленост у услужним дјелатностима и/или јавном сектору</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Недостатак радне снаге у ИТ сектору, металопрерађивачкој, грађевинској, дрвопрерађивачкој и кожарској индустрији, те појединим услугама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Непостојање одговарајућих програма и капацитета за преквалификацију и доквалификацију радне снаге </w:t>
            </w:r>
          </w:p>
          <w:p>
            <w:pPr>
              <w:autoSpaceDE w:val="0"/>
              <w:autoSpaceDN w:val="0"/>
              <w:adjustRightInd w:val="0"/>
              <w:spacing w:before="60"/>
              <w:rPr>
                <w:rFonts w:asciiTheme="minorHAnsi" w:hAnsiTheme="minorHAnsi" w:cstheme="minorHAnsi"/>
                <w:b/>
                <w:sz w:val="20"/>
                <w:szCs w:val="20"/>
                <w:lang w:val="bs-Latn-BA"/>
              </w:rPr>
            </w:pPr>
            <w:r>
              <w:rPr>
                <w:rFonts w:asciiTheme="minorHAnsi" w:hAnsiTheme="minorHAnsi" w:cstheme="minorHAnsi"/>
                <w:b/>
                <w:sz w:val="20"/>
                <w:szCs w:val="20"/>
                <w:lang w:val="bs-Latn-BA"/>
              </w:rPr>
              <w:t>Пословно окружење, предузетништво:</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Ниска привредна активност, нарочито у руралним подручјима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Приватни сектор чине углавном микро предузећа и предузетници</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Велики број МСП и предузетника се затвара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Недовољно развијена прерађивачка индустрија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Недовољан број пословних зона за потенцијалне домаће и стране инвеститоре</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Град нема у власништву атрактивно и инфраструктурно опремљено земљиште које нуди инвеститорима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Слаб прилив страних инвестиција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Недовољно интересовање привредника за финансирање пројеката и послова на територији Града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Нема квалитетних и иновативних идеја код привредника – неопходна им је едукација</w:t>
            </w:r>
          </w:p>
          <w:p>
            <w:pPr>
              <w:spacing w:before="60"/>
              <w:ind w:left="28"/>
              <w:rPr>
                <w:rFonts w:asciiTheme="minorHAnsi" w:hAnsiTheme="minorHAnsi" w:cstheme="minorHAnsi"/>
                <w:sz w:val="20"/>
                <w:szCs w:val="20"/>
                <w:lang w:val="bs-Latn-BA"/>
              </w:rPr>
            </w:pPr>
            <w:r>
              <w:rPr>
                <w:rFonts w:asciiTheme="minorHAnsi" w:hAnsiTheme="minorHAnsi" w:cstheme="minorHAnsi"/>
                <w:b/>
                <w:sz w:val="20"/>
                <w:szCs w:val="20"/>
                <w:lang w:val="bs-Latn-BA"/>
              </w:rPr>
              <w:t>Рад ГУ:</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Недостатак институционалних механизама за подршку јавно-приватном дијалогу</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Није успостављен систем праћења и вредновања програма подстицаја на економски развој</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Дугогодишње одлагање израде Урбанистичког плана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Неплански развој приградских насеља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Споро и неадекватно рјешавање проблема бесправне градње</w:t>
            </w:r>
          </w:p>
          <w:p>
            <w:pPr>
              <w:pStyle w:val="53"/>
              <w:numPr>
                <w:ilvl w:val="0"/>
                <w:numId w:val="34"/>
              </w:numPr>
              <w:ind w:left="388"/>
              <w:rPr>
                <w:rFonts w:asciiTheme="minorHAnsi" w:hAnsiTheme="minorHAnsi" w:cstheme="minorHAnsi"/>
                <w:strike/>
                <w:color w:val="auto"/>
                <w:sz w:val="20"/>
                <w:szCs w:val="20"/>
                <w:lang w:val="bs-Latn-BA"/>
              </w:rPr>
            </w:pPr>
            <w:r>
              <w:rPr>
                <w:rFonts w:asciiTheme="minorHAnsi" w:hAnsiTheme="minorHAnsi" w:cstheme="minorHAnsi"/>
                <w:color w:val="auto"/>
                <w:sz w:val="20"/>
                <w:szCs w:val="20"/>
                <w:lang w:val="bs-Latn-BA"/>
              </w:rPr>
              <w:t xml:space="preserve">Недовољни финансијски капацитети Града за улагања у инфраструктуру </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Неријешена инфраструктура у бројним приградским насељима, а дјелимично и у граду</w:t>
            </w:r>
          </w:p>
          <w:p>
            <w:pPr>
              <w:spacing w:before="60"/>
              <w:ind w:left="28"/>
              <w:rPr>
                <w:rFonts w:asciiTheme="minorHAnsi" w:hAnsiTheme="minorHAnsi" w:cstheme="minorHAnsi"/>
                <w:sz w:val="20"/>
                <w:szCs w:val="20"/>
                <w:lang w:val="bs-Latn-BA"/>
              </w:rPr>
            </w:pPr>
            <w:r>
              <w:rPr>
                <w:rFonts w:asciiTheme="minorHAnsi" w:hAnsiTheme="minorHAnsi" w:cstheme="minorHAnsi"/>
                <w:b/>
                <w:sz w:val="20"/>
                <w:szCs w:val="20"/>
                <w:lang w:val="bs-Latn-BA"/>
              </w:rPr>
              <w:t>Пољопривреда и туризам:</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Велика површина необрађеног пољопривредног земљишта </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Недовољно развијена пољопривреда </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Недовољни подстицаји за производњу хране на пољопривредним газдинствима (недостатак стручне и финансијске подршке за покретање производње) </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Мали проценат наводњавања</w:t>
            </w:r>
            <w:r>
              <w:rPr>
                <w:rFonts w:asciiTheme="minorHAnsi" w:hAnsiTheme="minorHAnsi" w:cstheme="minorHAnsi"/>
                <w:color w:val="auto"/>
                <w:sz w:val="20"/>
                <w:szCs w:val="20"/>
                <w:lang w:val="sr-Cyrl-CS"/>
              </w:rPr>
              <w:t xml:space="preserve"> </w:t>
            </w:r>
            <w:r>
              <w:rPr>
                <w:rFonts w:asciiTheme="minorHAnsi" w:hAnsiTheme="minorHAnsi" w:cstheme="minorHAnsi"/>
                <w:color w:val="auto"/>
                <w:sz w:val="20"/>
                <w:szCs w:val="20"/>
                <w:lang w:val="bs-Latn-BA"/>
              </w:rPr>
              <w:t>и коришћења расположивих водних ресурса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Недовољно улагање у туристички потенцијал града</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Недовољна понуда врста смјештајних капацитета у односу на потражњу (сеоски туризам, кампови, хотели ниске категорије)</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Недостатак инфраструктуре за конгресни и рурални туризам (непостојање конгресног центра) – хотел високе категорије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5" w:type="dxa"/>
            <w:shd w:val="clear" w:color="auto" w:fill="A8D08D" w:themeFill="accent6" w:themeFillTint="99"/>
          </w:tcPr>
          <w:p>
            <w:pPr>
              <w:ind w:left="330" w:hanging="270"/>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ШАНСЕ</w:t>
            </w:r>
          </w:p>
        </w:tc>
        <w:tc>
          <w:tcPr>
            <w:tcW w:w="5035" w:type="dxa"/>
            <w:shd w:val="clear" w:color="auto" w:fill="A8D08D" w:themeFill="accent6" w:themeFillTint="99"/>
          </w:tcPr>
          <w:p>
            <w:pPr>
              <w:ind w:left="346" w:hanging="270"/>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ПРИЈЕТЊЕ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4315" w:type="dxa"/>
          </w:tcPr>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Добра сарадња са републичким институцијама, чије је сједиште у Бањој Луци</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Прекогранична и регионална сарадња</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Близина тржишта Европске уније</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ЕУ интеграције – могућности коришћење европских и међународних фондова и других извора финансирања</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Smart City концепт</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Квалитетни модели државних подстицаја у области предузетништва и пољопривреде</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Унапређење законодавства у области локалног економског развоја</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Рурални развој</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Повољни услови за развој сточарства</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Прилив страних директних инвестиција</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Јавно-приватна партнерства</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Развој прерађивачке индустрије</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Развој ИТ индустрије и велике могућности за улагања у овај сектор</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Развој авио-саобраћаја</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Потенцијалне инвестиције из дијаспоре</w:t>
            </w:r>
          </w:p>
          <w:p>
            <w:pPr>
              <w:pStyle w:val="46"/>
              <w:numPr>
                <w:ilvl w:val="0"/>
                <w:numId w:val="35"/>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Велики потенцијал за развој конгресног, здравственог и спортско-рекреативног туризма</w:t>
            </w:r>
          </w:p>
          <w:p>
            <w:pPr>
              <w:pStyle w:val="46"/>
              <w:numPr>
                <w:ilvl w:val="0"/>
                <w:numId w:val="35"/>
              </w:numPr>
              <w:jc w:val="left"/>
              <w:rPr>
                <w:rFonts w:asciiTheme="minorHAnsi" w:hAnsiTheme="minorHAnsi" w:cstheme="minorHAnsi"/>
                <w:sz w:val="20"/>
                <w:szCs w:val="20"/>
                <w:lang w:val="bs-Latn-BA"/>
              </w:rPr>
            </w:pPr>
            <w:r>
              <w:rPr>
                <w:rFonts w:asciiTheme="minorHAnsi" w:hAnsiTheme="minorHAnsi" w:cstheme="minorHAnsi"/>
                <w:sz w:val="20"/>
                <w:szCs w:val="20"/>
                <w:lang w:val="bs-Latn-BA"/>
              </w:rPr>
              <w:t>Brownfield инвестиције у постојеће објекте</w:t>
            </w:r>
          </w:p>
          <w:p>
            <w:pPr>
              <w:pStyle w:val="46"/>
              <w:numPr>
                <w:ilvl w:val="0"/>
                <w:numId w:val="35"/>
              </w:numPr>
              <w:autoSpaceDE w:val="0"/>
              <w:autoSpaceDN w:val="0"/>
              <w:adjustRightInd w:val="0"/>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Близина аеродрома „Бања Лука“</w:t>
            </w:r>
          </w:p>
          <w:p>
            <w:pPr>
              <w:pStyle w:val="46"/>
              <w:numPr>
                <w:ilvl w:val="0"/>
                <w:numId w:val="35"/>
              </w:numPr>
              <w:jc w:val="left"/>
              <w:rPr>
                <w:rFonts w:asciiTheme="minorHAnsi" w:hAnsiTheme="minorHAnsi" w:cstheme="minorHAnsi"/>
                <w:sz w:val="20"/>
                <w:szCs w:val="20"/>
                <w:lang w:val="bs-Latn-BA"/>
              </w:rPr>
            </w:pPr>
            <w:r>
              <w:rPr>
                <w:rFonts w:asciiTheme="minorHAnsi" w:hAnsiTheme="minorHAnsi" w:cstheme="minorHAnsi"/>
                <w:sz w:val="20"/>
                <w:szCs w:val="20"/>
                <w:lang w:val="bs-Latn-BA"/>
              </w:rPr>
              <w:t>Термални извори – усвојен Закон о бањама</w:t>
            </w:r>
          </w:p>
        </w:tc>
        <w:tc>
          <w:tcPr>
            <w:tcW w:w="5035" w:type="dxa"/>
          </w:tcPr>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Законска ограничења у дефинисању пакета олакшица за нове инвеститоре</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Неповољан општи политички амбијент у БиХ и региону</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Пријетња да град (п)остане само административни центар - изостанак развоја других капацитета града </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Негативна кретања на глобалнаом финансијском тржишту</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Пад прихода од индиректних пореза због мале стопе привредног развоја и вањског дуга РС-а </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Низак ниво страних инвестиција</w:t>
            </w:r>
          </w:p>
          <w:p>
            <w:pPr>
              <w:pStyle w:val="53"/>
              <w:numPr>
                <w:ilvl w:val="0"/>
                <w:numId w:val="35"/>
              </w:numPr>
              <w:shd w:val="clear" w:color="auto" w:fill="FFFFFF" w:themeFill="background1"/>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Недостатак средстава за улагање  у привреду и прерађивачку индустрију под повољним условима </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sz w:val="20"/>
                <w:szCs w:val="20"/>
                <w:lang w:val="bs-Latn-BA"/>
              </w:rPr>
              <w:t>Угрожавање локалне привреде нелојалном конкуренцијом (сива економија);</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Одлазак радно способних младих и висококвалификованих кадрова</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Супротстављени трендови на тржишту радне снаге – раст суфицитарних и пад дефицитарних занимања </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Неплански развој приградских подручја који не прати одговарајући инфраструктурни развој</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Повећање броја моторних возила са истом мрежом саобраћајне инфраструктуре </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Непоуздане евиденције и нејасни имовинско-правни односи, укључујући и имовину локалне самоуправе (због нехармонизованих закона)</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Компликовано и/или недовољно јасно законодавство на нивоу РС-а</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Непостојање генералне стратегије развоја РС и БиХ</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Недовољно стимулативан правни и финансијски оквир за развој предузећа у РС и БиХ одвраћа стране и домаће инвеститоре од улагања</w:t>
            </w:r>
          </w:p>
        </w:tc>
      </w:tr>
    </w:tbl>
    <w:p>
      <w:pPr>
        <w:jc w:val="both"/>
      </w:pPr>
    </w:p>
    <w:p>
      <w:pPr>
        <w:jc w:val="both"/>
        <w:rPr>
          <w:rFonts w:cstheme="minorHAnsi"/>
          <w:b/>
          <w:color w:val="1A1617"/>
          <w:shd w:val="clear" w:color="auto" w:fill="FFFFFF" w:themeFill="background1"/>
          <w:lang w:val="sr-Cyrl-RS"/>
        </w:rPr>
      </w:pPr>
      <w:r>
        <w:t xml:space="preserve">Како би се дефинисали секторски фокуси, конкурентске предности се издвајају и повезују се са приликама, а такође се повезују и слабости и пријетње. За потребе стратешког фокусирања у оквиру сектора економског развоја </w:t>
      </w:r>
      <w:r>
        <w:rPr>
          <w:lang w:val="sr-Cyrl-RS"/>
        </w:rPr>
        <w:t>је</w:t>
      </w:r>
      <w:r>
        <w:t>, поред повезивања предности и прилика и слабости и пријетњи, разматран и у</w:t>
      </w:r>
      <w:r>
        <w:rPr>
          <w:lang w:val="sr-Cyrl-RS"/>
        </w:rPr>
        <w:t>зет</w:t>
      </w:r>
      <w:r>
        <w:t xml:space="preserve"> у обзир и стратешки циљ који </w:t>
      </w:r>
      <w:r>
        <w:rPr>
          <w:lang w:val="sr-Cyrl-RS"/>
        </w:rPr>
        <w:t>је</w:t>
      </w:r>
      <w:r>
        <w:t xml:space="preserve"> примарно усмјерен на област локалног економског развоја. </w:t>
      </w:r>
      <w:r>
        <w:rPr>
          <w:lang w:val="sr-Cyrl-RS"/>
        </w:rPr>
        <w:t>Градски развојни тим Бања Луке</w:t>
      </w:r>
      <w:r>
        <w:t xml:space="preserve"> дефинисао је сљедеће </w:t>
      </w:r>
      <w:r>
        <w:rPr>
          <w:lang w:val="sr-Cyrl-RS"/>
        </w:rPr>
        <w:t xml:space="preserve">секторске </w:t>
      </w:r>
      <w:r>
        <w:t xml:space="preserve">фокусе економског развоја који произилазе из </w:t>
      </w:r>
      <w:r>
        <w:rPr>
          <w:b/>
        </w:rPr>
        <w:t>стратешког циља</w:t>
      </w:r>
      <w:r>
        <w:rPr>
          <w:lang w:val="sr-Cyrl-RS"/>
        </w:rPr>
        <w:t xml:space="preserve"> </w:t>
      </w:r>
      <w:r>
        <w:rPr>
          <w:rFonts w:cstheme="minorHAnsi"/>
          <w:b/>
          <w:color w:val="1A1617"/>
          <w:shd w:val="clear" w:color="auto" w:fill="FFFFFF" w:themeFill="background1"/>
          <w:lang w:val="bs-Latn-BA"/>
        </w:rPr>
        <w:t>1:</w:t>
      </w:r>
      <w:r>
        <w:rPr>
          <w:rFonts w:cstheme="minorHAnsi"/>
          <w:b/>
          <w:color w:val="1A1617"/>
          <w:shd w:val="clear" w:color="auto" w:fill="FFFFFF" w:themeFill="background1"/>
          <w:lang w:val="sr-Cyrl-CS"/>
        </w:rPr>
        <w:t xml:space="preserve"> </w:t>
      </w:r>
      <w:r>
        <w:rPr>
          <w:b/>
          <w:lang w:val="bs-Latn-BA"/>
        </w:rPr>
        <w:t>Град са повољним пословним окружењем, јаком и конкурентном привредом</w:t>
      </w:r>
      <w:r>
        <w:rPr>
          <w:b/>
          <w:lang w:val="sr-Cyrl-RS"/>
        </w:rPr>
        <w:t xml:space="preserve"> и растом домаћих и страних инвестиција:</w:t>
      </w:r>
    </w:p>
    <w:p>
      <w:pPr>
        <w:pStyle w:val="46"/>
        <w:numPr>
          <w:ilvl w:val="0"/>
          <w:numId w:val="49"/>
        </w:numPr>
        <w:ind w:left="360"/>
        <w:rPr>
          <w:lang w:val="hr-BA"/>
        </w:rPr>
      </w:pPr>
      <w:r>
        <w:rPr>
          <w:lang w:val="sr-Cyrl-RS"/>
        </w:rPr>
        <w:t>Потребно</w:t>
      </w:r>
      <w:r>
        <w:rPr>
          <w:lang w:val="hr-BA"/>
        </w:rPr>
        <w:t xml:space="preserve"> </w:t>
      </w:r>
      <w:r>
        <w:rPr>
          <w:lang w:val="sr-Cyrl-RS"/>
        </w:rPr>
        <w:t>је</w:t>
      </w:r>
      <w:r>
        <w:rPr>
          <w:lang w:val="hr-BA"/>
        </w:rPr>
        <w:t xml:space="preserve"> </w:t>
      </w:r>
      <w:r>
        <w:rPr>
          <w:b/>
          <w:lang w:val="sr-Cyrl-RS"/>
        </w:rPr>
        <w:t>систематски развијати и унапређивати повољно пословног окружење</w:t>
      </w:r>
      <w:r>
        <w:rPr>
          <w:lang w:val="sr-Cyrl-RS"/>
        </w:rPr>
        <w:t xml:space="preserve"> кроз низ мјера, подстицаја, скраћење административних процедура, јавно-приватни дијалог и јачање капацитета љуских ресурса у Одјељењу за ЛЕР и стратешко планирање и осталих запослених у градској администрацији, за управљање интегрисаним развојем,</w:t>
      </w:r>
    </w:p>
    <w:p>
      <w:pPr>
        <w:pStyle w:val="46"/>
        <w:numPr>
          <w:ilvl w:val="0"/>
          <w:numId w:val="49"/>
        </w:numPr>
        <w:ind w:left="360"/>
        <w:rPr>
          <w:lang w:val="hr-BA"/>
        </w:rPr>
      </w:pPr>
      <w:r>
        <w:rPr>
          <w:b/>
          <w:lang w:val="sr-Cyrl-RS"/>
        </w:rPr>
        <w:t>Рјешавати имовинске односе, инфраструктруно уређивати и плански регулисати локације за инвестирање</w:t>
      </w:r>
      <w:r>
        <w:rPr>
          <w:lang w:val="sr-Cyrl-RS"/>
        </w:rPr>
        <w:t>;</w:t>
      </w:r>
    </w:p>
    <w:p>
      <w:pPr>
        <w:pStyle w:val="46"/>
        <w:numPr>
          <w:ilvl w:val="0"/>
          <w:numId w:val="49"/>
        </w:numPr>
        <w:ind w:left="360"/>
        <w:rPr>
          <w:lang w:val="hr-BA"/>
        </w:rPr>
      </w:pPr>
      <w:r>
        <w:rPr>
          <w:lang w:val="sr-Cyrl-RS"/>
        </w:rPr>
        <w:t xml:space="preserve">Спроводити циљани маркетинг у циљу привлачења инвестиција, нарочито у дијелу </w:t>
      </w:r>
      <w:r>
        <w:rPr>
          <w:b/>
          <w:lang w:val="sr-Cyrl-RS"/>
        </w:rPr>
        <w:t>прерађивачке индустрије</w:t>
      </w:r>
      <w:r>
        <w:rPr>
          <w:lang w:val="sr-Cyrl-RS"/>
        </w:rPr>
        <w:t>;</w:t>
      </w:r>
    </w:p>
    <w:p>
      <w:pPr>
        <w:pStyle w:val="46"/>
        <w:numPr>
          <w:ilvl w:val="0"/>
          <w:numId w:val="49"/>
        </w:numPr>
        <w:ind w:left="360"/>
        <w:rPr>
          <w:lang w:val="hr-BA"/>
        </w:rPr>
      </w:pPr>
      <w:r>
        <w:rPr>
          <w:lang w:val="sr-Cyrl-RS"/>
        </w:rPr>
        <w:t xml:space="preserve">Пружити адекватну </w:t>
      </w:r>
      <w:r>
        <w:rPr>
          <w:b/>
          <w:lang w:val="sr-Cyrl-RS"/>
        </w:rPr>
        <w:t>подршку малим и средњим предузећима (МСП) и предузетницима</w:t>
      </w:r>
      <w:r>
        <w:rPr>
          <w:lang w:val="sr-Cyrl-RS"/>
        </w:rPr>
        <w:t xml:space="preserve"> у свим фазама развоја пословања, у складу са новом Стратегијом развоја МСП и предузетништва,</w:t>
      </w:r>
    </w:p>
    <w:p>
      <w:pPr>
        <w:pStyle w:val="46"/>
        <w:numPr>
          <w:ilvl w:val="0"/>
          <w:numId w:val="49"/>
        </w:numPr>
        <w:ind w:left="360"/>
        <w:rPr>
          <w:lang w:val="hr-BA"/>
        </w:rPr>
      </w:pPr>
      <w:r>
        <w:rPr>
          <w:lang w:val="sr-Cyrl-RS"/>
        </w:rPr>
        <w:t>С</w:t>
      </w:r>
      <w:r>
        <w:t>творити</w:t>
      </w:r>
      <w:r>
        <w:rPr>
          <w:lang w:val="hr-BA"/>
        </w:rPr>
        <w:t xml:space="preserve"> </w:t>
      </w:r>
      <w:r>
        <w:t>услове</w:t>
      </w:r>
      <w:r>
        <w:rPr>
          <w:lang w:val="hr-BA"/>
        </w:rPr>
        <w:t xml:space="preserve"> </w:t>
      </w:r>
      <w:r>
        <w:t>за</w:t>
      </w:r>
      <w:r>
        <w:rPr>
          <w:lang w:val="hr-BA"/>
        </w:rPr>
        <w:t xml:space="preserve"> </w:t>
      </w:r>
      <w:r>
        <w:rPr>
          <w:b/>
        </w:rPr>
        <w:t>развој</w:t>
      </w:r>
      <w:r>
        <w:rPr>
          <w:b/>
          <w:lang w:val="hr-BA"/>
        </w:rPr>
        <w:t xml:space="preserve"> </w:t>
      </w:r>
      <w:r>
        <w:rPr>
          <w:b/>
        </w:rPr>
        <w:t>конкурентне</w:t>
      </w:r>
      <w:r>
        <w:rPr>
          <w:b/>
          <w:lang w:val="hr-BA"/>
        </w:rPr>
        <w:t xml:space="preserve"> </w:t>
      </w:r>
      <w:r>
        <w:rPr>
          <w:b/>
        </w:rPr>
        <w:t>пољопривреде</w:t>
      </w:r>
      <w:r>
        <w:rPr>
          <w:lang w:val="hr-BA"/>
        </w:rPr>
        <w:t xml:space="preserve"> </w:t>
      </w:r>
      <w:r>
        <w:rPr>
          <w:lang w:val="sr-Cyrl-RS"/>
        </w:rPr>
        <w:t>и пружити адекватну институционалну подршку пољопривредним произвођачима,</w:t>
      </w:r>
    </w:p>
    <w:p>
      <w:pPr>
        <w:pStyle w:val="46"/>
        <w:numPr>
          <w:ilvl w:val="0"/>
          <w:numId w:val="50"/>
        </w:numPr>
        <w:spacing w:line="240" w:lineRule="auto"/>
        <w:ind w:left="360"/>
        <w:rPr>
          <w:rFonts w:cs="Helvetica"/>
          <w:color w:val="000000"/>
          <w:shd w:val="clear" w:color="auto" w:fill="FFFFFF"/>
          <w:lang w:val="hr-BA"/>
        </w:rPr>
      </w:pPr>
      <w:r>
        <w:t>Потребно</w:t>
      </w:r>
      <w:r>
        <w:rPr>
          <w:lang w:val="hr-BA"/>
        </w:rPr>
        <w:t xml:space="preserve"> </w:t>
      </w:r>
      <w:r>
        <w:t>је</w:t>
      </w:r>
      <w:r>
        <w:rPr>
          <w:lang w:val="hr-BA"/>
        </w:rPr>
        <w:t xml:space="preserve"> </w:t>
      </w:r>
      <w:r>
        <w:t>створити</w:t>
      </w:r>
      <w:r>
        <w:rPr>
          <w:lang w:val="hr-BA"/>
        </w:rPr>
        <w:t xml:space="preserve"> </w:t>
      </w:r>
      <w:r>
        <w:rPr>
          <w:b/>
        </w:rPr>
        <w:t>институционалне</w:t>
      </w:r>
      <w:r>
        <w:rPr>
          <w:b/>
          <w:lang w:val="hr-BA"/>
        </w:rPr>
        <w:t xml:space="preserve"> </w:t>
      </w:r>
      <w:r>
        <w:rPr>
          <w:b/>
        </w:rPr>
        <w:t>основе</w:t>
      </w:r>
      <w:r>
        <w:rPr>
          <w:b/>
          <w:lang w:val="hr-BA"/>
        </w:rPr>
        <w:t xml:space="preserve"> </w:t>
      </w:r>
      <w:r>
        <w:rPr>
          <w:b/>
        </w:rPr>
        <w:t>за</w:t>
      </w:r>
      <w:r>
        <w:rPr>
          <w:b/>
          <w:lang w:val="hr-BA"/>
        </w:rPr>
        <w:t xml:space="preserve"> </w:t>
      </w:r>
      <w:r>
        <w:rPr>
          <w:b/>
        </w:rPr>
        <w:t>развој</w:t>
      </w:r>
      <w:r>
        <w:rPr>
          <w:b/>
          <w:lang w:val="hr-BA"/>
        </w:rPr>
        <w:t xml:space="preserve"> </w:t>
      </w:r>
      <w:r>
        <w:rPr>
          <w:b/>
        </w:rPr>
        <w:t>туризма</w:t>
      </w:r>
      <w:r>
        <w:rPr>
          <w:lang w:val="hr-BA"/>
        </w:rPr>
        <w:t xml:space="preserve">, </w:t>
      </w:r>
      <w:r>
        <w:t>туристичког</w:t>
      </w:r>
      <w:r>
        <w:rPr>
          <w:lang w:val="hr-BA"/>
        </w:rPr>
        <w:t xml:space="preserve"> </w:t>
      </w:r>
      <w:r>
        <w:t>производа</w:t>
      </w:r>
      <w:r>
        <w:rPr>
          <w:lang w:val="hr-BA"/>
        </w:rPr>
        <w:t xml:space="preserve">, </w:t>
      </w:r>
      <w:r>
        <w:t>маркетинг</w:t>
      </w:r>
      <w:r>
        <w:rPr>
          <w:lang w:val="hr-BA"/>
        </w:rPr>
        <w:t xml:space="preserve"> </w:t>
      </w:r>
      <w:r>
        <w:t>туристичких</w:t>
      </w:r>
      <w:r>
        <w:rPr>
          <w:lang w:val="hr-BA"/>
        </w:rPr>
        <w:t xml:space="preserve"> </w:t>
      </w:r>
      <w:r>
        <w:t>потенцијала</w:t>
      </w:r>
      <w:r>
        <w:rPr>
          <w:lang w:val="hr-BA"/>
        </w:rPr>
        <w:t xml:space="preserve">, </w:t>
      </w:r>
      <w:r>
        <w:t>прије</w:t>
      </w:r>
      <w:r>
        <w:rPr>
          <w:lang w:val="hr-BA"/>
        </w:rPr>
        <w:t xml:space="preserve"> </w:t>
      </w:r>
      <w:r>
        <w:t>свега</w:t>
      </w:r>
      <w:r>
        <w:rPr>
          <w:lang w:val="hr-BA"/>
        </w:rPr>
        <w:t xml:space="preserve">, </w:t>
      </w:r>
      <w:r>
        <w:t>кроз</w:t>
      </w:r>
      <w:r>
        <w:rPr>
          <w:lang w:val="hr-BA"/>
        </w:rPr>
        <w:t xml:space="preserve"> </w:t>
      </w:r>
      <w:r>
        <w:t>јачање</w:t>
      </w:r>
      <w:r>
        <w:rPr>
          <w:lang w:val="hr-BA"/>
        </w:rPr>
        <w:t xml:space="preserve"> </w:t>
      </w:r>
      <w:r>
        <w:t>капацитета</w:t>
      </w:r>
      <w:r>
        <w:rPr>
          <w:lang w:val="sr-Cyrl-RS"/>
        </w:rPr>
        <w:t xml:space="preserve">. </w:t>
      </w:r>
      <w:r>
        <w:rPr>
          <w:lang w:val="hr-BA"/>
        </w:rPr>
        <w:t xml:space="preserve"> </w:t>
      </w:r>
      <w:r>
        <w:rPr>
          <w:lang w:val="sr-Cyrl-RS"/>
        </w:rPr>
        <w:t xml:space="preserve">У Граду Бања Лука </w:t>
      </w:r>
      <w:r>
        <w:t>постоје</w:t>
      </w:r>
      <w:r>
        <w:rPr>
          <w:lang w:val="hr-BA"/>
        </w:rPr>
        <w:t xml:space="preserve"> </w:t>
      </w:r>
      <w:r>
        <w:t>значајни</w:t>
      </w:r>
      <w:r>
        <w:rPr>
          <w:lang w:val="hr-BA"/>
        </w:rPr>
        <w:t xml:space="preserve"> </w:t>
      </w:r>
      <w:r>
        <w:t>туристички</w:t>
      </w:r>
      <w:r>
        <w:rPr>
          <w:lang w:val="hr-BA"/>
        </w:rPr>
        <w:t xml:space="preserve"> </w:t>
      </w:r>
      <w:r>
        <w:t>потенцијали</w:t>
      </w:r>
      <w:r>
        <w:rPr>
          <w:lang w:val="hr-BA"/>
        </w:rPr>
        <w:t xml:space="preserve"> </w:t>
      </w:r>
      <w:r>
        <w:t>који</w:t>
      </w:r>
      <w:r>
        <w:rPr>
          <w:lang w:val="hr-BA"/>
        </w:rPr>
        <w:t xml:space="preserve"> </w:t>
      </w:r>
      <w:r>
        <w:t>се</w:t>
      </w:r>
      <w:r>
        <w:rPr>
          <w:lang w:val="hr-BA"/>
        </w:rPr>
        <w:t xml:space="preserve"> </w:t>
      </w:r>
      <w:r>
        <w:t>могу</w:t>
      </w:r>
      <w:r>
        <w:rPr>
          <w:lang w:val="sr-Cyrl-RS"/>
        </w:rPr>
        <w:t xml:space="preserve"> унаприједити </w:t>
      </w:r>
      <w:r>
        <w:t>стављањем</w:t>
      </w:r>
      <w:r>
        <w:rPr>
          <w:lang w:val="hr-BA"/>
        </w:rPr>
        <w:t xml:space="preserve"> </w:t>
      </w:r>
      <w:r>
        <w:t>у</w:t>
      </w:r>
      <w:r>
        <w:rPr>
          <w:lang w:val="hr-BA"/>
        </w:rPr>
        <w:t xml:space="preserve"> </w:t>
      </w:r>
      <w:r>
        <w:t>функцију</w:t>
      </w:r>
      <w:r>
        <w:rPr>
          <w:lang w:val="hr-BA"/>
        </w:rPr>
        <w:t xml:space="preserve"> </w:t>
      </w:r>
      <w:r>
        <w:t>туристичких</w:t>
      </w:r>
      <w:r>
        <w:rPr>
          <w:lang w:val="hr-BA"/>
        </w:rPr>
        <w:t xml:space="preserve"> </w:t>
      </w:r>
      <w:r>
        <w:t>локалитета</w:t>
      </w:r>
      <w:r>
        <w:rPr>
          <w:lang w:val="hr-BA"/>
        </w:rPr>
        <w:t xml:space="preserve"> </w:t>
      </w:r>
      <w:r>
        <w:rPr>
          <w:lang w:val="sr-Cyrl-RS"/>
        </w:rPr>
        <w:t>који су запуштени или су недовоно искориштени, као и изградњом т</w:t>
      </w:r>
      <w:r>
        <w:t>уристичк</w:t>
      </w:r>
      <w:r>
        <w:rPr>
          <w:lang w:val="sr-Cyrl-RS"/>
        </w:rPr>
        <w:t>е</w:t>
      </w:r>
      <w:r>
        <w:rPr>
          <w:lang w:val="hr-BA"/>
        </w:rPr>
        <w:t xml:space="preserve"> </w:t>
      </w:r>
      <w:r>
        <w:t>инфраструктур</w:t>
      </w:r>
      <w:r>
        <w:rPr>
          <w:lang w:val="sr-Cyrl-RS"/>
        </w:rPr>
        <w:t>е.</w:t>
      </w:r>
    </w:p>
    <w:p>
      <w:pPr>
        <w:rPr>
          <w:rFonts w:cs="Helvetica"/>
          <w:color w:val="000000"/>
          <w:shd w:val="clear" w:color="auto" w:fill="FFFFFF"/>
        </w:rPr>
      </w:pPr>
    </w:p>
    <w:p>
      <w:pPr>
        <w:pStyle w:val="4"/>
        <w:rPr>
          <w:lang w:val="hr-BA"/>
        </w:rPr>
      </w:pPr>
      <w:bookmarkStart w:id="113" w:name="_Toc526761930"/>
      <w:bookmarkStart w:id="114" w:name="_Toc461719856"/>
      <w:bookmarkStart w:id="115" w:name="_Toc452886792"/>
      <w:bookmarkStart w:id="116" w:name="_Toc473095868"/>
      <w:r>
        <w:rPr>
          <w:lang w:val="hr-BA"/>
        </w:rPr>
        <w:t>V.2.1.</w:t>
      </w:r>
      <w:r>
        <w:rPr>
          <w:lang w:val="hr-BA"/>
        </w:rPr>
        <w:tab/>
      </w:r>
      <w:r>
        <w:t>Преглед</w:t>
      </w:r>
      <w:r>
        <w:rPr>
          <w:lang w:val="hr-BA"/>
        </w:rPr>
        <w:t xml:space="preserve"> </w:t>
      </w:r>
      <w:r>
        <w:t>секторских</w:t>
      </w:r>
      <w:r>
        <w:rPr>
          <w:lang w:val="hr-BA"/>
        </w:rPr>
        <w:t xml:space="preserve"> </w:t>
      </w:r>
      <w:r>
        <w:t>циљева</w:t>
      </w:r>
      <w:r>
        <w:rPr>
          <w:lang w:val="hr-BA"/>
        </w:rPr>
        <w:t xml:space="preserve"> </w:t>
      </w:r>
      <w:r>
        <w:rPr>
          <w:lang w:val="sr-Cyrl-RS"/>
        </w:rPr>
        <w:t xml:space="preserve">економског развоја </w:t>
      </w:r>
      <w:r>
        <w:t>са</w:t>
      </w:r>
      <w:r>
        <w:rPr>
          <w:lang w:val="hr-BA"/>
        </w:rPr>
        <w:t xml:space="preserve"> </w:t>
      </w:r>
      <w:r>
        <w:t>очекиваним</w:t>
      </w:r>
      <w:r>
        <w:rPr>
          <w:lang w:val="hr-BA"/>
        </w:rPr>
        <w:t xml:space="preserve"> </w:t>
      </w:r>
      <w:r>
        <w:t>исходима</w:t>
      </w:r>
      <w:r>
        <w:rPr>
          <w:lang w:val="hr-BA"/>
        </w:rPr>
        <w:t xml:space="preserve"> </w:t>
      </w:r>
      <w:r>
        <w:t>и</w:t>
      </w:r>
      <w:r>
        <w:rPr>
          <w:lang w:val="hr-BA"/>
        </w:rPr>
        <w:t xml:space="preserve"> </w:t>
      </w:r>
      <w:r>
        <w:t>индикаторима</w:t>
      </w:r>
      <w:bookmarkEnd w:id="113"/>
      <w:bookmarkEnd w:id="114"/>
      <w:bookmarkEnd w:id="115"/>
      <w:bookmarkEnd w:id="116"/>
    </w:p>
    <w:p>
      <w:pPr>
        <w:rPr>
          <w:rFonts w:cstheme="minorHAnsi"/>
          <w:b/>
          <w:color w:val="1A1617"/>
          <w:shd w:val="clear" w:color="auto" w:fill="FFFFFF" w:themeFill="background1"/>
          <w:lang w:val="bs-Latn-BA"/>
        </w:rPr>
      </w:pPr>
    </w:p>
    <w:tbl>
      <w:tblPr>
        <w:tblStyle w:val="36"/>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05"/>
        <w:gridCol w:w="3060"/>
        <w:gridCol w:w="3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3505" w:type="dxa"/>
            <w:shd w:val="clear" w:color="auto" w:fill="C5E0B3" w:themeFill="accent6" w:themeFillTint="66"/>
          </w:tcPr>
          <w:p>
            <w:pPr>
              <w:spacing w:before="120" w:after="120"/>
              <w:rPr>
                <w:rFonts w:cstheme="minorHAnsi"/>
                <w:b/>
                <w:lang w:val="bs-Latn-BA"/>
              </w:rPr>
            </w:pPr>
            <w:r>
              <w:rPr>
                <w:rFonts w:cstheme="minorHAnsi"/>
                <w:b/>
                <w:lang w:val="bs-Latn-BA"/>
              </w:rPr>
              <w:t>Секторски циљ</w:t>
            </w:r>
          </w:p>
        </w:tc>
        <w:tc>
          <w:tcPr>
            <w:tcW w:w="3060" w:type="dxa"/>
            <w:shd w:val="clear" w:color="auto" w:fill="C5E0B3" w:themeFill="accent6" w:themeFillTint="66"/>
          </w:tcPr>
          <w:p>
            <w:pPr>
              <w:spacing w:before="120" w:after="120"/>
              <w:rPr>
                <w:rFonts w:cstheme="minorHAnsi"/>
                <w:b/>
                <w:lang w:val="bs-Latn-BA"/>
              </w:rPr>
            </w:pPr>
            <w:r>
              <w:rPr>
                <w:rFonts w:cstheme="minorHAnsi"/>
                <w:b/>
                <w:lang w:val="bs-Latn-BA"/>
              </w:rPr>
              <w:t>Очекивани исход</w:t>
            </w:r>
          </w:p>
        </w:tc>
        <w:tc>
          <w:tcPr>
            <w:tcW w:w="3041" w:type="dxa"/>
            <w:shd w:val="clear" w:color="auto" w:fill="C5E0B3" w:themeFill="accent6" w:themeFillTint="66"/>
          </w:tcPr>
          <w:p>
            <w:pPr>
              <w:spacing w:before="120" w:after="120"/>
              <w:rPr>
                <w:rFonts w:cstheme="minorHAnsi"/>
                <w:b/>
                <w:lang w:val="bs-Latn-BA"/>
              </w:rPr>
            </w:pPr>
            <w:r>
              <w:rPr>
                <w:rFonts w:cstheme="minorHAnsi"/>
                <w:b/>
                <w:lang w:val="bs-Latn-BA"/>
              </w:rPr>
              <w:t>Индикатор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8" w:hRule="atLeast"/>
        </w:trPr>
        <w:tc>
          <w:tcPr>
            <w:tcW w:w="3505" w:type="dxa"/>
            <w:shd w:val="clear" w:color="auto" w:fill="FFFFFF" w:themeFill="background1"/>
          </w:tcPr>
          <w:p>
            <w:pPr>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 xml:space="preserve">Секторски циљ. 1.1.  </w:t>
            </w:r>
          </w:p>
          <w:p>
            <w:pPr>
              <w:rPr>
                <w:rFonts w:cstheme="minorHAnsi"/>
                <w:b/>
                <w:color w:val="1A1617"/>
                <w:shd w:val="clear" w:color="auto" w:fill="FFFFFF" w:themeFill="background1"/>
                <w:lang w:val="sr-Cyrl-RS"/>
              </w:rPr>
            </w:pPr>
          </w:p>
          <w:p>
            <w:pPr>
              <w:rPr>
                <w:rFonts w:cs="Calibri"/>
                <w:b/>
                <w:shd w:val="clear" w:color="auto" w:fill="FFFFFF"/>
                <w:lang w:val="sr-Cyrl-RS"/>
              </w:rPr>
            </w:pPr>
            <w:r>
              <w:rPr>
                <w:b/>
                <w:lang w:val="sr-Cyrl-BA"/>
              </w:rPr>
              <w:t xml:space="preserve">До краја 2022.г. унапређено пословно окружење и развијене нове и постојеће зоне за веће инвестирање </w:t>
            </w:r>
          </w:p>
          <w:p>
            <w:pPr>
              <w:rPr>
                <w:rFonts w:cstheme="minorHAnsi"/>
                <w:color w:val="1A1617"/>
                <w:lang w:val="sr-Cyrl-RS"/>
              </w:rPr>
            </w:pPr>
          </w:p>
          <w:p>
            <w:pPr>
              <w:rPr>
                <w:rFonts w:cstheme="minorHAnsi"/>
                <w:color w:val="1A1617"/>
                <w:shd w:val="clear" w:color="auto" w:fill="FFFFFF" w:themeFill="background1"/>
                <w:lang w:val="bs-Latn-BA"/>
              </w:rPr>
            </w:pPr>
          </w:p>
          <w:p>
            <w:pPr>
              <w:rPr>
                <w:rFonts w:cstheme="minorHAnsi"/>
                <w:lang w:val="bs-Latn-BA"/>
              </w:rPr>
            </w:pPr>
            <w:r>
              <w:rPr>
                <w:rFonts w:cstheme="minorHAnsi"/>
                <w:color w:val="1A1617"/>
                <w:lang w:val="bs-Latn-BA"/>
              </w:rPr>
              <w:br w:type="textWrapping"/>
            </w:r>
          </w:p>
        </w:tc>
        <w:tc>
          <w:tcPr>
            <w:tcW w:w="3060" w:type="dxa"/>
          </w:tcPr>
          <w:p>
            <w:pPr>
              <w:numPr>
                <w:ilvl w:val="0"/>
                <w:numId w:val="51"/>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1: До краја 2022. најмање 9 парцела у 3 зоне спремно за долазак инвеститора.</w:t>
            </w:r>
          </w:p>
          <w:p>
            <w:pPr>
              <w:numPr>
                <w:ilvl w:val="0"/>
                <w:numId w:val="51"/>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2: До краја 2022. стављене у функцију најмање 2 зоне за инвестирање</w:t>
            </w:r>
          </w:p>
          <w:p>
            <w:pPr>
              <w:numPr>
                <w:ilvl w:val="0"/>
                <w:numId w:val="51"/>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3: До краја 2022. године привучено најмање 5 нових инвеститора у односу на 2017. годину</w:t>
            </w:r>
          </w:p>
          <w:p>
            <w:pPr>
              <w:numPr>
                <w:ilvl w:val="0"/>
                <w:numId w:val="51"/>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4: До краја 2022. године привучено 20% више вриједности инвестиција у односу на 2017. годину</w:t>
            </w:r>
          </w:p>
        </w:tc>
        <w:tc>
          <w:tcPr>
            <w:tcW w:w="3041" w:type="dxa"/>
            <w:shd w:val="clear" w:color="auto" w:fill="FFFFFF" w:themeFill="background1"/>
          </w:tcPr>
          <w:p>
            <w:pPr>
              <w:numPr>
                <w:ilvl w:val="0"/>
                <w:numId w:val="52"/>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Број припремљених и опремљених зона за инвестирање  у функцији на подручју Града</w:t>
            </w:r>
          </w:p>
          <w:p>
            <w:pPr>
              <w:numPr>
                <w:ilvl w:val="0"/>
                <w:numId w:val="52"/>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Број парцела са рјешеним имовинским статусом у оквиру зона за инвестирање</w:t>
            </w:r>
          </w:p>
          <w:p>
            <w:pPr>
              <w:numPr>
                <w:ilvl w:val="0"/>
                <w:numId w:val="52"/>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Број и вриједност реализованих инвестиција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05" w:type="dxa"/>
          </w:tcPr>
          <w:p>
            <w:pPr>
              <w:shd w:val="clear" w:color="auto" w:fill="FFFFFF" w:themeFill="background1"/>
              <w:spacing w:before="120" w:after="120"/>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Секторски циљ 1.2:</w:t>
            </w:r>
          </w:p>
          <w:p>
            <w:pPr>
              <w:shd w:val="clear" w:color="auto" w:fill="FFFFFF" w:themeFill="background1"/>
              <w:spacing w:before="120" w:after="120"/>
              <w:rPr>
                <w:rFonts w:cstheme="minorHAnsi"/>
                <w:color w:val="1A1617"/>
                <w:shd w:val="clear" w:color="auto" w:fill="FFFFFF" w:themeFill="background1"/>
                <w:lang w:val="bs-Latn-BA"/>
              </w:rPr>
            </w:pPr>
            <w:r>
              <w:rPr>
                <w:rFonts w:cs="Calibri"/>
                <w:b/>
                <w:color w:val="1A1617"/>
                <w:shd w:val="clear" w:color="auto" w:fill="FFFFFF"/>
                <w:lang w:val="sr-Cyrl-RS"/>
              </w:rPr>
              <w:t xml:space="preserve">До краја 2022. године, повећана конкурентност МСП и предузетништва </w:t>
            </w:r>
          </w:p>
        </w:tc>
        <w:tc>
          <w:tcPr>
            <w:tcW w:w="3060" w:type="dxa"/>
          </w:tcPr>
          <w:p>
            <w:pPr>
              <w:numPr>
                <w:ilvl w:val="0"/>
                <w:numId w:val="53"/>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1: До краја 2022. године повећан број МСП на 1000 становника за 10% у односу на 2017.</w:t>
            </w:r>
          </w:p>
          <w:p>
            <w:pPr>
              <w:numPr>
                <w:ilvl w:val="0"/>
                <w:numId w:val="53"/>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2: До краја 2022. године повећан број предузетника на  1000 становника за  5% у односу на 2017.</w:t>
            </w:r>
          </w:p>
          <w:p>
            <w:pPr>
              <w:numPr>
                <w:ilvl w:val="0"/>
                <w:numId w:val="53"/>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3: До краја 2022. године повећан извоз за 20% у односу на 2017.</w:t>
            </w:r>
          </w:p>
          <w:p>
            <w:pPr>
              <w:numPr>
                <w:ilvl w:val="0"/>
                <w:numId w:val="53"/>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4: До краја 2022. године, броj запослених увећан за најмање 15% у односу на 2017. годину</w:t>
            </w:r>
          </w:p>
        </w:tc>
        <w:tc>
          <w:tcPr>
            <w:tcW w:w="3041" w:type="dxa"/>
          </w:tcPr>
          <w:p>
            <w:pPr>
              <w:numPr>
                <w:ilvl w:val="0"/>
                <w:numId w:val="53"/>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МСП</w:t>
            </w:r>
          </w:p>
          <w:p>
            <w:pPr>
              <w:numPr>
                <w:ilvl w:val="0"/>
                <w:numId w:val="53"/>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предузетника</w:t>
            </w:r>
          </w:p>
          <w:p>
            <w:pPr>
              <w:numPr>
                <w:ilvl w:val="0"/>
                <w:numId w:val="53"/>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Висина извоза по годинама</w:t>
            </w:r>
          </w:p>
          <w:p>
            <w:pPr>
              <w:numPr>
                <w:ilvl w:val="0"/>
                <w:numId w:val="53"/>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запослених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05" w:type="dxa"/>
          </w:tcPr>
          <w:p>
            <w:pPr>
              <w:shd w:val="clear" w:color="auto" w:fill="FFFFFF" w:themeFill="background1"/>
              <w:spacing w:before="120" w:after="120"/>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Секторски циљ 1.3</w:t>
            </w:r>
          </w:p>
          <w:p>
            <w:pPr>
              <w:shd w:val="clear" w:color="auto" w:fill="FFFFFF" w:themeFill="background1"/>
              <w:spacing w:before="120" w:after="120"/>
              <w:rPr>
                <w:rFonts w:cstheme="minorHAnsi"/>
                <w:b/>
                <w:color w:val="1A1617"/>
                <w:shd w:val="clear" w:color="auto" w:fill="FFFFFF" w:themeFill="background1"/>
                <w:lang w:val="bs-Latn-BA"/>
              </w:rPr>
            </w:pPr>
          </w:p>
          <w:p>
            <w:pPr>
              <w:shd w:val="clear" w:color="auto" w:fill="FFFFFF"/>
              <w:spacing w:before="120" w:after="120"/>
              <w:rPr>
                <w:rFonts w:cs="Calibri"/>
                <w:b/>
                <w:color w:val="1A1617"/>
                <w:shd w:val="clear" w:color="auto" w:fill="FFFFFF"/>
                <w:lang w:val="sr-Cyrl-RS"/>
              </w:rPr>
            </w:pPr>
            <w:r>
              <w:rPr>
                <w:rFonts w:cs="Calibri"/>
                <w:b/>
                <w:color w:val="1A1617"/>
                <w:shd w:val="clear" w:color="auto" w:fill="FFFFFF"/>
                <w:lang w:val="bs-Latn-BA"/>
              </w:rPr>
              <w:t>Развој пољопривреде</w:t>
            </w:r>
            <w:r>
              <w:rPr>
                <w:rFonts w:cs="Calibri"/>
                <w:b/>
                <w:color w:val="1A1617"/>
                <w:shd w:val="clear" w:color="auto" w:fill="FFFFFF"/>
                <w:lang w:val="sr-Cyrl-RS"/>
              </w:rPr>
              <w:t xml:space="preserve"> до краја 2022. године</w:t>
            </w:r>
          </w:p>
          <w:p>
            <w:pPr>
              <w:spacing w:before="120" w:after="120"/>
              <w:rPr>
                <w:rFonts w:cstheme="minorHAnsi"/>
                <w:b/>
                <w:lang w:val="sr-Cyrl-RS"/>
              </w:rPr>
            </w:pPr>
          </w:p>
        </w:tc>
        <w:tc>
          <w:tcPr>
            <w:tcW w:w="3060" w:type="dxa"/>
          </w:tcPr>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1: До краја 2022. повећан број регистрованих пољопривредних газдинстава за 10% у односу на 2017.</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2: До краја 2022. године повећани капацитете за складиштење, хлађење и сушење за најмање 20% у односу на 2017.</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3: До краја 2022. године, повећан приход од пољопривреде (сточарство, воћарство и повртларство) за 10% у односу на 2017.</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4: Органска пластеничка производња повећана за 30% у односу на 2017. годину</w:t>
            </w:r>
          </w:p>
        </w:tc>
        <w:tc>
          <w:tcPr>
            <w:tcW w:w="3041" w:type="dxa"/>
          </w:tcPr>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 xml:space="preserve">Број пољопривредних газдинстава </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Капацитети складишта за пољопривредне производе (у тонама)</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Капацитети хладњача (у тонама)</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Капацитети сушара (у тонама)</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Висина прихода од пољопривреде (сточарство, воћарство,повртларство)</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Висина прихода од пласмана на домаћем и страном тржишту</w:t>
            </w:r>
          </w:p>
          <w:p>
            <w:pPr>
              <w:numPr>
                <w:ilvl w:val="0"/>
                <w:numId w:val="54"/>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 xml:space="preserve">Количина органских производа прозведених у пластеницима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05" w:type="dxa"/>
          </w:tcPr>
          <w:p>
            <w:pPr>
              <w:shd w:val="clear" w:color="auto" w:fill="FFFFFF" w:themeFill="background1"/>
              <w:spacing w:before="120" w:after="120"/>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Секторски циљ 1.4</w:t>
            </w:r>
          </w:p>
          <w:p>
            <w:pPr>
              <w:shd w:val="clear" w:color="auto" w:fill="FFFFFF" w:themeFill="background1"/>
              <w:spacing w:before="120" w:after="120"/>
              <w:rPr>
                <w:rFonts w:cstheme="minorHAnsi"/>
                <w:b/>
                <w:color w:val="1A1617"/>
                <w:shd w:val="clear" w:color="auto" w:fill="FFFFFF" w:themeFill="background1"/>
                <w:lang w:val="bs-Latn-BA"/>
              </w:rPr>
            </w:pPr>
          </w:p>
          <w:p>
            <w:pPr>
              <w:shd w:val="clear" w:color="auto" w:fill="FFFFFF"/>
              <w:spacing w:before="120" w:after="120"/>
              <w:rPr>
                <w:rFonts w:cs="Calibri"/>
                <w:b/>
                <w:color w:val="1A1617"/>
                <w:shd w:val="clear" w:color="auto" w:fill="FFFFFF"/>
                <w:lang w:val="sr-Cyrl-RS"/>
              </w:rPr>
            </w:pPr>
            <w:r>
              <w:rPr>
                <w:rFonts w:cs="Calibri"/>
                <w:b/>
                <w:color w:val="1A1617"/>
                <w:shd w:val="clear" w:color="auto" w:fill="FFFFFF"/>
                <w:lang w:val="bs-Latn-BA"/>
              </w:rPr>
              <w:t xml:space="preserve">Развој </w:t>
            </w:r>
            <w:r>
              <w:rPr>
                <w:rFonts w:cs="Calibri"/>
                <w:b/>
                <w:color w:val="1A1617"/>
                <w:shd w:val="clear" w:color="auto" w:fill="FFFFFF"/>
                <w:lang w:val="sr-Cyrl-RS"/>
              </w:rPr>
              <w:t>туризма до краја 2022. године</w:t>
            </w:r>
          </w:p>
          <w:p>
            <w:pPr>
              <w:spacing w:before="120" w:after="120"/>
              <w:rPr>
                <w:rFonts w:cstheme="minorHAnsi"/>
                <w:color w:val="FF0000"/>
                <w:lang w:val="sr-Cyrl-RS"/>
              </w:rPr>
            </w:pPr>
          </w:p>
        </w:tc>
        <w:tc>
          <w:tcPr>
            <w:tcW w:w="3060" w:type="dxa"/>
          </w:tcPr>
          <w:p>
            <w:pPr>
              <w:numPr>
                <w:ilvl w:val="0"/>
                <w:numId w:val="55"/>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1: До краја 2022. године повећан број лежајева за 25% у односу на 2017. годину</w:t>
            </w:r>
          </w:p>
          <w:p>
            <w:pPr>
              <w:numPr>
                <w:ilvl w:val="0"/>
                <w:numId w:val="55"/>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2: До краја 2022. године повећан број ноћења туриста за 30% у односу на 2017. годину</w:t>
            </w:r>
          </w:p>
          <w:p>
            <w:pPr>
              <w:numPr>
                <w:ilvl w:val="0"/>
                <w:numId w:val="55"/>
              </w:numPr>
              <w:spacing w:before="120" w:after="120"/>
              <w:rPr>
                <w:rFonts w:cstheme="minorHAnsi"/>
                <w:color w:val="1A1617"/>
                <w:shd w:val="clear" w:color="auto" w:fill="FFFFFF" w:themeFill="background1"/>
                <w:lang w:val="sr-Cyrl-RS"/>
              </w:rPr>
            </w:pPr>
            <w:r>
              <w:rPr>
                <w:rFonts w:cstheme="minorHAnsi"/>
                <w:color w:val="1A1617"/>
                <w:shd w:val="clear" w:color="auto" w:fill="FFFFFF" w:themeFill="background1"/>
                <w:lang w:val="sr-Cyrl-RS"/>
              </w:rPr>
              <w:t>Исход 3: До краја 2022. године повећан приход од боравишне таксе за 35% у односу на 2017. годину</w:t>
            </w:r>
          </w:p>
        </w:tc>
        <w:tc>
          <w:tcPr>
            <w:tcW w:w="3041" w:type="dxa"/>
          </w:tcPr>
          <w:p>
            <w:pPr>
              <w:numPr>
                <w:ilvl w:val="0"/>
                <w:numId w:val="55"/>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лежајева у приватном и хотелском смјештају</w:t>
            </w:r>
          </w:p>
          <w:p>
            <w:pPr>
              <w:numPr>
                <w:ilvl w:val="0"/>
                <w:numId w:val="55"/>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ноћења туриста</w:t>
            </w:r>
          </w:p>
          <w:p>
            <w:pPr>
              <w:numPr>
                <w:ilvl w:val="0"/>
                <w:numId w:val="55"/>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Приход од боравишне таксе</w:t>
            </w:r>
          </w:p>
        </w:tc>
      </w:tr>
    </w:tbl>
    <w:p>
      <w:pPr>
        <w:rPr>
          <w:lang w:val="en-US"/>
        </w:rPr>
      </w:pPr>
    </w:p>
    <w:p>
      <w:pPr>
        <w:pStyle w:val="4"/>
      </w:pPr>
      <w:bookmarkStart w:id="117" w:name="_Toc473095869"/>
      <w:bookmarkStart w:id="118" w:name="_Toc526761931"/>
      <w:r>
        <w:t>V.2.2. Усклађеност са стратешким документима виших нивоа</w:t>
      </w:r>
      <w:bookmarkEnd w:id="117"/>
      <w:bookmarkEnd w:id="118"/>
    </w:p>
    <w:p>
      <w:pPr>
        <w:jc w:val="both"/>
        <w:rPr>
          <w:rFonts w:asciiTheme="minorHAnsi" w:hAnsiTheme="minorHAnsi" w:cstheme="minorHAnsi"/>
          <w:lang w:val="sr-Cyrl-RS"/>
        </w:rPr>
      </w:pPr>
      <w:r>
        <w:rPr>
          <w:b/>
        </w:rPr>
        <w:t xml:space="preserve">Први </w:t>
      </w:r>
      <w:r>
        <w:rPr>
          <w:b/>
          <w:lang w:val="sr-Cyrl-RS"/>
        </w:rPr>
        <w:t xml:space="preserve">секторски </w:t>
      </w:r>
      <w:r>
        <w:rPr>
          <w:b/>
        </w:rPr>
        <w:t>циљ економског развоја</w:t>
      </w:r>
      <w:r>
        <w:t xml:space="preserve"> у складу је са стратешким циље</w:t>
      </w:r>
      <w:r>
        <w:rPr>
          <w:lang w:val="sr-Cyrl-RS"/>
        </w:rPr>
        <w:t xml:space="preserve">м </w:t>
      </w:r>
      <w:r>
        <w:rPr>
          <w:rFonts w:cstheme="minorHAnsi"/>
          <w:b/>
          <w:color w:val="1A1617"/>
          <w:shd w:val="clear" w:color="auto" w:fill="FFFFFF" w:themeFill="background1"/>
          <w:lang w:val="bs-Latn-BA"/>
        </w:rPr>
        <w:t>1</w:t>
      </w:r>
      <w:r>
        <w:rPr>
          <w:rFonts w:cstheme="minorHAnsi"/>
          <w:b/>
          <w:color w:val="1A1617"/>
          <w:shd w:val="clear" w:color="auto" w:fill="FFFFFF" w:themeFill="background1"/>
          <w:lang w:val="sr-Cyrl-RS"/>
        </w:rPr>
        <w:t xml:space="preserve">. </w:t>
      </w:r>
      <w:r>
        <w:rPr>
          <w:b/>
          <w:lang w:val="bs-Latn-BA"/>
        </w:rPr>
        <w:t>Град са повољним пословним окружењем, јаком и конкурентном привредом</w:t>
      </w:r>
      <w:r>
        <w:rPr>
          <w:lang w:val="sr-Cyrl-RS"/>
        </w:rPr>
        <w:t xml:space="preserve">, важећом просторно-планском документацијом (Просторни план усвојен 2014. године и постојећим регулационим плановима – нови Урбанистички план је у процесу израде), критеријумима прописаним </w:t>
      </w:r>
      <w:r>
        <w:rPr>
          <w:lang w:val="en-US"/>
        </w:rPr>
        <w:t>BFC</w:t>
      </w:r>
      <w:r>
        <w:rPr>
          <w:lang w:val="sr-Cyrl-RS"/>
        </w:rPr>
        <w:t xml:space="preserve"> </w:t>
      </w:r>
      <w:r>
        <w:rPr>
          <w:lang w:val="en-US"/>
        </w:rPr>
        <w:t>SEE</w:t>
      </w:r>
      <w:r>
        <w:rPr>
          <w:lang w:val="sr-Cyrl-RS"/>
        </w:rPr>
        <w:t xml:space="preserve"> стандардом, Стратегијом подстицања страних улагања у Републику Српску од 2016-2020. године, којом се подстиче развој локација за инвестирање и привлачење директних домаћих и страних инвестиција, </w:t>
      </w:r>
      <w:r>
        <w:rPr>
          <w:rFonts w:asciiTheme="minorHAnsi" w:hAnsiTheme="minorHAnsi" w:cstheme="minorHAnsi"/>
          <w:lang w:val="sr-Cyrl-RS"/>
        </w:rPr>
        <w:t>Стратегијом и политиком развоја индустрије Републике Српске за период 2016–2020. године. На локалном нивоу од значаја су израђени елаборат о пословним зона, као и План капиталних инвестиција за период 2018-2020. године.</w:t>
      </w:r>
    </w:p>
    <w:p>
      <w:pPr>
        <w:jc w:val="both"/>
        <w:rPr>
          <w:rFonts w:asciiTheme="minorHAnsi" w:hAnsiTheme="minorHAnsi" w:cstheme="minorHAnsi"/>
          <w:lang w:val="sr-Cyrl-RS"/>
        </w:rPr>
      </w:pPr>
    </w:p>
    <w:p>
      <w:pPr>
        <w:jc w:val="both"/>
        <w:rPr>
          <w:rFonts w:asciiTheme="minorHAnsi" w:hAnsiTheme="minorHAnsi" w:cstheme="minorHAnsi"/>
          <w:lang w:val="sr-Cyrl-RS"/>
        </w:rPr>
      </w:pPr>
      <w:r>
        <w:rPr>
          <w:rFonts w:asciiTheme="minorHAnsi" w:hAnsiTheme="minorHAnsi" w:cstheme="minorHAnsi"/>
          <w:b/>
          <w:lang w:val="sr-Cyrl-RS"/>
        </w:rPr>
        <w:t xml:space="preserve">Други секторски циљ економског развоја </w:t>
      </w:r>
      <w:r>
        <w:rPr>
          <w:rFonts w:asciiTheme="minorHAnsi" w:hAnsiTheme="minorHAnsi" w:cstheme="minorHAnsi"/>
          <w:lang w:val="sr-Cyrl-RS"/>
        </w:rPr>
        <w:t xml:space="preserve">усклађен је са важећим законима и прописима Републике Српске (Закон о малим и средњим предузећима) и регулативом Европске уније (Акт о малим предузећима), Стратегијом развоја малих и средњих предузећа у Републици Српској 2016 – 2020. године, у континуитету са локалном стратегијом развоја сектора МСП и предузетништва 2010-2015.(израда нове је планирана у 2019. години). </w:t>
      </w:r>
    </w:p>
    <w:p>
      <w:pPr>
        <w:jc w:val="both"/>
        <w:rPr>
          <w:rFonts w:asciiTheme="minorHAnsi" w:hAnsiTheme="minorHAnsi" w:cstheme="minorHAnsi"/>
          <w:lang w:val="sr-Cyrl-RS"/>
        </w:rPr>
      </w:pPr>
    </w:p>
    <w:p>
      <w:pPr>
        <w:jc w:val="both"/>
        <w:rPr>
          <w:rFonts w:asciiTheme="minorHAnsi" w:hAnsiTheme="minorHAnsi" w:cstheme="minorHAnsi"/>
          <w:lang w:val="sr-Cyrl-RS"/>
        </w:rPr>
      </w:pPr>
      <w:r>
        <w:rPr>
          <w:rFonts w:asciiTheme="minorHAnsi" w:hAnsiTheme="minorHAnsi" w:cstheme="minorHAnsi"/>
          <w:b/>
          <w:lang w:val="sr-Cyrl-RS"/>
        </w:rPr>
        <w:t xml:space="preserve">Трећи секторски циљ економског развоја </w:t>
      </w:r>
      <w:r>
        <w:rPr>
          <w:rFonts w:asciiTheme="minorHAnsi" w:hAnsiTheme="minorHAnsi" w:cstheme="minorHAnsi"/>
          <w:lang w:val="sr-Cyrl-RS"/>
        </w:rPr>
        <w:t xml:space="preserve">усклађен је са Стратешким планом развоја пољопривреде и руралних подручја Републике Српске за период 2016-2020. године, а на локалном нивоу ће се већ у 2019. започети са израдом нове Стратегије руралног развоја (претходна је важила за период 2010-2015.). Израђене су и двије студије, које су узете у обзир у процесу стратешког планирања: </w:t>
      </w:r>
      <w:r>
        <w:rPr>
          <w:lang w:val="sr-Cyrl-RS"/>
        </w:rPr>
        <w:t>″Рурални интегрални развој на подручју кањона Врбаса и платоа Мањаче″ и ″Интегрални рурални развој на подручју сјеверозападног дијела града Бање Луке″.</w:t>
      </w:r>
    </w:p>
    <w:p>
      <w:pPr>
        <w:jc w:val="both"/>
        <w:rPr>
          <w:rFonts w:asciiTheme="minorHAnsi" w:hAnsiTheme="minorHAnsi" w:cstheme="minorHAnsi"/>
          <w:lang w:val="sr-Cyrl-RS"/>
        </w:rPr>
      </w:pPr>
    </w:p>
    <w:p>
      <w:pPr>
        <w:jc w:val="both"/>
        <w:rPr>
          <w:rFonts w:asciiTheme="minorHAnsi" w:hAnsiTheme="minorHAnsi" w:cstheme="minorHAnsi"/>
          <w:lang w:val="sr-Cyrl-RS"/>
        </w:rPr>
      </w:pPr>
      <w:r>
        <w:rPr>
          <w:rFonts w:asciiTheme="minorHAnsi" w:hAnsiTheme="minorHAnsi" w:cstheme="minorHAnsi"/>
          <w:b/>
          <w:lang w:val="sr-Cyrl-RS"/>
        </w:rPr>
        <w:t xml:space="preserve">Четврти секторски циљ економског развоја </w:t>
      </w:r>
      <w:r>
        <w:rPr>
          <w:rFonts w:asciiTheme="minorHAnsi" w:hAnsiTheme="minorHAnsi" w:cstheme="minorHAnsi"/>
          <w:lang w:val="sr-Cyrl-RS"/>
        </w:rPr>
        <w:t xml:space="preserve">у складу је са Стратегијом развоја туризма у Републици Српској 2011–2020. године. Стратешки оквир на локалном нивоу детаљније ће дати нова Стратегија развоја туризма (стара Стратегија развоја туризма израђена је за период 2013-2020. и још увијек је важећа, али је потребно је да се ревидира, изради нова и усклади са тренутним налазима и потребама). </w:t>
      </w:r>
    </w:p>
    <w:p>
      <w:pPr>
        <w:jc w:val="both"/>
        <w:rPr>
          <w:rFonts w:asciiTheme="minorHAnsi" w:hAnsiTheme="minorHAnsi" w:cstheme="minorHAnsi"/>
          <w:szCs w:val="18"/>
          <w:lang w:val="sr-Cyrl-RS"/>
        </w:rPr>
      </w:pPr>
    </w:p>
    <w:p>
      <w:pPr>
        <w:pStyle w:val="4"/>
        <w:rPr>
          <w:lang w:val="sr-Cyrl-RS"/>
        </w:rPr>
      </w:pPr>
      <w:bookmarkStart w:id="119" w:name="_Toc473095870"/>
      <w:bookmarkStart w:id="120" w:name="_Toc526761932"/>
      <w:r>
        <w:t>V</w:t>
      </w:r>
      <w:r>
        <w:rPr>
          <w:lang w:val="sr-Cyrl-RS"/>
        </w:rPr>
        <w:t>.2.3. Иницијативе међуопштинске сарадње</w:t>
      </w:r>
      <w:bookmarkEnd w:id="119"/>
      <w:bookmarkEnd w:id="120"/>
      <w:r>
        <w:rPr>
          <w:lang w:val="sr-Cyrl-RS"/>
        </w:rPr>
        <w:t xml:space="preserve"> </w:t>
      </w:r>
    </w:p>
    <w:p>
      <w:pPr>
        <w:pStyle w:val="13"/>
        <w:spacing w:after="120"/>
        <w:jc w:val="both"/>
        <w:rPr>
          <w:rFonts w:eastAsia="Times New Roman" w:cs="Calibri"/>
          <w:bCs/>
          <w:kern w:val="32"/>
          <w:sz w:val="22"/>
          <w:szCs w:val="22"/>
          <w:lang w:val="sr-Cyrl-RS"/>
        </w:rPr>
      </w:pPr>
      <w:r>
        <w:rPr>
          <w:rFonts w:eastAsia="Times New Roman" w:cs="Calibri"/>
          <w:bCs/>
          <w:kern w:val="32"/>
          <w:sz w:val="22"/>
          <w:szCs w:val="22"/>
          <w:lang w:val="sr-Cyrl-RS"/>
        </w:rPr>
        <w:t>Као регионални центар и административно сједиште институција Републике Српске, Бања Лука континуирано и на свакодневној основи сарађује са другим јединицама локалне самоуправе на усаглашавању стратешког приступа економском развоју, лидер је и примјер другим градовима и општинама.</w:t>
      </w:r>
    </w:p>
    <w:p>
      <w:pPr>
        <w:pStyle w:val="13"/>
        <w:spacing w:after="120"/>
        <w:jc w:val="both"/>
        <w:rPr>
          <w:rFonts w:eastAsia="Times New Roman" w:cs="Calibri"/>
          <w:bCs/>
          <w:kern w:val="32"/>
          <w:sz w:val="22"/>
          <w:szCs w:val="22"/>
          <w:lang w:val="sr-Cyrl-RS"/>
        </w:rPr>
      </w:pPr>
      <w:r>
        <w:rPr>
          <w:rFonts w:eastAsia="Times New Roman" w:cs="Calibri"/>
          <w:bCs/>
          <w:kern w:val="32"/>
          <w:sz w:val="22"/>
          <w:szCs w:val="22"/>
        </w:rPr>
        <w:t xml:space="preserve">У области економског развоја постоје бројне могућности за заједничко дјеловања са сусједним </w:t>
      </w:r>
      <w:r>
        <w:rPr>
          <w:rFonts w:eastAsia="Times New Roman" w:cs="Calibri"/>
          <w:bCs/>
          <w:kern w:val="32"/>
          <w:sz w:val="22"/>
          <w:szCs w:val="22"/>
          <w:lang w:val="sr-Cyrl-RS"/>
        </w:rPr>
        <w:t xml:space="preserve">градовима и </w:t>
      </w:r>
      <w:r>
        <w:rPr>
          <w:rFonts w:eastAsia="Times New Roman" w:cs="Calibri"/>
          <w:bCs/>
          <w:kern w:val="32"/>
          <w:sz w:val="22"/>
          <w:szCs w:val="22"/>
        </w:rPr>
        <w:t>општинама у области</w:t>
      </w:r>
      <w:r>
        <w:rPr>
          <w:rFonts w:eastAsia="Times New Roman" w:cs="Calibri"/>
          <w:bCs/>
          <w:kern w:val="32"/>
          <w:sz w:val="22"/>
          <w:szCs w:val="22"/>
          <w:lang w:val="sr-Cyrl-RS"/>
        </w:rPr>
        <w:t xml:space="preserve"> територијалног маркетинга и развоја регионалне туристичке понуде. </w:t>
      </w:r>
      <w:r>
        <w:rPr>
          <w:rFonts w:eastAsia="Times New Roman" w:cs="Calibri"/>
          <w:bCs/>
          <w:kern w:val="32"/>
          <w:sz w:val="22"/>
          <w:szCs w:val="22"/>
        </w:rPr>
        <w:t>Међуопштинску сарадњу је могуће развијати и у области унапређења пословног окружења, кроз предлагање заједничких иницијатива, добијених путем јавно-приватног дијалога, за измјене и побољшање прописа који се односе на пословање МСП и предузетништва. Сарадња и размјена искустава могућа је управо у имплементацији успостављених модела удруживања МСП и предузетника, као и пољопривредника, нарочито у смислу добре сарадње локалне самоуправе и удружења, као што је на примјер системска подршка удружењима МСП и пољопривредницима</w:t>
      </w:r>
      <w:r>
        <w:rPr>
          <w:rFonts w:eastAsia="Times New Roman" w:cs="Calibri"/>
          <w:bCs/>
          <w:kern w:val="32"/>
          <w:sz w:val="22"/>
          <w:szCs w:val="22"/>
          <w:lang w:val="sr-Cyrl-RS"/>
        </w:rPr>
        <w:t>.</w:t>
      </w:r>
    </w:p>
    <w:p>
      <w:pPr>
        <w:pStyle w:val="13"/>
        <w:spacing w:after="120"/>
        <w:jc w:val="both"/>
        <w:rPr>
          <w:rFonts w:eastAsia="Times New Roman" w:cs="Calibri"/>
          <w:bCs/>
          <w:kern w:val="32"/>
          <w:sz w:val="22"/>
          <w:szCs w:val="22"/>
        </w:rPr>
      </w:pPr>
      <w:r>
        <w:rPr>
          <w:rFonts w:eastAsia="Times New Roman" w:cs="Calibri"/>
          <w:bCs/>
          <w:kern w:val="32"/>
          <w:sz w:val="22"/>
          <w:szCs w:val="22"/>
        </w:rPr>
        <w:t xml:space="preserve">Имајући у виду неопходно усклађивање образовних програма и тржишта рада са исказаним потребама приватног сектора за радном снагом, поред редовног образовања у средњим стручним школама, потребно је развијати и механизме неформалног образовања, који су скупи и комплексни, те их је </w:t>
      </w:r>
      <w:r>
        <w:rPr>
          <w:rFonts w:eastAsia="Times New Roman" w:cs="Calibri"/>
          <w:bCs/>
          <w:kern w:val="32"/>
          <w:sz w:val="22"/>
          <w:szCs w:val="22"/>
          <w:lang w:val="sr-Cyrl-RS"/>
        </w:rPr>
        <w:t>боље</w:t>
      </w:r>
      <w:r>
        <w:rPr>
          <w:rFonts w:eastAsia="Times New Roman" w:cs="Calibri"/>
          <w:bCs/>
          <w:kern w:val="32"/>
          <w:sz w:val="22"/>
          <w:szCs w:val="22"/>
        </w:rPr>
        <w:t xml:space="preserve"> развијати </w:t>
      </w:r>
      <w:r>
        <w:rPr>
          <w:rFonts w:eastAsia="Times New Roman" w:cs="Calibri"/>
          <w:bCs/>
          <w:kern w:val="32"/>
          <w:sz w:val="22"/>
          <w:szCs w:val="22"/>
          <w:lang w:val="sr-Cyrl-RS"/>
        </w:rPr>
        <w:t>на регионалном нивоу и укључити и друге, мање општине у ове механизме</w:t>
      </w:r>
      <w:r>
        <w:rPr>
          <w:rFonts w:eastAsia="Times New Roman" w:cs="Calibri"/>
          <w:bCs/>
          <w:kern w:val="32"/>
          <w:sz w:val="22"/>
          <w:szCs w:val="22"/>
        </w:rPr>
        <w:t>. Креирање заједничког система за доквалификацију и преквалификацију радне снаге са више сусједних општина, треба узети у разматрање у наредном десетогодишњем периоду.</w:t>
      </w:r>
    </w:p>
    <w:p>
      <w:pPr>
        <w:pStyle w:val="13"/>
        <w:spacing w:after="120"/>
        <w:jc w:val="both"/>
        <w:rPr>
          <w:rFonts w:eastAsia="Times New Roman" w:cs="Calibri"/>
          <w:bCs/>
          <w:kern w:val="32"/>
          <w:sz w:val="22"/>
          <w:szCs w:val="22"/>
          <w:lang w:val="sr-Cyrl-RS"/>
        </w:rPr>
      </w:pPr>
      <w:r>
        <w:rPr>
          <w:rFonts w:eastAsia="Times New Roman" w:cs="Calibri"/>
          <w:bCs/>
          <w:kern w:val="32"/>
          <w:sz w:val="22"/>
          <w:szCs w:val="22"/>
        </w:rPr>
        <w:t>На крају, међуопштинску сарадњу треба развијати и у области изградње саобраћајне инфраструктуре ради бољег повезивања сусједних општина и обезбјеђивања квалитетнијег протока људи, роба и услуга</w:t>
      </w:r>
      <w:r>
        <w:rPr>
          <w:rFonts w:eastAsia="Times New Roman" w:cs="Calibri"/>
          <w:bCs/>
          <w:kern w:val="32"/>
          <w:sz w:val="22"/>
          <w:szCs w:val="22"/>
          <w:lang w:val="sr-Cyrl-RS"/>
        </w:rPr>
        <w:t>.</w:t>
      </w:r>
    </w:p>
    <w:p>
      <w:pPr>
        <w:pStyle w:val="13"/>
        <w:spacing w:after="120"/>
        <w:jc w:val="both"/>
        <w:rPr>
          <w:rFonts w:eastAsia="Times New Roman" w:cs="Calibri"/>
          <w:bCs/>
          <w:kern w:val="32"/>
          <w:sz w:val="22"/>
          <w:szCs w:val="22"/>
        </w:rPr>
      </w:pPr>
      <w:r>
        <w:rPr>
          <w:rFonts w:eastAsia="Times New Roman" w:cs="Calibri"/>
          <w:bCs/>
          <w:kern w:val="32"/>
          <w:sz w:val="22"/>
          <w:szCs w:val="22"/>
        </w:rPr>
        <w:t>Препознате области за међуопштинску сарадњу укључују:</w:t>
      </w:r>
    </w:p>
    <w:p>
      <w:pPr>
        <w:pStyle w:val="13"/>
        <w:numPr>
          <w:ilvl w:val="0"/>
          <w:numId w:val="56"/>
        </w:numPr>
        <w:spacing w:after="120"/>
        <w:jc w:val="both"/>
        <w:rPr>
          <w:rFonts w:eastAsia="Times New Roman" w:cs="Calibri"/>
          <w:bCs/>
          <w:kern w:val="32"/>
          <w:sz w:val="22"/>
          <w:szCs w:val="22"/>
        </w:rPr>
      </w:pPr>
      <w:r>
        <w:rPr>
          <w:rFonts w:eastAsia="Times New Roman" w:cs="Calibri"/>
          <w:bCs/>
          <w:kern w:val="32"/>
          <w:sz w:val="22"/>
          <w:szCs w:val="22"/>
        </w:rPr>
        <w:t>Територијални маркетинг у циљу привлачења инвестиција;</w:t>
      </w:r>
    </w:p>
    <w:p>
      <w:pPr>
        <w:pStyle w:val="13"/>
        <w:numPr>
          <w:ilvl w:val="0"/>
          <w:numId w:val="56"/>
        </w:numPr>
        <w:spacing w:after="120"/>
        <w:jc w:val="both"/>
        <w:rPr>
          <w:rFonts w:eastAsia="Times New Roman" w:cs="Calibri"/>
          <w:bCs/>
          <w:kern w:val="32"/>
          <w:sz w:val="22"/>
          <w:szCs w:val="22"/>
        </w:rPr>
      </w:pPr>
      <w:r>
        <w:rPr>
          <w:rFonts w:eastAsia="Times New Roman" w:cs="Calibri"/>
          <w:bCs/>
          <w:kern w:val="32"/>
          <w:sz w:val="22"/>
          <w:szCs w:val="22"/>
        </w:rPr>
        <w:t>Размјену знања и искустава са другим ЈЛС у циљу унапређења капацитета за локални економски развој;</w:t>
      </w:r>
    </w:p>
    <w:p>
      <w:pPr>
        <w:pStyle w:val="13"/>
        <w:numPr>
          <w:ilvl w:val="0"/>
          <w:numId w:val="56"/>
        </w:numPr>
        <w:spacing w:after="120"/>
        <w:jc w:val="both"/>
        <w:rPr>
          <w:rFonts w:eastAsia="Times New Roman" w:cs="Calibri"/>
          <w:bCs/>
          <w:kern w:val="32"/>
          <w:sz w:val="22"/>
          <w:szCs w:val="22"/>
        </w:rPr>
      </w:pPr>
      <w:r>
        <w:rPr>
          <w:rFonts w:eastAsia="Times New Roman" w:cs="Calibri"/>
          <w:bCs/>
          <w:kern w:val="32"/>
          <w:sz w:val="22"/>
          <w:szCs w:val="22"/>
        </w:rPr>
        <w:t>Спровођење заједничких иницијатива за измјену и унапређење прописа који утичу на повољност пословног окружења;</w:t>
      </w:r>
    </w:p>
    <w:p>
      <w:pPr>
        <w:pStyle w:val="13"/>
        <w:numPr>
          <w:ilvl w:val="0"/>
          <w:numId w:val="56"/>
        </w:numPr>
        <w:spacing w:after="120"/>
        <w:jc w:val="both"/>
        <w:rPr>
          <w:rFonts w:eastAsia="Times New Roman" w:cs="Calibri"/>
          <w:bCs/>
          <w:kern w:val="32"/>
          <w:sz w:val="22"/>
          <w:szCs w:val="22"/>
        </w:rPr>
      </w:pPr>
      <w:r>
        <w:rPr>
          <w:rFonts w:eastAsia="Times New Roman" w:cs="Calibri"/>
          <w:bCs/>
          <w:kern w:val="32"/>
          <w:sz w:val="22"/>
          <w:szCs w:val="22"/>
        </w:rPr>
        <w:t xml:space="preserve">Успостављање међуопштинске сарадње у области </w:t>
      </w:r>
      <w:r>
        <w:rPr>
          <w:rFonts w:eastAsia="Times New Roman" w:cs="Calibri"/>
          <w:bCs/>
          <w:kern w:val="32"/>
          <w:sz w:val="22"/>
          <w:szCs w:val="22"/>
          <w:lang w:val="sr-Cyrl-RS"/>
        </w:rPr>
        <w:t xml:space="preserve">развоја МСП и предузетништва, </w:t>
      </w:r>
      <w:r>
        <w:rPr>
          <w:rFonts w:eastAsia="Times New Roman" w:cs="Calibri"/>
          <w:bCs/>
          <w:kern w:val="32"/>
          <w:sz w:val="22"/>
          <w:szCs w:val="22"/>
        </w:rPr>
        <w:t>туризма и пољопривреде;</w:t>
      </w:r>
    </w:p>
    <w:p>
      <w:pPr>
        <w:pStyle w:val="13"/>
        <w:numPr>
          <w:ilvl w:val="0"/>
          <w:numId w:val="56"/>
        </w:numPr>
        <w:spacing w:after="120"/>
        <w:jc w:val="both"/>
        <w:rPr>
          <w:rFonts w:eastAsia="Times New Roman" w:cs="Calibri"/>
          <w:bCs/>
          <w:kern w:val="32"/>
          <w:sz w:val="22"/>
          <w:szCs w:val="22"/>
        </w:rPr>
      </w:pPr>
      <w:r>
        <w:rPr>
          <w:rFonts w:eastAsia="Times New Roman" w:cs="Calibri"/>
          <w:bCs/>
          <w:kern w:val="32"/>
          <w:sz w:val="22"/>
          <w:szCs w:val="22"/>
        </w:rPr>
        <w:t>Развој међуопштинских механизама за унапређење радне снаге;</w:t>
      </w:r>
    </w:p>
    <w:p>
      <w:pPr>
        <w:pStyle w:val="13"/>
        <w:numPr>
          <w:ilvl w:val="0"/>
          <w:numId w:val="56"/>
        </w:numPr>
        <w:spacing w:after="120"/>
        <w:jc w:val="both"/>
        <w:rPr>
          <w:rFonts w:eastAsia="Times New Roman" w:cs="Calibri"/>
          <w:bCs/>
          <w:kern w:val="32"/>
          <w:sz w:val="22"/>
          <w:szCs w:val="22"/>
        </w:rPr>
      </w:pPr>
      <w:r>
        <w:rPr>
          <w:rFonts w:cs="Calibri"/>
          <w:bCs/>
          <w:kern w:val="32"/>
          <w:sz w:val="22"/>
          <w:szCs w:val="22"/>
        </w:rPr>
        <w:t>Заједничко улагање у саобраћајну инфраструктуру у циљу бољег протока људи, роба и услуга.</w:t>
      </w:r>
    </w:p>
    <w:p>
      <w:pPr>
        <w:pStyle w:val="4"/>
        <w:rPr>
          <w:lang w:val="hr-BA"/>
        </w:rPr>
      </w:pPr>
      <w:bookmarkStart w:id="121" w:name="_Toc452886793"/>
      <w:bookmarkStart w:id="122" w:name="_Toc526761933"/>
      <w:bookmarkStart w:id="123" w:name="_Toc298390157"/>
      <w:bookmarkStart w:id="124" w:name="_Toc461719857"/>
      <w:bookmarkStart w:id="125" w:name="_Toc473095871"/>
      <w:r>
        <w:rPr>
          <w:lang w:val="hr-BA"/>
        </w:rPr>
        <w:t>V.2.4.</w:t>
      </w:r>
      <w:r>
        <w:rPr>
          <w:lang w:val="hr-BA"/>
        </w:rPr>
        <w:tab/>
      </w:r>
      <w:r>
        <w:t>Програми</w:t>
      </w:r>
      <w:r>
        <w:rPr>
          <w:lang w:val="hr-BA"/>
        </w:rPr>
        <w:t xml:space="preserve">, </w:t>
      </w:r>
      <w:r>
        <w:t>пројекти</w:t>
      </w:r>
      <w:r>
        <w:rPr>
          <w:lang w:val="hr-BA"/>
        </w:rPr>
        <w:t xml:space="preserve"> </w:t>
      </w:r>
      <w:r>
        <w:t>и</w:t>
      </w:r>
      <w:r>
        <w:rPr>
          <w:lang w:val="hr-BA"/>
        </w:rPr>
        <w:t xml:space="preserve"> </w:t>
      </w:r>
      <w:r>
        <w:t>мјере</w:t>
      </w:r>
      <w:bookmarkEnd w:id="121"/>
      <w:bookmarkEnd w:id="122"/>
      <w:bookmarkEnd w:id="123"/>
      <w:bookmarkEnd w:id="124"/>
      <w:bookmarkEnd w:id="125"/>
    </w:p>
    <w:p>
      <w:pPr>
        <w:spacing w:before="120" w:after="120"/>
        <w:jc w:val="both"/>
      </w:pPr>
      <w:r>
        <w:t xml:space="preserve">За реализацију плана економског развоја </w:t>
      </w:r>
      <w:r>
        <w:rPr>
          <w:lang w:val="sr-Cyrl-RS"/>
        </w:rPr>
        <w:t>града Бања Лука</w:t>
      </w:r>
      <w:r>
        <w:t xml:space="preserve"> дефинисанa </w:t>
      </w:r>
      <w:r>
        <w:rPr>
          <w:lang w:val="sr-Cyrl-RS"/>
        </w:rPr>
        <w:t>су</w:t>
      </w:r>
      <w:r>
        <w:t xml:space="preserve"> </w:t>
      </w:r>
      <w:r>
        <w:rPr>
          <w:lang w:val="sr-Cyrl-RS"/>
        </w:rPr>
        <w:t>5</w:t>
      </w:r>
      <w:r>
        <w:t>7 пројекта и мјер</w:t>
      </w:r>
      <w:r>
        <w:rPr>
          <w:lang w:val="sr-Cyrl-RS"/>
        </w:rPr>
        <w:t>е</w:t>
      </w:r>
      <w:r>
        <w:t xml:space="preserve"> груписан</w:t>
      </w:r>
      <w:r>
        <w:rPr>
          <w:lang w:val="sr-Cyrl-RS"/>
        </w:rPr>
        <w:t>а</w:t>
      </w:r>
      <w:r>
        <w:t xml:space="preserve"> у </w:t>
      </w:r>
      <w:r>
        <w:rPr>
          <w:b/>
        </w:rPr>
        <w:t xml:space="preserve">11 </w:t>
      </w:r>
      <w:r>
        <w:t>програма:</w:t>
      </w:r>
    </w:p>
    <w:tbl>
      <w:tblPr>
        <w:tblStyle w:val="36"/>
        <w:tblW w:w="9242" w:type="dxa"/>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01"/>
        <w:gridCol w:w="4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 w:hRule="atLeast"/>
          <w:jc w:val="center"/>
        </w:trPr>
        <w:tc>
          <w:tcPr>
            <w:tcW w:w="490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pStyle w:val="46"/>
              <w:spacing w:before="0" w:line="240" w:lineRule="auto"/>
              <w:ind w:left="0"/>
              <w:rPr>
                <w:b/>
                <w:sz w:val="20"/>
                <w:szCs w:val="20"/>
              </w:rPr>
            </w:pPr>
            <w:r>
              <w:rPr>
                <w:b/>
                <w:sz w:val="20"/>
                <w:szCs w:val="20"/>
              </w:rPr>
              <w:t>ПРОГРАМ</w:t>
            </w:r>
          </w:p>
        </w:tc>
        <w:tc>
          <w:tcPr>
            <w:tcW w:w="434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pStyle w:val="46"/>
              <w:spacing w:before="0" w:line="240" w:lineRule="auto"/>
              <w:ind w:left="0"/>
              <w:rPr>
                <w:b/>
                <w:sz w:val="20"/>
                <w:szCs w:val="20"/>
              </w:rPr>
            </w:pPr>
            <w:r>
              <w:rPr>
                <w:b/>
                <w:sz w:val="20"/>
                <w:szCs w:val="20"/>
              </w:rPr>
              <w:t>МЈЕРА/ПРОЈЕКАТ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jc w:val="center"/>
        </w:trPr>
        <w:tc>
          <w:tcPr>
            <w:tcW w:w="4901" w:type="dxa"/>
            <w:vMerge w:val="restart"/>
            <w:tcBorders>
              <w:top w:val="single" w:color="000000" w:sz="4" w:space="0"/>
              <w:left w:val="single" w:color="000000" w:sz="4" w:space="0"/>
              <w:right w:val="single" w:color="000000" w:sz="4" w:space="0"/>
            </w:tcBorders>
            <w:vAlign w:val="center"/>
          </w:tcPr>
          <w:p>
            <w:pPr>
              <w:pStyle w:val="46"/>
              <w:spacing w:before="0" w:line="240" w:lineRule="auto"/>
              <w:ind w:left="0"/>
              <w:jc w:val="left"/>
              <w:rPr>
                <w:sz w:val="20"/>
                <w:szCs w:val="20"/>
                <w:lang w:val="hr-BA"/>
              </w:rPr>
            </w:pPr>
            <w:r>
              <w:rPr>
                <w:b/>
                <w:sz w:val="20"/>
                <w:szCs w:val="20"/>
                <w:lang w:val="sr-Cyrl-BA"/>
              </w:rPr>
              <w:t>ПРОГРАМ 1.1.1 УНАПРЕЂЕЊЕ ПОСЛОВНОГ ОКРУЖЕЊА И ПОВЕЋАЊЕ КОНКУРЕНТНОСТИ ГРАДА КАО ПОВОЉНЕ ЛОКАЦИЈЕ ЗА ИНВЕСТИРАЊЕ</w:t>
            </w:r>
          </w:p>
        </w:tc>
        <w:tc>
          <w:tcPr>
            <w:tcW w:w="4341" w:type="dxa"/>
            <w:tcBorders>
              <w:top w:val="single" w:color="000000" w:sz="4" w:space="0"/>
              <w:left w:val="single" w:color="000000" w:sz="4" w:space="0"/>
              <w:right w:val="single" w:color="000000" w:sz="4" w:space="0"/>
            </w:tcBorders>
          </w:tcPr>
          <w:p>
            <w:pPr>
              <w:spacing w:after="120"/>
              <w:rPr>
                <w:bCs/>
                <w:sz w:val="20"/>
                <w:szCs w:val="20"/>
                <w:lang w:val="sr-Cyrl-BA"/>
              </w:rPr>
            </w:pPr>
            <w:r>
              <w:rPr>
                <w:bCs/>
                <w:sz w:val="20"/>
                <w:szCs w:val="20"/>
                <w:lang w:val="sr-Cyrl-BA"/>
              </w:rPr>
              <w:t>М. 1.1.1.1. Унапређење институционалног оквира и компетенција запослених у Градској администрацији у области локалног економског развоја (2018-2022)</w:t>
            </w:r>
          </w:p>
          <w:p>
            <w:pPr>
              <w:spacing w:after="120"/>
              <w:rPr>
                <w:bCs/>
                <w:sz w:val="20"/>
                <w:szCs w:val="20"/>
                <w:lang w:val="sr-Cyrl-B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tcPr>
          <w:p>
            <w:pPr>
              <w:pStyle w:val="46"/>
              <w:spacing w:before="0" w:line="240" w:lineRule="auto"/>
              <w:ind w:left="0"/>
              <w:contextualSpacing w:val="0"/>
              <w:jc w:val="left"/>
              <w:rPr>
                <w:sz w:val="20"/>
                <w:szCs w:val="20"/>
                <w:lang w:val="hr-BA"/>
              </w:rPr>
            </w:pPr>
            <w:r>
              <w:rPr>
                <w:rFonts w:eastAsia="Calibri"/>
                <w:bCs/>
                <w:sz w:val="20"/>
                <w:szCs w:val="20"/>
                <w:lang w:val="sr-Cyrl-BA"/>
              </w:rPr>
              <w:t xml:space="preserve">П. 1.1.1.2. Израда Ресурсне карте на </w:t>
            </w:r>
            <w:r>
              <w:rPr>
                <w:rFonts w:eastAsia="Calibri"/>
                <w:bCs/>
                <w:sz w:val="20"/>
                <w:szCs w:val="20"/>
                <w:lang w:val="sr-Cyrl-CS"/>
              </w:rPr>
              <w:t xml:space="preserve">руралном подручју </w:t>
            </w:r>
            <w:r>
              <w:rPr>
                <w:rFonts w:eastAsia="Calibri"/>
                <w:bCs/>
                <w:sz w:val="20"/>
                <w:szCs w:val="20"/>
                <w:lang w:val="sr-Cyrl-BA"/>
              </w:rPr>
              <w:t>града (201</w:t>
            </w:r>
            <w:r>
              <w:rPr>
                <w:rFonts w:eastAsia="Calibri"/>
                <w:bCs/>
                <w:sz w:val="20"/>
                <w:szCs w:val="20"/>
                <w:lang w:val="hr-BA"/>
              </w:rPr>
              <w:t>8</w:t>
            </w:r>
            <w:r>
              <w:rPr>
                <w:rFonts w:eastAsia="Calibri"/>
                <w:bCs/>
                <w:sz w:val="20"/>
                <w:szCs w:val="20"/>
                <w:lang w:val="sr-Cyrl-BA"/>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tcPr>
          <w:p>
            <w:pPr>
              <w:spacing w:after="120"/>
              <w:rPr>
                <w:bCs/>
                <w:sz w:val="20"/>
                <w:szCs w:val="20"/>
                <w:lang w:val="sr-Cyrl-BA"/>
              </w:rPr>
            </w:pPr>
            <w:r>
              <w:rPr>
                <w:bCs/>
                <w:sz w:val="20"/>
                <w:szCs w:val="20"/>
                <w:lang w:val="sr-Cyrl-BA"/>
              </w:rPr>
              <w:t>М. 1.1.1.3. Креирање и коришћење базе података за аналитичко праћење и планирање развоја Града (2018-2022)</w:t>
            </w:r>
          </w:p>
          <w:p>
            <w:pPr>
              <w:spacing w:after="120"/>
              <w:rPr>
                <w:bCs/>
                <w:sz w:val="20"/>
                <w:szCs w:val="20"/>
                <w:lang w:val="sr-Cyrl-B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vAlign w:val="center"/>
          </w:tcPr>
          <w:p>
            <w:pPr>
              <w:spacing w:after="120"/>
              <w:rPr>
                <w:bCs/>
                <w:sz w:val="20"/>
                <w:szCs w:val="20"/>
                <w:lang w:val="sr-Cyrl-BA"/>
              </w:rPr>
            </w:pPr>
            <w:r>
              <w:rPr>
                <w:bCs/>
                <w:sz w:val="20"/>
                <w:szCs w:val="20"/>
                <w:lang w:val="sr-Cyrl-BA"/>
              </w:rPr>
              <w:t>М. 1.1.1.4</w:t>
            </w:r>
            <w:r>
              <w:rPr>
                <w:bCs/>
                <w:sz w:val="20"/>
                <w:szCs w:val="20"/>
                <w:lang w:val="sr-Latn-RS"/>
              </w:rPr>
              <w:t>.</w:t>
            </w:r>
            <w:r>
              <w:rPr>
                <w:bCs/>
                <w:sz w:val="20"/>
                <w:szCs w:val="20"/>
                <w:lang w:val="sr-Cyrl-BA"/>
              </w:rPr>
              <w:t xml:space="preserve"> Одржавање стандарда повољног пословног окружења (2018-2022)</w:t>
            </w:r>
          </w:p>
          <w:p>
            <w:pPr>
              <w:spacing w:after="120"/>
              <w:rPr>
                <w:bCs/>
                <w:sz w:val="20"/>
                <w:szCs w:val="20"/>
                <w:lang w:val="sr-Cyrl-B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rPr>
                <w:b/>
                <w:sz w:val="20"/>
                <w:szCs w:val="20"/>
                <w:lang w:val="hr-BA"/>
              </w:rPr>
            </w:pPr>
          </w:p>
        </w:tc>
        <w:tc>
          <w:tcPr>
            <w:tcW w:w="4341" w:type="dxa"/>
            <w:tcBorders>
              <w:top w:val="single" w:color="000000" w:sz="4" w:space="0"/>
              <w:left w:val="single" w:color="000000" w:sz="4" w:space="0"/>
              <w:right w:val="single" w:color="000000" w:sz="4" w:space="0"/>
            </w:tcBorders>
          </w:tcPr>
          <w:p>
            <w:pPr>
              <w:rPr>
                <w:sz w:val="20"/>
                <w:szCs w:val="20"/>
              </w:rPr>
            </w:pPr>
            <w:r>
              <w:rPr>
                <w:sz w:val="20"/>
                <w:szCs w:val="20"/>
                <w:lang w:val="sr-Cyrl-RS"/>
              </w:rPr>
              <w:t>М. 1.1.1.5</w:t>
            </w:r>
            <w:r>
              <w:rPr>
                <w:sz w:val="20"/>
                <w:szCs w:val="20"/>
                <w:lang w:val="sr-Latn-RS"/>
              </w:rPr>
              <w:t>.</w:t>
            </w:r>
            <w:r>
              <w:rPr>
                <w:sz w:val="20"/>
                <w:szCs w:val="20"/>
                <w:lang w:val="sr-Cyrl-RS"/>
              </w:rPr>
              <w:t xml:space="preserve"> Унапређење Програма подршке за инвеститоре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rPr>
                <w:b/>
                <w:sz w:val="20"/>
                <w:szCs w:val="20"/>
                <w:lang w:val="hr-BA"/>
              </w:rPr>
            </w:pPr>
          </w:p>
        </w:tc>
        <w:tc>
          <w:tcPr>
            <w:tcW w:w="4341" w:type="dxa"/>
            <w:tcBorders>
              <w:top w:val="single" w:color="000000" w:sz="4" w:space="0"/>
              <w:left w:val="single" w:color="000000" w:sz="4" w:space="0"/>
              <w:right w:val="single" w:color="000000" w:sz="4" w:space="0"/>
            </w:tcBorders>
          </w:tcPr>
          <w:p>
            <w:pPr>
              <w:rPr>
                <w:sz w:val="20"/>
                <w:szCs w:val="20"/>
              </w:rPr>
            </w:pPr>
            <w:r>
              <w:rPr>
                <w:sz w:val="20"/>
                <w:szCs w:val="20"/>
                <w:lang w:val="sr-Cyrl-RS"/>
              </w:rPr>
              <w:t>М. 1.1.1.6</w:t>
            </w:r>
            <w:r>
              <w:rPr>
                <w:sz w:val="20"/>
                <w:szCs w:val="20"/>
                <w:lang w:val="sr-Latn-RS"/>
              </w:rPr>
              <w:t>.</w:t>
            </w:r>
            <w:r>
              <w:rPr>
                <w:sz w:val="20"/>
                <w:szCs w:val="20"/>
                <w:lang w:val="sr-Cyrl-RS"/>
              </w:rPr>
              <w:t xml:space="preserve"> Развој и примјена </w:t>
            </w:r>
            <w:r>
              <w:rPr>
                <w:i/>
                <w:sz w:val="20"/>
                <w:szCs w:val="20"/>
                <w:lang w:val="sr-Latn-RS"/>
              </w:rPr>
              <w:t>after-care</w:t>
            </w:r>
            <w:r>
              <w:rPr>
                <w:sz w:val="20"/>
                <w:szCs w:val="20"/>
                <w:lang w:val="sr-Latn-RS"/>
              </w:rPr>
              <w:t xml:space="preserve"> </w:t>
            </w:r>
            <w:r>
              <w:rPr>
                <w:sz w:val="20"/>
                <w:szCs w:val="20"/>
                <w:lang w:val="sr-Cyrl-RS"/>
              </w:rPr>
              <w:t xml:space="preserve">програма за инвеститоре (постинвестициона подршка)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7"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rPr>
                <w:b/>
                <w:sz w:val="20"/>
                <w:szCs w:val="20"/>
                <w:lang w:val="hr-BA"/>
              </w:rPr>
            </w:pPr>
          </w:p>
        </w:tc>
        <w:tc>
          <w:tcPr>
            <w:tcW w:w="4341" w:type="dxa"/>
            <w:tcBorders>
              <w:top w:val="single" w:color="000000" w:sz="4" w:space="0"/>
              <w:left w:val="single" w:color="000000" w:sz="4" w:space="0"/>
              <w:right w:val="single" w:color="000000" w:sz="4" w:space="0"/>
            </w:tcBorders>
          </w:tcPr>
          <w:p>
            <w:pPr>
              <w:rPr>
                <w:sz w:val="20"/>
                <w:szCs w:val="20"/>
                <w:lang w:val="sr-Cyrl-RS"/>
              </w:rPr>
            </w:pPr>
            <w:r>
              <w:rPr>
                <w:sz w:val="20"/>
                <w:szCs w:val="20"/>
                <w:lang w:val="sr-Cyrl-RS"/>
              </w:rPr>
              <w:t>М. 1.1.1.7</w:t>
            </w:r>
            <w:r>
              <w:rPr>
                <w:sz w:val="20"/>
                <w:szCs w:val="20"/>
                <w:lang w:val="sr-Latn-RS"/>
              </w:rPr>
              <w:t>.</w:t>
            </w:r>
            <w:r>
              <w:rPr>
                <w:sz w:val="20"/>
                <w:szCs w:val="20"/>
                <w:lang w:val="sr-Cyrl-RS"/>
              </w:rPr>
              <w:t xml:space="preserve"> Промоција града Бања Луке као повољне локације за инвестирање и поузданог пословног партнера  </w:t>
            </w:r>
            <w:r>
              <w:rPr>
                <w:bCs/>
                <w:sz w:val="20"/>
                <w:szCs w:val="20"/>
                <w:lang w:val="sr-Cyrl-BA"/>
              </w:rPr>
              <w:t>(2018-2022)</w:t>
            </w:r>
          </w:p>
          <w:p>
            <w:pPr>
              <w:rPr>
                <w:sz w:val="20"/>
                <w:szCs w:val="20"/>
                <w:lang w:val="sr-Cyrl-R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0" w:hRule="atLeast"/>
          <w:jc w:val="center"/>
        </w:trPr>
        <w:tc>
          <w:tcPr>
            <w:tcW w:w="4901" w:type="dxa"/>
            <w:vMerge w:val="restart"/>
            <w:tcBorders>
              <w:top w:val="single" w:color="000000" w:sz="4" w:space="0"/>
              <w:left w:val="single" w:color="000000" w:sz="4" w:space="0"/>
              <w:right w:val="single" w:color="000000" w:sz="4" w:space="0"/>
            </w:tcBorders>
            <w:vAlign w:val="center"/>
          </w:tcPr>
          <w:p>
            <w:pPr>
              <w:pStyle w:val="46"/>
              <w:spacing w:before="0" w:line="240" w:lineRule="auto"/>
              <w:ind w:left="0"/>
              <w:jc w:val="left"/>
              <w:rPr>
                <w:sz w:val="20"/>
                <w:szCs w:val="20"/>
                <w:lang w:val="sr-Cyrl-RS"/>
              </w:rPr>
            </w:pPr>
            <w:r>
              <w:rPr>
                <w:b/>
                <w:sz w:val="20"/>
                <w:szCs w:val="20"/>
                <w:lang w:val="sr-Cyrl-BA"/>
              </w:rPr>
              <w:t>ПРОГРАМ 1.1.2 УПРАВЉАЊЕ ЗОНАМА ЗА ИНВЕСТИРАЊЕ НА ПОДРУЧЈУ ГРАДА</w:t>
            </w:r>
          </w:p>
        </w:tc>
        <w:tc>
          <w:tcPr>
            <w:tcW w:w="4341" w:type="dxa"/>
            <w:tcBorders>
              <w:top w:val="single" w:color="000000" w:sz="4" w:space="0"/>
              <w:left w:val="single" w:color="000000" w:sz="4" w:space="0"/>
              <w:right w:val="single" w:color="000000" w:sz="4" w:space="0"/>
            </w:tcBorders>
          </w:tcPr>
          <w:p>
            <w:pPr>
              <w:rPr>
                <w:rFonts w:cs="Calibri"/>
                <w:color w:val="000000"/>
                <w:sz w:val="20"/>
                <w:szCs w:val="20"/>
                <w:lang w:eastAsia="hr-HR"/>
              </w:rPr>
            </w:pPr>
            <w:r>
              <w:rPr>
                <w:bCs/>
                <w:sz w:val="20"/>
                <w:szCs w:val="20"/>
                <w:lang w:val="sr-Cyrl-BA"/>
              </w:rPr>
              <w:t xml:space="preserve">П. 1.1.2.1. Израда неопходне документације за зоне за инвестирање </w:t>
            </w:r>
            <w:r>
              <w:rPr>
                <w:sz w:val="20"/>
                <w:szCs w:val="20"/>
                <w:lang w:val="sr-Cyrl-RS"/>
              </w:rPr>
              <w:t xml:space="preserve">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right w:val="single" w:color="000000" w:sz="4" w:space="0"/>
            </w:tcBorders>
          </w:tcPr>
          <w:p>
            <w:pPr>
              <w:rPr>
                <w:rFonts w:cs="Calibri"/>
                <w:color w:val="000000"/>
                <w:sz w:val="20"/>
                <w:szCs w:val="20"/>
                <w:lang w:eastAsia="hr-HR"/>
              </w:rPr>
            </w:pPr>
            <w:r>
              <w:rPr>
                <w:bCs/>
                <w:sz w:val="20"/>
                <w:szCs w:val="20"/>
                <w:lang w:val="sr-Cyrl-BA"/>
              </w:rPr>
              <w:t>М. 1.1.2.2</w:t>
            </w:r>
            <w:r>
              <w:rPr>
                <w:bCs/>
                <w:sz w:val="20"/>
                <w:szCs w:val="20"/>
                <w:lang w:val="sr-Latn-RS"/>
              </w:rPr>
              <w:t>.</w:t>
            </w:r>
            <w:r>
              <w:rPr>
                <w:bCs/>
                <w:sz w:val="20"/>
                <w:szCs w:val="20"/>
                <w:lang w:val="sr-Cyrl-BA"/>
              </w:rPr>
              <w:t xml:space="preserve"> Рјешавање имовинско-правних односа на локацијама за инвестирање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2"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right w:val="single" w:color="000000" w:sz="4" w:space="0"/>
            </w:tcBorders>
          </w:tcPr>
          <w:p>
            <w:pPr>
              <w:rPr>
                <w:rFonts w:cs="Calibri"/>
                <w:color w:val="000000"/>
                <w:sz w:val="20"/>
                <w:szCs w:val="20"/>
                <w:lang w:eastAsia="hr-HR"/>
              </w:rPr>
            </w:pPr>
            <w:r>
              <w:rPr>
                <w:bCs/>
                <w:sz w:val="20"/>
                <w:szCs w:val="20"/>
                <w:lang w:val="sr-Cyrl-BA"/>
              </w:rPr>
              <w:t>П. 1.1.2.3 Инфраструктурно уређење локација за инвестирање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right w:val="single" w:color="000000" w:sz="4" w:space="0"/>
            </w:tcBorders>
          </w:tcPr>
          <w:p>
            <w:pPr>
              <w:rPr>
                <w:rFonts w:cs="Calibri"/>
                <w:color w:val="000000"/>
                <w:sz w:val="20"/>
                <w:szCs w:val="20"/>
                <w:lang w:eastAsia="hr-HR"/>
              </w:rPr>
            </w:pPr>
            <w:r>
              <w:rPr>
                <w:bCs/>
                <w:sz w:val="20"/>
                <w:szCs w:val="20"/>
                <w:lang w:val="sr-Cyrl-BA"/>
              </w:rPr>
              <w:t xml:space="preserve">П. 1.1.2.4 Припрема каталога </w:t>
            </w:r>
            <w:r>
              <w:rPr>
                <w:bCs/>
                <w:i/>
                <w:sz w:val="20"/>
                <w:szCs w:val="20"/>
                <w:lang w:val="en-US"/>
              </w:rPr>
              <w:t>brownfield</w:t>
            </w:r>
            <w:r>
              <w:rPr>
                <w:bCs/>
                <w:i/>
                <w:sz w:val="20"/>
                <w:szCs w:val="20"/>
                <w:lang w:val="sr-Cyrl-BA"/>
              </w:rPr>
              <w:t xml:space="preserve"> </w:t>
            </w:r>
            <w:r>
              <w:rPr>
                <w:bCs/>
                <w:sz w:val="20"/>
                <w:szCs w:val="20"/>
                <w:lang w:val="sr-Cyrl-BA"/>
              </w:rPr>
              <w:t>и</w:t>
            </w:r>
            <w:r>
              <w:rPr>
                <w:bCs/>
                <w:i/>
                <w:sz w:val="20"/>
                <w:szCs w:val="20"/>
                <w:lang w:val="sr-Cyrl-BA"/>
              </w:rPr>
              <w:t xml:space="preserve"> </w:t>
            </w:r>
            <w:r>
              <w:rPr>
                <w:bCs/>
                <w:i/>
                <w:sz w:val="20"/>
                <w:szCs w:val="20"/>
              </w:rPr>
              <w:t xml:space="preserve">greenfield </w:t>
            </w:r>
            <w:r>
              <w:rPr>
                <w:bCs/>
                <w:sz w:val="20"/>
                <w:szCs w:val="20"/>
                <w:lang w:val="sr-Cyrl-RS"/>
              </w:rPr>
              <w:t xml:space="preserve">локација на подручју </w:t>
            </w:r>
            <w:r>
              <w:rPr>
                <w:bCs/>
                <w:sz w:val="20"/>
                <w:szCs w:val="20"/>
                <w:lang w:val="sr-Cyrl-BA"/>
              </w:rPr>
              <w:t>Града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right w:val="single" w:color="000000" w:sz="4" w:space="0"/>
            </w:tcBorders>
            <w:vAlign w:val="center"/>
          </w:tcPr>
          <w:p>
            <w:pPr>
              <w:rPr>
                <w:rFonts w:cs="Calibri"/>
                <w:color w:val="000000"/>
                <w:sz w:val="20"/>
                <w:szCs w:val="20"/>
                <w:lang w:eastAsia="hr-HR"/>
              </w:rPr>
            </w:pPr>
            <w:r>
              <w:rPr>
                <w:bCs/>
                <w:sz w:val="20"/>
                <w:szCs w:val="20"/>
                <w:lang w:val="sr-Cyrl-BA"/>
              </w:rPr>
              <w:t>П. 1.1.2.5. Успостављање Развојно-едукативног центра (2018-2021)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right w:val="single" w:color="000000" w:sz="4" w:space="0"/>
            </w:tcBorders>
            <w:shd w:val="clear" w:color="auto" w:fill="auto"/>
            <w:vAlign w:val="center"/>
          </w:tcPr>
          <w:p>
            <w:pPr>
              <w:rPr>
                <w:rFonts w:cs="Calibri"/>
                <w:color w:val="000000"/>
                <w:sz w:val="20"/>
                <w:szCs w:val="20"/>
                <w:lang w:eastAsia="hr-HR"/>
              </w:rPr>
            </w:pPr>
            <w:r>
              <w:rPr>
                <w:bCs/>
                <w:sz w:val="20"/>
                <w:szCs w:val="20"/>
                <w:lang w:val="sr-Cyrl-BA"/>
              </w:rPr>
              <w:t>П. 1.1.2.6. Успостављање слободне економске зоне (2021-2022)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09" w:hRule="atLeast"/>
          <w:jc w:val="center"/>
        </w:trPr>
        <w:tc>
          <w:tcPr>
            <w:tcW w:w="4901" w:type="dxa"/>
            <w:vMerge w:val="restart"/>
            <w:tcBorders>
              <w:top w:val="single" w:color="000000" w:sz="4" w:space="0"/>
              <w:left w:val="single" w:color="000000" w:sz="4" w:space="0"/>
              <w:right w:val="single" w:color="000000" w:sz="4" w:space="0"/>
            </w:tcBorders>
            <w:vAlign w:val="center"/>
          </w:tcPr>
          <w:p>
            <w:pPr>
              <w:rPr>
                <w:b/>
                <w:sz w:val="20"/>
                <w:szCs w:val="20"/>
                <w:lang w:val="sr-Cyrl-BA"/>
              </w:rPr>
            </w:pPr>
            <w:r>
              <w:rPr>
                <w:b/>
                <w:sz w:val="20"/>
                <w:szCs w:val="20"/>
                <w:lang w:val="sr-Cyrl-BA"/>
              </w:rPr>
              <w:t>ПРОГРАМ 1.2.1. ИНСТИТУЦИОНАЛНА ПОДРШКА МСП И ПРЕДУЗЕТНИШТВУ</w:t>
            </w:r>
            <w:r>
              <w:rPr>
                <w:rFonts w:cs="Calibri"/>
                <w:b/>
                <w:sz w:val="20"/>
                <w:szCs w:val="20"/>
                <w:lang w:val="sr-Cyrl-RS"/>
              </w:rPr>
              <w:t>, УМРЕЖАВАЊЕ, РАЗВОЈ САРАДЊЕ И ПАРТНЕРСТВА</w:t>
            </w:r>
          </w:p>
          <w:p>
            <w:pPr>
              <w:pStyle w:val="46"/>
              <w:spacing w:before="0" w:line="240" w:lineRule="auto"/>
              <w:ind w:left="0"/>
              <w:rPr>
                <w:sz w:val="20"/>
                <w:szCs w:val="20"/>
                <w:lang w:val="hr-BA"/>
              </w:rPr>
            </w:pPr>
          </w:p>
        </w:tc>
        <w:tc>
          <w:tcPr>
            <w:tcW w:w="4341" w:type="dxa"/>
            <w:tcBorders>
              <w:top w:val="single" w:color="000000" w:sz="4" w:space="0"/>
              <w:left w:val="single" w:color="000000" w:sz="4" w:space="0"/>
              <w:right w:val="single" w:color="000000" w:sz="4" w:space="0"/>
            </w:tcBorders>
          </w:tcPr>
          <w:p>
            <w:pPr>
              <w:rPr>
                <w:rFonts w:eastAsia="Times New Roman" w:cs="Calibri"/>
                <w:color w:val="000000"/>
                <w:sz w:val="20"/>
                <w:szCs w:val="20"/>
                <w:lang w:eastAsia="hr-HR"/>
              </w:rPr>
            </w:pPr>
            <w:r>
              <w:rPr>
                <w:bCs/>
                <w:sz w:val="20"/>
                <w:szCs w:val="20"/>
                <w:lang w:val="sr-Cyrl-BA"/>
              </w:rPr>
              <w:t xml:space="preserve">П. 1.2.1.1. </w:t>
            </w:r>
            <w:r>
              <w:rPr>
                <w:sz w:val="20"/>
                <w:szCs w:val="20"/>
                <w:lang w:val="sr-Cyrl-BA"/>
              </w:rPr>
              <w:t xml:space="preserve"> Израда секторске стратегије развоја МСП и предузетништва за петогодишњи период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rPr>
                <w:b/>
                <w:sz w:val="20"/>
                <w:szCs w:val="20"/>
                <w:lang w:val="hr-BA"/>
              </w:rPr>
            </w:pPr>
          </w:p>
        </w:tc>
        <w:tc>
          <w:tcPr>
            <w:tcW w:w="4341" w:type="dxa"/>
            <w:tcBorders>
              <w:top w:val="single" w:color="000000" w:sz="4" w:space="0"/>
              <w:left w:val="single" w:color="000000" w:sz="4" w:space="0"/>
              <w:right w:val="single" w:color="000000" w:sz="4" w:space="0"/>
            </w:tcBorders>
          </w:tcPr>
          <w:p>
            <w:pPr>
              <w:rPr>
                <w:rFonts w:cs="Calibri"/>
                <w:color w:val="000000"/>
                <w:sz w:val="20"/>
                <w:szCs w:val="20"/>
                <w:lang w:eastAsia="hr-HR"/>
              </w:rPr>
            </w:pPr>
            <w:r>
              <w:rPr>
                <w:bCs/>
                <w:sz w:val="20"/>
                <w:szCs w:val="20"/>
                <w:lang w:val="sr-Cyrl-BA"/>
              </w:rPr>
              <w:t xml:space="preserve">М. 1.2.1.2. </w:t>
            </w:r>
            <w:r>
              <w:rPr>
                <w:sz w:val="20"/>
                <w:szCs w:val="20"/>
                <w:lang w:val="sr-Cyrl-BA"/>
              </w:rPr>
              <w:t xml:space="preserve"> Сарадња и </w:t>
            </w:r>
            <w:r>
              <w:rPr>
                <w:bCs/>
                <w:sz w:val="20"/>
                <w:szCs w:val="20"/>
                <w:lang w:val="sr-Cyrl-BA"/>
              </w:rPr>
              <w:t>подршка секторским удружења МСП и предузетника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3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rPr>
                <w:b/>
                <w:sz w:val="20"/>
                <w:szCs w:val="20"/>
                <w:lang w:val="hr-BA"/>
              </w:rPr>
            </w:pPr>
          </w:p>
        </w:tc>
        <w:tc>
          <w:tcPr>
            <w:tcW w:w="4341" w:type="dxa"/>
            <w:tcBorders>
              <w:top w:val="single" w:color="000000" w:sz="4" w:space="0"/>
              <w:left w:val="single" w:color="000000" w:sz="4" w:space="0"/>
              <w:right w:val="single" w:color="000000" w:sz="4" w:space="0"/>
            </w:tcBorders>
          </w:tcPr>
          <w:p>
            <w:pPr>
              <w:rPr>
                <w:rFonts w:eastAsia="Times New Roman" w:cs="Calibri"/>
                <w:sz w:val="20"/>
                <w:szCs w:val="20"/>
                <w:lang w:eastAsia="hr-HR"/>
              </w:rPr>
            </w:pPr>
            <w:r>
              <w:rPr>
                <w:bCs/>
                <w:sz w:val="20"/>
                <w:szCs w:val="20"/>
                <w:lang w:val="sr-Cyrl-BA"/>
              </w:rPr>
              <w:t>М. 1.2.1.3.</w:t>
            </w:r>
            <w:r>
              <w:rPr>
                <w:bCs/>
                <w:sz w:val="20"/>
                <w:szCs w:val="20"/>
                <w:lang w:val="bs-Latn-BA"/>
              </w:rPr>
              <w:t xml:space="preserve"> </w:t>
            </w:r>
            <w:r>
              <w:rPr>
                <w:bCs/>
                <w:sz w:val="20"/>
                <w:szCs w:val="20"/>
                <w:lang w:val="sr-Cyrl-BA"/>
              </w:rPr>
              <w:t>Унапређење комуникације и сарадње са дијаспором, представништвима РС у иностранству и економска дипломатија у функцији повећања извоза МСП и предузетника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restart"/>
            <w:tcBorders>
              <w:left w:val="single" w:color="000000" w:sz="4" w:space="0"/>
              <w:right w:val="single" w:color="000000" w:sz="4" w:space="0"/>
            </w:tcBorders>
            <w:vAlign w:val="center"/>
          </w:tcPr>
          <w:p>
            <w:pPr>
              <w:rPr>
                <w:b/>
                <w:sz w:val="20"/>
                <w:szCs w:val="20"/>
                <w:lang w:val="sr-Cyrl-BA"/>
              </w:rPr>
            </w:pPr>
            <w:r>
              <w:rPr>
                <w:b/>
                <w:sz w:val="20"/>
                <w:szCs w:val="20"/>
                <w:lang w:val="sr-Cyrl-BA"/>
              </w:rPr>
              <w:t>ПРОГРАМ 1.2.2. ПОДРШКА ЗАПОШЉАВАЊУ И САМОЗАПОШЉАВАЊУ</w:t>
            </w:r>
          </w:p>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color w:val="000000"/>
                <w:sz w:val="20"/>
                <w:szCs w:val="20"/>
              </w:rPr>
            </w:pPr>
            <w:r>
              <w:rPr>
                <w:sz w:val="20"/>
                <w:szCs w:val="20"/>
                <w:lang w:val="sr-Cyrl-BA"/>
              </w:rPr>
              <w:t xml:space="preserve">М. 1.2.2.1. Подршка запошљавању и самозапошљавању кроз финансијске подстицаје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2"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sz w:val="20"/>
                <w:szCs w:val="20"/>
                <w:lang w:val="sr-Cyrl-BA"/>
              </w:rPr>
              <w:t>М. 1.2.2.</w:t>
            </w:r>
            <w:r>
              <w:rPr>
                <w:sz w:val="20"/>
                <w:szCs w:val="20"/>
              </w:rPr>
              <w:t>2</w:t>
            </w:r>
            <w:r>
              <w:rPr>
                <w:sz w:val="20"/>
                <w:szCs w:val="20"/>
                <w:lang w:val="sr-Cyrl-BA"/>
              </w:rPr>
              <w:t xml:space="preserve">. </w:t>
            </w:r>
            <w:r>
              <w:rPr>
                <w:bCs/>
                <w:sz w:val="20"/>
                <w:szCs w:val="20"/>
                <w:lang w:val="sr-Cyrl-BA"/>
              </w:rPr>
              <w:t>Успостављање локалних партнерстава за запошљавање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sz w:val="20"/>
                <w:szCs w:val="20"/>
                <w:lang w:val="sr-Cyrl-BA"/>
              </w:rPr>
              <w:t>П. 1.2.2.</w:t>
            </w:r>
            <w:r>
              <w:rPr>
                <w:sz w:val="20"/>
                <w:szCs w:val="20"/>
              </w:rPr>
              <w:t>3</w:t>
            </w:r>
            <w:r>
              <w:rPr>
                <w:sz w:val="20"/>
                <w:szCs w:val="20"/>
                <w:lang w:val="sr-Cyrl-BA"/>
              </w:rPr>
              <w:t xml:space="preserve">. </w:t>
            </w:r>
            <w:r>
              <w:rPr>
                <w:bCs/>
                <w:sz w:val="20"/>
                <w:szCs w:val="20"/>
                <w:lang w:val="sr-Cyrl-BA"/>
              </w:rPr>
              <w:t>Стимулисање запошљавања лица са умањеном радном способношћу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9"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tcPr>
          <w:p>
            <w:pPr>
              <w:rPr>
                <w:bCs/>
                <w:sz w:val="20"/>
                <w:szCs w:val="20"/>
                <w:lang w:val="sr-Cyrl-BA"/>
              </w:rPr>
            </w:pPr>
            <w:r>
              <w:rPr>
                <w:bCs/>
                <w:sz w:val="20"/>
                <w:szCs w:val="20"/>
                <w:lang w:val="sr-Cyrl-BA"/>
              </w:rPr>
              <w:t>П. 1.2.2.</w:t>
            </w:r>
            <w:r>
              <w:rPr>
                <w:bCs/>
                <w:sz w:val="20"/>
                <w:szCs w:val="20"/>
              </w:rPr>
              <w:t>4</w:t>
            </w:r>
            <w:r>
              <w:rPr>
                <w:bCs/>
                <w:sz w:val="20"/>
                <w:szCs w:val="20"/>
                <w:lang w:val="sr-Cyrl-BA"/>
              </w:rPr>
              <w:t xml:space="preserve">. </w:t>
            </w:r>
            <w:r>
              <w:rPr>
                <w:sz w:val="20"/>
                <w:szCs w:val="20"/>
                <w:lang w:val="sr-Cyrl-BA"/>
              </w:rPr>
              <w:t xml:space="preserve"> </w:t>
            </w:r>
            <w:r>
              <w:rPr>
                <w:bCs/>
                <w:sz w:val="20"/>
                <w:szCs w:val="20"/>
                <w:lang w:val="sr-Cyrl-BA"/>
              </w:rPr>
              <w:t>Економско оснаживање жена, младих и социјално осјетљивих категорија (2018-2022)</w:t>
            </w:r>
          </w:p>
          <w:p>
            <w:pPr>
              <w:rPr>
                <w:rFonts w:cs="Calibri"/>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color w:val="000000"/>
                <w:sz w:val="20"/>
                <w:szCs w:val="20"/>
              </w:rPr>
            </w:pPr>
            <w:r>
              <w:rPr>
                <w:bCs/>
                <w:sz w:val="20"/>
                <w:szCs w:val="20"/>
                <w:lang w:val="sr-Cyrl-BA"/>
              </w:rPr>
              <w:t>М. 1.2.2.</w:t>
            </w:r>
            <w:r>
              <w:rPr>
                <w:bCs/>
                <w:sz w:val="20"/>
                <w:szCs w:val="20"/>
              </w:rPr>
              <w:t>5</w:t>
            </w:r>
            <w:r>
              <w:rPr>
                <w:bCs/>
                <w:sz w:val="20"/>
                <w:szCs w:val="20"/>
                <w:lang w:val="sr-Cyrl-BA"/>
              </w:rPr>
              <w:t xml:space="preserve">. </w:t>
            </w:r>
            <w:r>
              <w:rPr>
                <w:sz w:val="20"/>
                <w:szCs w:val="20"/>
                <w:lang w:val="sr-Cyrl-BA"/>
              </w:rPr>
              <w:t xml:space="preserve"> </w:t>
            </w:r>
            <w:r>
              <w:rPr>
                <w:bCs/>
                <w:sz w:val="20"/>
                <w:szCs w:val="20"/>
                <w:lang w:val="sr-Cyrl-BA"/>
              </w:rPr>
              <w:t>Подстицаји за женско предузетништво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3"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rPr>
                <w:b/>
                <w:sz w:val="20"/>
                <w:szCs w:val="20"/>
                <w:lang w:val="hr-BA"/>
              </w:rPr>
            </w:pPr>
          </w:p>
        </w:tc>
        <w:tc>
          <w:tcPr>
            <w:tcW w:w="4341" w:type="dxa"/>
            <w:tcBorders>
              <w:top w:val="single" w:color="000000" w:sz="4" w:space="0"/>
              <w:left w:val="single" w:color="000000" w:sz="4" w:space="0"/>
              <w:right w:val="single" w:color="000000" w:sz="4" w:space="0"/>
            </w:tcBorders>
          </w:tcPr>
          <w:p>
            <w:pPr>
              <w:rPr>
                <w:bCs/>
                <w:sz w:val="20"/>
                <w:szCs w:val="20"/>
                <w:lang w:val="sr-Cyrl-BA"/>
              </w:rPr>
            </w:pPr>
            <w:r>
              <w:rPr>
                <w:bCs/>
                <w:sz w:val="20"/>
                <w:szCs w:val="20"/>
                <w:lang w:val="sr-Cyrl-BA"/>
              </w:rPr>
              <w:t>М. 1.2.2.</w:t>
            </w:r>
            <w:r>
              <w:rPr>
                <w:bCs/>
                <w:sz w:val="20"/>
                <w:szCs w:val="20"/>
              </w:rPr>
              <w:t>6</w:t>
            </w:r>
            <w:r>
              <w:rPr>
                <w:bCs/>
                <w:sz w:val="20"/>
                <w:szCs w:val="20"/>
                <w:lang w:val="sr-Cyrl-BA"/>
              </w:rPr>
              <w:t>. Подршка развоју друштвеног (социјалног) предузетништва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restart"/>
            <w:tcBorders>
              <w:left w:val="single" w:color="000000" w:sz="4" w:space="0"/>
              <w:right w:val="single" w:color="000000" w:sz="4" w:space="0"/>
            </w:tcBorders>
            <w:vAlign w:val="center"/>
          </w:tcPr>
          <w:p>
            <w:pPr>
              <w:rPr>
                <w:b/>
                <w:sz w:val="20"/>
                <w:szCs w:val="20"/>
                <w:lang w:val="sr-Cyrl-BA"/>
              </w:rPr>
            </w:pPr>
            <w:r>
              <w:rPr>
                <w:b/>
                <w:sz w:val="20"/>
                <w:szCs w:val="20"/>
                <w:lang w:val="sr-Cyrl-BA"/>
              </w:rPr>
              <w:t xml:space="preserve">ПРОГРАМ 1.2.3. </w:t>
            </w:r>
            <w:r>
              <w:rPr>
                <w:rFonts w:cs="Calibri"/>
                <w:b/>
                <w:sz w:val="20"/>
                <w:szCs w:val="20"/>
                <w:lang w:val="sr-Cyrl-RS"/>
              </w:rPr>
              <w:t xml:space="preserve">УСПОСТАВЉАЊЕ МЕХАНИЗАМА ЗА ОБРАЗОВАЊЕ ЉУДСКИХ РЕСУРСА У СКЛАДУ СА ПОТРЕБАМА ПРИВРЕДЕ </w:t>
            </w:r>
          </w:p>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color w:val="000000"/>
                <w:sz w:val="20"/>
                <w:szCs w:val="20"/>
              </w:rPr>
            </w:pPr>
            <w:r>
              <w:rPr>
                <w:bCs/>
                <w:sz w:val="20"/>
                <w:szCs w:val="20"/>
                <w:lang w:val="sr-Cyrl-BA"/>
              </w:rPr>
              <w:t>М. 1.2.3.1.</w:t>
            </w:r>
            <w:r>
              <w:rPr>
                <w:bCs/>
                <w:sz w:val="20"/>
                <w:szCs w:val="20"/>
                <w:lang w:val="bs-Latn-BA"/>
              </w:rPr>
              <w:t xml:space="preserve"> </w:t>
            </w:r>
            <w:r>
              <w:rPr>
                <w:bCs/>
                <w:sz w:val="20"/>
                <w:szCs w:val="20"/>
                <w:lang w:val="sr-Cyrl-RS"/>
              </w:rPr>
              <w:t xml:space="preserve">Подршка </w:t>
            </w:r>
            <w:r>
              <w:rPr>
                <w:bCs/>
                <w:sz w:val="20"/>
                <w:szCs w:val="20"/>
                <w:lang w:val="sr-Cyrl-BA"/>
              </w:rPr>
              <w:t>едукацији МСП и предузетника у јачању компетенција људских ресурса запослених у привреди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spacing w:after="120"/>
              <w:rPr>
                <w:rFonts w:cs="Calibri"/>
                <w:i/>
                <w:color w:val="000000"/>
                <w:sz w:val="20"/>
                <w:szCs w:val="20"/>
              </w:rPr>
            </w:pPr>
            <w:r>
              <w:rPr>
                <w:bCs/>
                <w:sz w:val="20"/>
                <w:szCs w:val="20"/>
                <w:lang w:val="sr-Cyrl-RS"/>
              </w:rPr>
              <w:t>П.</w:t>
            </w:r>
            <w:r>
              <w:rPr>
                <w:bCs/>
                <w:sz w:val="20"/>
                <w:szCs w:val="20"/>
                <w:lang w:val="sr-Cyrl-BA"/>
              </w:rPr>
              <w:t xml:space="preserve"> 1.2.3.2. Успостављање Центра  за преквалификацију и доквалификацију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09"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tcPr>
          <w:p>
            <w:pPr>
              <w:rPr>
                <w:rFonts w:cs="Calibri"/>
                <w:color w:val="000000"/>
                <w:sz w:val="20"/>
                <w:szCs w:val="20"/>
              </w:rPr>
            </w:pPr>
            <w:r>
              <w:rPr>
                <w:sz w:val="20"/>
                <w:szCs w:val="20"/>
                <w:lang w:val="sr-Cyrl-BA"/>
              </w:rPr>
              <w:t>М. 1.2.3.3</w:t>
            </w:r>
            <w:r>
              <w:rPr>
                <w:sz w:val="20"/>
                <w:szCs w:val="20"/>
              </w:rPr>
              <w:t>.</w:t>
            </w:r>
            <w:r>
              <w:rPr>
                <w:sz w:val="20"/>
                <w:szCs w:val="20"/>
                <w:lang w:val="sr-Cyrl-BA"/>
              </w:rPr>
              <w:t xml:space="preserve"> </w:t>
            </w:r>
            <w:r>
              <w:rPr>
                <w:bCs/>
                <w:sz w:val="20"/>
                <w:szCs w:val="20"/>
                <w:lang w:val="sr-Cyrl-BA"/>
              </w:rPr>
              <w:t>Усмјеравање младих ка перспективним занимањима и подршка запошљавању младих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restart"/>
            <w:tcBorders>
              <w:left w:val="single" w:color="000000" w:sz="4" w:space="0"/>
              <w:right w:val="single" w:color="000000" w:sz="4" w:space="0"/>
            </w:tcBorders>
            <w:vAlign w:val="center"/>
          </w:tcPr>
          <w:p>
            <w:pPr>
              <w:rPr>
                <w:b/>
                <w:sz w:val="20"/>
                <w:szCs w:val="20"/>
                <w:lang w:val="sr-Cyrl-BA"/>
              </w:rPr>
            </w:pPr>
          </w:p>
          <w:p>
            <w:pPr>
              <w:rPr>
                <w:b/>
                <w:sz w:val="20"/>
                <w:szCs w:val="20"/>
                <w:lang w:val="sr-Cyrl-BA"/>
              </w:rPr>
            </w:pPr>
            <w:r>
              <w:rPr>
                <w:b/>
                <w:sz w:val="20"/>
                <w:szCs w:val="20"/>
                <w:lang w:val="sr-Cyrl-BA"/>
              </w:rPr>
              <w:t>ПРОГРАМ 1.2.4. ПОДИЗАЊЕ КОНКУРЕНТНОСТИ, ИНОВАТИВНОСТИ И ИЗВОЗНЕ ОРИЈЕНТАЦИЈЕ МСП  И ПРЕДУЗЕТНИКА</w:t>
            </w:r>
          </w:p>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eastAsia="Times New Roman"/>
                <w:sz w:val="20"/>
                <w:szCs w:val="20"/>
                <w:lang w:eastAsia="hr-HR"/>
              </w:rPr>
            </w:pPr>
            <w:r>
              <w:rPr>
                <w:bCs/>
                <w:sz w:val="20"/>
                <w:szCs w:val="20"/>
                <w:lang w:val="sr-Cyrl-BA"/>
              </w:rPr>
              <w:t xml:space="preserve">П. 1.2.4.1. </w:t>
            </w:r>
            <w:r>
              <w:rPr>
                <w:sz w:val="20"/>
                <w:szCs w:val="20"/>
                <w:lang w:val="sr-Cyrl-BA"/>
              </w:rPr>
              <w:t xml:space="preserve"> Унапређење конкурентности предузећа кроз кластеризацију - подршка постојећим и развој нових кластера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eastAsia="Times New Roman"/>
                <w:sz w:val="20"/>
                <w:szCs w:val="20"/>
                <w:lang w:eastAsia="hr-HR"/>
              </w:rPr>
            </w:pPr>
            <w:r>
              <w:rPr>
                <w:bCs/>
                <w:sz w:val="20"/>
                <w:szCs w:val="20"/>
                <w:lang w:val="sr-Cyrl-BA" w:eastAsia="zh-CN"/>
              </w:rPr>
              <w:t xml:space="preserve">М. 1.2.4.2. </w:t>
            </w:r>
            <w:r>
              <w:rPr>
                <w:sz w:val="20"/>
                <w:szCs w:val="20"/>
                <w:lang w:val="sr-Cyrl-BA" w:eastAsia="zh-CN"/>
              </w:rPr>
              <w:t xml:space="preserve"> Припрема и </w:t>
            </w:r>
            <w:r>
              <w:rPr>
                <w:sz w:val="20"/>
                <w:szCs w:val="20"/>
                <w:lang w:val="sr-Cyrl-RS" w:eastAsia="zh-CN"/>
              </w:rPr>
              <w:t>спровођење програма подстицања предузетништва темељеног на знању</w:t>
            </w:r>
            <w:r>
              <w:rPr>
                <w:sz w:val="20"/>
                <w:szCs w:val="20"/>
                <w:lang w:eastAsia="zh-CN"/>
              </w:rPr>
              <w:t xml:space="preserve">, </w:t>
            </w:r>
            <w:r>
              <w:rPr>
                <w:sz w:val="20"/>
                <w:szCs w:val="20"/>
                <w:lang w:val="sr-Cyrl-RS" w:eastAsia="zh-CN"/>
              </w:rPr>
              <w:t xml:space="preserve">иновацијама и креативној индустрији </w:t>
            </w:r>
            <w:r>
              <w:rPr>
                <w:bCs/>
                <w:sz w:val="20"/>
                <w:szCs w:val="20"/>
                <w:lang w:val="sr-Cyrl-BA" w:eastAsia="zh-CN"/>
              </w:rPr>
              <w:t>(2019-2022)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ascii="Times New Roman" w:hAnsi="Times New Roman"/>
                <w:sz w:val="20"/>
                <w:szCs w:val="20"/>
                <w:lang w:val="sr-Latn-BA"/>
              </w:rPr>
            </w:pPr>
            <w:r>
              <w:rPr>
                <w:bCs/>
                <w:sz w:val="20"/>
                <w:szCs w:val="20"/>
                <w:lang w:val="sr-Cyrl-BA" w:eastAsia="zh-CN"/>
              </w:rPr>
              <w:t>П. 1.2.4.3. Успостављање зоне за развој ИТ и креативне индустрије (2019-2021)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3"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tcPr>
          <w:p>
            <w:pPr>
              <w:tabs>
                <w:tab w:val="left" w:pos="902"/>
              </w:tabs>
              <w:spacing w:line="259" w:lineRule="auto"/>
              <w:contextualSpacing/>
              <w:rPr>
                <w:bCs/>
                <w:sz w:val="20"/>
                <w:szCs w:val="20"/>
                <w:lang w:val="sr-Cyrl-BA"/>
              </w:rPr>
            </w:pPr>
            <w:r>
              <w:rPr>
                <w:bCs/>
                <w:sz w:val="20"/>
                <w:szCs w:val="20"/>
                <w:lang w:val="sr-Cyrl-BA" w:eastAsia="zh-CN"/>
              </w:rPr>
              <w:t>М. 1.2.4.4. Подршка Фондацији  Иновациони центар Бања Лука (ИЦБЛ)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restart"/>
            <w:tcBorders>
              <w:left w:val="single" w:color="000000" w:sz="4" w:space="0"/>
              <w:right w:val="single" w:color="000000" w:sz="4" w:space="0"/>
            </w:tcBorders>
            <w:vAlign w:val="center"/>
          </w:tcPr>
          <w:p>
            <w:pPr>
              <w:rPr>
                <w:b/>
                <w:sz w:val="20"/>
                <w:szCs w:val="20"/>
                <w:lang w:val="sr-Cyrl-RS"/>
              </w:rPr>
            </w:pPr>
            <w:r>
              <w:rPr>
                <w:b/>
                <w:sz w:val="20"/>
                <w:szCs w:val="20"/>
                <w:lang w:val="sr-Cyrl-BA"/>
              </w:rPr>
              <w:t>ПРОГРАМ 1.</w:t>
            </w:r>
            <w:r>
              <w:rPr>
                <w:b/>
                <w:sz w:val="20"/>
                <w:szCs w:val="20"/>
                <w:lang w:val="sr-Cyrl-RS"/>
              </w:rPr>
              <w:t>3</w:t>
            </w:r>
            <w:r>
              <w:rPr>
                <w:b/>
                <w:sz w:val="20"/>
                <w:szCs w:val="20"/>
                <w:lang w:val="sr-Cyrl-BA"/>
              </w:rPr>
              <w:t xml:space="preserve">.1. </w:t>
            </w:r>
            <w:r>
              <w:rPr>
                <w:b/>
                <w:sz w:val="20"/>
                <w:szCs w:val="20"/>
                <w:lang w:val="sr-Cyrl-RS"/>
              </w:rPr>
              <w:t>УСПОСТАВЉАЊЕ ИНСТИТУЦИОНАЛНОГ ОКВИРА И ИНФРАСТРУКТУРЕ ЗА РАЗВОЈ ПОЉОПРИВРЕДЕ</w:t>
            </w:r>
          </w:p>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bCs/>
                <w:sz w:val="20"/>
                <w:szCs w:val="20"/>
                <w:lang w:val="sr-Cyrl-BA" w:eastAsia="zh-CN"/>
              </w:rPr>
              <w:t>М</w:t>
            </w:r>
            <w:r>
              <w:rPr>
                <w:bCs/>
                <w:sz w:val="20"/>
                <w:szCs w:val="20"/>
                <w:lang w:val="sr-Latn-RS" w:eastAsia="zh-CN"/>
              </w:rPr>
              <w:t>.</w:t>
            </w:r>
            <w:r>
              <w:rPr>
                <w:bCs/>
                <w:sz w:val="20"/>
                <w:szCs w:val="20"/>
                <w:lang w:val="sr-Cyrl-BA" w:eastAsia="zh-CN"/>
              </w:rPr>
              <w:t xml:space="preserve"> 1.3.1.1. Оснаживање Центра за развој пољопривреде и села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bCs/>
                <w:sz w:val="20"/>
                <w:szCs w:val="20"/>
                <w:lang w:val="sr-Cyrl-BA" w:eastAsia="zh-CN"/>
              </w:rPr>
              <w:t>П</w:t>
            </w:r>
            <w:r>
              <w:rPr>
                <w:bCs/>
                <w:sz w:val="20"/>
                <w:szCs w:val="20"/>
                <w:lang w:val="sr-Latn-RS" w:eastAsia="zh-CN"/>
              </w:rPr>
              <w:t>.</w:t>
            </w:r>
            <w:r>
              <w:rPr>
                <w:bCs/>
                <w:sz w:val="20"/>
                <w:szCs w:val="20"/>
                <w:lang w:val="sr-Cyrl-BA" w:eastAsia="zh-CN"/>
              </w:rPr>
              <w:t xml:space="preserve"> 1.3.1.2. Израда Стратегије руралног развоја за петогодишњи период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9"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szCs w:val="20"/>
                <w:lang w:val="sr-Cyrl-BA"/>
              </w:rPr>
              <w:t>П</w:t>
            </w:r>
            <w:r>
              <w:rPr>
                <w:bCs/>
                <w:sz w:val="20"/>
                <w:szCs w:val="20"/>
                <w:lang w:val="sr-Latn-RS"/>
              </w:rPr>
              <w:t>.</w:t>
            </w:r>
            <w:r>
              <w:rPr>
                <w:bCs/>
                <w:sz w:val="20"/>
                <w:szCs w:val="20"/>
                <w:lang w:val="sr-Cyrl-BA"/>
              </w:rPr>
              <w:t xml:space="preserve"> 1.</w:t>
            </w:r>
            <w:r>
              <w:rPr>
                <w:bCs/>
                <w:sz w:val="20"/>
                <w:szCs w:val="20"/>
                <w:lang w:val="sr-Cyrl-RS"/>
              </w:rPr>
              <w:t>3</w:t>
            </w:r>
            <w:r>
              <w:rPr>
                <w:bCs/>
                <w:sz w:val="20"/>
                <w:szCs w:val="20"/>
                <w:lang w:val="sr-Cyrl-BA"/>
              </w:rPr>
              <w:t xml:space="preserve">.1.3. </w:t>
            </w:r>
            <w:r>
              <w:rPr>
                <w:sz w:val="20"/>
                <w:szCs w:val="20"/>
                <w:lang w:val="sr-Cyrl-BA"/>
              </w:rPr>
              <w:t xml:space="preserve"> Успостављање </w:t>
            </w:r>
            <w:r>
              <w:rPr>
                <w:bCs/>
                <w:sz w:val="20"/>
                <w:szCs w:val="20"/>
                <w:lang w:val="sr-Cyrl-RS"/>
              </w:rPr>
              <w:t>п</w:t>
            </w:r>
            <w:r>
              <w:rPr>
                <w:bCs/>
                <w:sz w:val="20"/>
                <w:szCs w:val="20"/>
                <w:lang w:val="bs-Latn-BA"/>
              </w:rPr>
              <w:t>ољопривредно</w:t>
            </w:r>
            <w:r>
              <w:rPr>
                <w:bCs/>
                <w:sz w:val="20"/>
                <w:szCs w:val="20"/>
                <w:lang w:val="sr-Cyrl-RS"/>
              </w:rPr>
              <w:t>г</w:t>
            </w:r>
            <w:r>
              <w:rPr>
                <w:bCs/>
                <w:sz w:val="20"/>
                <w:szCs w:val="20"/>
                <w:lang w:val="bs-Latn-BA"/>
              </w:rPr>
              <w:t xml:space="preserve"> машинск</w:t>
            </w:r>
            <w:r>
              <w:rPr>
                <w:bCs/>
                <w:sz w:val="20"/>
                <w:szCs w:val="20"/>
                <w:lang w:val="sr-Cyrl-RS"/>
              </w:rPr>
              <w:t>ог</w:t>
            </w:r>
            <w:r>
              <w:rPr>
                <w:bCs/>
                <w:sz w:val="20"/>
                <w:szCs w:val="20"/>
                <w:lang w:val="bs-Latn-BA"/>
              </w:rPr>
              <w:t xml:space="preserve"> серви</w:t>
            </w:r>
            <w:r>
              <w:rPr>
                <w:bCs/>
                <w:sz w:val="20"/>
                <w:szCs w:val="20"/>
                <w:lang w:val="sr-Cyrl-RS"/>
              </w:rPr>
              <w:t>са  (2018-2020)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bCs/>
                <w:sz w:val="20"/>
                <w:szCs w:val="20"/>
                <w:lang w:val="sr-Cyrl-BA" w:eastAsia="zh-CN"/>
              </w:rPr>
              <w:t>П</w:t>
            </w:r>
            <w:r>
              <w:rPr>
                <w:bCs/>
                <w:sz w:val="20"/>
                <w:szCs w:val="20"/>
                <w:lang w:val="sr-Latn-RS" w:eastAsia="zh-CN"/>
              </w:rPr>
              <w:t>.</w:t>
            </w:r>
            <w:r>
              <w:rPr>
                <w:bCs/>
                <w:sz w:val="20"/>
                <w:szCs w:val="20"/>
                <w:lang w:val="sr-Cyrl-BA" w:eastAsia="zh-CN"/>
              </w:rPr>
              <w:t xml:space="preserve"> 1.</w:t>
            </w:r>
            <w:r>
              <w:rPr>
                <w:bCs/>
                <w:sz w:val="20"/>
                <w:szCs w:val="20"/>
                <w:lang w:val="sr-Cyrl-RS" w:eastAsia="zh-CN"/>
              </w:rPr>
              <w:t>3</w:t>
            </w:r>
            <w:r>
              <w:rPr>
                <w:bCs/>
                <w:sz w:val="20"/>
                <w:szCs w:val="20"/>
                <w:lang w:val="sr-Cyrl-BA" w:eastAsia="zh-CN"/>
              </w:rPr>
              <w:t>.1.4. Успостављање р</w:t>
            </w:r>
            <w:r>
              <w:rPr>
                <w:bCs/>
                <w:sz w:val="20"/>
                <w:szCs w:val="20"/>
                <w:lang w:val="bs-Latn-BA" w:eastAsia="zh-CN"/>
              </w:rPr>
              <w:t>ејонс</w:t>
            </w:r>
            <w:r>
              <w:rPr>
                <w:bCs/>
                <w:sz w:val="20"/>
                <w:szCs w:val="20"/>
                <w:lang w:val="sr-Cyrl-RS" w:eastAsia="zh-CN"/>
              </w:rPr>
              <w:t>ких</w:t>
            </w:r>
            <w:r>
              <w:rPr>
                <w:bCs/>
                <w:sz w:val="20"/>
                <w:szCs w:val="20"/>
                <w:lang w:val="bs-Latn-BA" w:eastAsia="zh-CN"/>
              </w:rPr>
              <w:t xml:space="preserve"> тржниц</w:t>
            </w:r>
            <w:r>
              <w:rPr>
                <w:bCs/>
                <w:sz w:val="20"/>
                <w:szCs w:val="20"/>
                <w:lang w:val="sr-Cyrl-RS" w:eastAsia="zh-CN"/>
              </w:rPr>
              <w:t>а</w:t>
            </w:r>
            <w:r>
              <w:rPr>
                <w:bCs/>
                <w:sz w:val="20"/>
                <w:szCs w:val="20"/>
                <w:lang w:val="bs-Latn-BA" w:eastAsia="zh-CN"/>
              </w:rPr>
              <w:t xml:space="preserve"> и пијац</w:t>
            </w:r>
            <w:r>
              <w:rPr>
                <w:bCs/>
                <w:sz w:val="20"/>
                <w:szCs w:val="20"/>
                <w:lang w:val="sr-Cyrl-RS" w:eastAsia="zh-CN"/>
              </w:rPr>
              <w:t>а</w:t>
            </w:r>
            <w:r>
              <w:rPr>
                <w:bCs/>
                <w:sz w:val="20"/>
                <w:szCs w:val="20"/>
                <w:lang w:val="bs-Latn-BA" w:eastAsia="zh-CN"/>
              </w:rPr>
              <w:t xml:space="preserve"> за пласман пољопривредних производа</w:t>
            </w:r>
            <w:r>
              <w:rPr>
                <w:bCs/>
                <w:sz w:val="20"/>
                <w:szCs w:val="20"/>
                <w:lang w:val="sr-Cyrl-CS" w:eastAsia="zh-CN"/>
              </w:rPr>
              <w:t xml:space="preserve"> </w:t>
            </w:r>
            <w:r>
              <w:rPr>
                <w:bCs/>
                <w:sz w:val="20"/>
                <w:szCs w:val="20"/>
                <w:lang w:val="bs-Latn-BA" w:eastAsia="zh-CN"/>
              </w:rPr>
              <w:t xml:space="preserve">произведених на територији града Бања Луке </w:t>
            </w:r>
            <w:r>
              <w:rPr>
                <w:bCs/>
                <w:sz w:val="20"/>
                <w:szCs w:val="20"/>
                <w:lang w:val="sr-Cyrl-CS" w:eastAsia="zh-CN"/>
              </w:rPr>
              <w:t>(</w:t>
            </w:r>
            <w:r>
              <w:rPr>
                <w:bCs/>
                <w:sz w:val="20"/>
                <w:szCs w:val="20"/>
                <w:lang w:val="sr-Cyrl-BA" w:eastAsia="zh-CN"/>
              </w:rPr>
              <w:t>2019-2021)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restart"/>
            <w:tcBorders>
              <w:left w:val="single" w:color="000000" w:sz="4" w:space="0"/>
              <w:right w:val="single" w:color="000000" w:sz="4" w:space="0"/>
            </w:tcBorders>
            <w:vAlign w:val="center"/>
          </w:tcPr>
          <w:p>
            <w:pPr>
              <w:rPr>
                <w:b/>
                <w:sz w:val="20"/>
                <w:szCs w:val="20"/>
                <w:lang w:val="sr-Cyrl-BA"/>
              </w:rPr>
            </w:pPr>
            <w:r>
              <w:rPr>
                <w:b/>
                <w:sz w:val="20"/>
                <w:szCs w:val="20"/>
                <w:lang w:val="sr-Cyrl-BA"/>
              </w:rPr>
              <w:t>ПРОГРАМ 1.</w:t>
            </w:r>
            <w:r>
              <w:rPr>
                <w:b/>
                <w:sz w:val="20"/>
                <w:szCs w:val="20"/>
                <w:lang w:val="sr-Cyrl-RS"/>
              </w:rPr>
              <w:t>3</w:t>
            </w:r>
            <w:r>
              <w:rPr>
                <w:b/>
                <w:sz w:val="20"/>
                <w:szCs w:val="20"/>
                <w:lang w:val="sr-Cyrl-BA"/>
              </w:rPr>
              <w:t>.2. ЈАЧАЊЕ КОНКУРЕНТНОСТИ ПОЉОПРИВРЕДНИХ ПРОИЗВОЂАЧА</w:t>
            </w:r>
          </w:p>
          <w:p>
            <w:pPr>
              <w:pStyle w:val="46"/>
              <w:spacing w:before="0" w:line="240" w:lineRule="auto"/>
              <w:ind w:left="0"/>
              <w:jc w:val="left"/>
              <w:rPr>
                <w:b/>
                <w:sz w:val="20"/>
                <w:szCs w:val="20"/>
                <w:lang w:val="sr-Cyrl-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bCs/>
                <w:sz w:val="20"/>
                <w:szCs w:val="20"/>
                <w:lang w:val="sr-Cyrl-BA"/>
              </w:rPr>
              <w:t>П. 1.</w:t>
            </w:r>
            <w:r>
              <w:rPr>
                <w:bCs/>
                <w:sz w:val="20"/>
                <w:szCs w:val="20"/>
                <w:lang w:val="sr-Cyrl-RS"/>
              </w:rPr>
              <w:t>3</w:t>
            </w:r>
            <w:r>
              <w:rPr>
                <w:bCs/>
                <w:sz w:val="20"/>
                <w:szCs w:val="20"/>
                <w:lang w:val="sr-Cyrl-BA"/>
              </w:rPr>
              <w:t>.2.1.</w:t>
            </w:r>
            <w:r>
              <w:rPr>
                <w:bCs/>
                <w:sz w:val="20"/>
                <w:szCs w:val="20"/>
                <w:lang w:val="bs-Latn-BA"/>
              </w:rPr>
              <w:t xml:space="preserve"> </w:t>
            </w:r>
            <w:r>
              <w:rPr>
                <w:bCs/>
                <w:sz w:val="20"/>
                <w:szCs w:val="20"/>
                <w:lang w:val="sr-Cyrl-BA"/>
              </w:rPr>
              <w:t>Развој мини-прерађивачких погона на фармама, с циљем успостављања производње традиционалних пољопривредних производа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bCs/>
                <w:sz w:val="20"/>
                <w:szCs w:val="20"/>
                <w:lang w:val="sr-Cyrl-BA"/>
              </w:rPr>
              <w:t>М. 1.</w:t>
            </w:r>
            <w:r>
              <w:rPr>
                <w:bCs/>
                <w:sz w:val="20"/>
                <w:szCs w:val="20"/>
                <w:lang w:val="sr-Cyrl-RS"/>
              </w:rPr>
              <w:t>3</w:t>
            </w:r>
            <w:r>
              <w:rPr>
                <w:bCs/>
                <w:sz w:val="20"/>
                <w:szCs w:val="20"/>
                <w:lang w:val="sr-Cyrl-BA"/>
              </w:rPr>
              <w:t>.2.2.</w:t>
            </w:r>
            <w:r>
              <w:rPr>
                <w:bCs/>
                <w:sz w:val="20"/>
                <w:szCs w:val="20"/>
                <w:lang w:val="bs-Latn-BA"/>
              </w:rPr>
              <w:t xml:space="preserve"> </w:t>
            </w:r>
            <w:r>
              <w:rPr>
                <w:bCs/>
                <w:sz w:val="20"/>
                <w:szCs w:val="20"/>
                <w:lang w:val="sr-Cyrl-BA"/>
              </w:rPr>
              <w:t>Подстицаји за развој пољопривредне производње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BA"/>
              </w:rPr>
            </w:pPr>
            <w:r>
              <w:rPr>
                <w:bCs/>
                <w:sz w:val="20"/>
                <w:szCs w:val="20"/>
                <w:lang w:val="sr-Cyrl-BA"/>
              </w:rPr>
              <w:t>П. 1.3.2.3. Развој еколошке пољопривредне производње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CS"/>
              </w:rPr>
            </w:pPr>
            <w:r>
              <w:rPr>
                <w:bCs/>
                <w:sz w:val="20"/>
                <w:szCs w:val="20"/>
                <w:lang w:val="sr-Cyrl-RS"/>
              </w:rPr>
              <w:t>М. 1.3.2.</w:t>
            </w:r>
            <w:r>
              <w:rPr>
                <w:bCs/>
                <w:sz w:val="20"/>
                <w:szCs w:val="20"/>
              </w:rPr>
              <w:t>4</w:t>
            </w:r>
            <w:r>
              <w:rPr>
                <w:bCs/>
                <w:sz w:val="20"/>
                <w:szCs w:val="20"/>
                <w:lang w:val="sr-Cyrl-RS"/>
              </w:rPr>
              <w:t xml:space="preserve">. </w:t>
            </w:r>
            <w:r>
              <w:rPr>
                <w:bCs/>
                <w:sz w:val="20"/>
                <w:szCs w:val="20"/>
                <w:lang w:val="bs-Latn-BA"/>
              </w:rPr>
              <w:t>Рекултивисање запуштених парцела обрадивог пољ</w:t>
            </w:r>
            <w:r>
              <w:rPr>
                <w:bCs/>
                <w:sz w:val="20"/>
                <w:szCs w:val="20"/>
                <w:lang w:val="sr-Cyrl-RS"/>
              </w:rPr>
              <w:t xml:space="preserve">опривредног </w:t>
            </w:r>
            <w:r>
              <w:rPr>
                <w:bCs/>
                <w:sz w:val="20"/>
                <w:szCs w:val="20"/>
                <w:lang w:val="bs-Latn-BA"/>
              </w:rPr>
              <w:t xml:space="preserve">земљишта </w:t>
            </w:r>
          </w:p>
          <w:p>
            <w:pPr>
              <w:rPr>
                <w:bCs/>
                <w:sz w:val="20"/>
                <w:szCs w:val="20"/>
                <w:lang w:val="sr-Cyrl-BA"/>
              </w:rPr>
            </w:pP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46"/>
              <w:ind w:left="0"/>
              <w:jc w:val="left"/>
              <w:rPr>
                <w:bCs/>
                <w:sz w:val="20"/>
                <w:szCs w:val="20"/>
                <w:lang w:val="sr-Cyrl-RS"/>
              </w:rPr>
            </w:pPr>
            <w:r>
              <w:rPr>
                <w:rFonts w:eastAsia="Calibri"/>
                <w:bCs/>
                <w:sz w:val="20"/>
                <w:szCs w:val="20"/>
                <w:lang w:val="sr-Cyrl-RS" w:eastAsia="zh-CN"/>
              </w:rPr>
              <w:t xml:space="preserve">П. 1.3.2.5. </w:t>
            </w:r>
            <w:r>
              <w:rPr>
                <w:rFonts w:eastAsia="Calibri"/>
                <w:bCs/>
                <w:sz w:val="20"/>
                <w:szCs w:val="20"/>
                <w:lang w:val="bs-Latn-BA" w:eastAsia="zh-CN"/>
              </w:rPr>
              <w:t xml:space="preserve">Развој </w:t>
            </w:r>
            <w:r>
              <w:rPr>
                <w:rFonts w:eastAsia="Calibri"/>
                <w:bCs/>
                <w:sz w:val="20"/>
                <w:szCs w:val="20"/>
                <w:lang w:val="sr-Cyrl-RS" w:eastAsia="zh-CN"/>
              </w:rPr>
              <w:t>урбане пољопривреде по концепту „Градске баште“</w:t>
            </w:r>
            <w:r>
              <w:rPr>
                <w:rFonts w:eastAsia="Calibri"/>
                <w:bCs/>
                <w:sz w:val="20"/>
                <w:szCs w:val="20"/>
                <w:lang w:val="bs-Latn-BA" w:eastAsia="zh-CN"/>
              </w:rPr>
              <w:t xml:space="preserve"> </w:t>
            </w:r>
            <w:r>
              <w:rPr>
                <w:rFonts w:eastAsia="Calibri"/>
                <w:bCs/>
                <w:sz w:val="20"/>
                <w:szCs w:val="20"/>
                <w:lang w:val="sr-Cyrl-RS" w:eastAsia="zh-CN"/>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0" w:hRule="atLeast"/>
          <w:jc w:val="center"/>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1.4.1 УНАПРЈЕЂЕЊЕ ИНСТИТУЦИОНАЛНОГ И СТРАТЕШКОГ ОКВИРА ЗА РАЗВОЈ ТУРИЗМА</w:t>
            </w:r>
          </w:p>
        </w:tc>
        <w:tc>
          <w:tcPr>
            <w:tcW w:w="4341" w:type="dxa"/>
            <w:tcBorders>
              <w:top w:val="single" w:color="000000" w:sz="4" w:space="0"/>
              <w:left w:val="single" w:color="000000" w:sz="4" w:space="0"/>
              <w:right w:val="single" w:color="000000" w:sz="4" w:space="0"/>
            </w:tcBorders>
          </w:tcPr>
          <w:p>
            <w:pPr>
              <w:rPr>
                <w:sz w:val="20"/>
                <w:szCs w:val="20"/>
                <w:lang w:val="sr-Cyrl-RS"/>
              </w:rPr>
            </w:pPr>
            <w:r>
              <w:rPr>
                <w:bCs/>
                <w:sz w:val="20"/>
                <w:szCs w:val="20"/>
                <w:lang w:val="sr-Cyrl-RS"/>
              </w:rPr>
              <w:t>М</w:t>
            </w:r>
            <w:r>
              <w:rPr>
                <w:bCs/>
                <w:sz w:val="20"/>
                <w:szCs w:val="20"/>
                <w:lang w:val="sr-Cyrl-CS"/>
              </w:rPr>
              <w:t>.</w:t>
            </w:r>
            <w:r>
              <w:rPr>
                <w:bCs/>
                <w:sz w:val="20"/>
                <w:szCs w:val="20"/>
                <w:lang w:val="sr-Latn-RS"/>
              </w:rPr>
              <w:t xml:space="preserve"> </w:t>
            </w:r>
            <w:r>
              <w:rPr>
                <w:bCs/>
                <w:sz w:val="20"/>
                <w:szCs w:val="20"/>
                <w:lang w:val="sr-Cyrl-RS"/>
              </w:rPr>
              <w:t>1</w:t>
            </w:r>
            <w:r>
              <w:rPr>
                <w:bCs/>
                <w:sz w:val="20"/>
                <w:szCs w:val="20"/>
                <w:lang w:val="bs-Latn-BA"/>
              </w:rPr>
              <w:t>.</w:t>
            </w:r>
            <w:r>
              <w:rPr>
                <w:bCs/>
                <w:sz w:val="20"/>
                <w:szCs w:val="20"/>
                <w:lang w:val="sr-Cyrl-RS"/>
              </w:rPr>
              <w:t>4</w:t>
            </w:r>
            <w:r>
              <w:rPr>
                <w:bCs/>
                <w:sz w:val="20"/>
                <w:szCs w:val="20"/>
                <w:lang w:val="bs-Latn-BA"/>
              </w:rPr>
              <w:t xml:space="preserve">.1.1.  </w:t>
            </w:r>
            <w:r>
              <w:rPr>
                <w:bCs/>
                <w:sz w:val="20"/>
                <w:szCs w:val="20"/>
                <w:lang w:val="sr-Cyrl-RS"/>
              </w:rPr>
              <w:t xml:space="preserve">Оснаживање Туристичке организације града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0"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right w:val="single" w:color="000000" w:sz="4" w:space="0"/>
            </w:tcBorders>
          </w:tcPr>
          <w:p>
            <w:pPr>
              <w:rPr>
                <w:bCs/>
                <w:sz w:val="20"/>
                <w:szCs w:val="20"/>
                <w:lang w:val="sr-Cyrl-RS"/>
              </w:rPr>
            </w:pPr>
            <w:r>
              <w:rPr>
                <w:bCs/>
                <w:sz w:val="20"/>
                <w:szCs w:val="20"/>
                <w:lang w:val="sr-Cyrl-RS"/>
              </w:rPr>
              <w:t>П</w:t>
            </w:r>
            <w:r>
              <w:rPr>
                <w:bCs/>
                <w:sz w:val="20"/>
                <w:szCs w:val="20"/>
                <w:lang w:val="sr-Latn-RS"/>
              </w:rPr>
              <w:t>.</w:t>
            </w:r>
            <w:r>
              <w:rPr>
                <w:bCs/>
                <w:sz w:val="20"/>
                <w:szCs w:val="20"/>
                <w:lang w:val="sr-Cyrl-RS"/>
              </w:rPr>
              <w:t xml:space="preserve"> 1.4.1.2. Израда нове Стратегија развоја туризма Града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szCs w:val="20"/>
                <w:lang w:val="sr-Cyrl-RS"/>
              </w:rPr>
              <w:t xml:space="preserve">П. </w:t>
            </w:r>
            <w:r>
              <w:rPr>
                <w:sz w:val="20"/>
                <w:szCs w:val="20"/>
                <w:lang w:val="sr-Cyrl-CS"/>
              </w:rPr>
              <w:t xml:space="preserve">1.4.1.3. </w:t>
            </w:r>
            <w:r>
              <w:rPr>
                <w:bCs/>
                <w:sz w:val="20"/>
                <w:szCs w:val="20"/>
                <w:lang w:val="sr-Cyrl-RS"/>
              </w:rPr>
              <w:t xml:space="preserve">Припрема и реализација Програма провођења промотивних кампања у циљу  подизања еколошке и туристичке свијести локалног становништва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bs-Latn-BA"/>
              </w:rPr>
            </w:pPr>
            <w:r>
              <w:rPr>
                <w:bCs/>
                <w:sz w:val="20"/>
                <w:szCs w:val="20"/>
                <w:lang w:val="sr-Cyrl-RS"/>
              </w:rPr>
              <w:t>М</w:t>
            </w:r>
            <w:r>
              <w:rPr>
                <w:bCs/>
                <w:sz w:val="20"/>
                <w:szCs w:val="20"/>
                <w:lang w:val="sr-Latn-RS"/>
              </w:rPr>
              <w:t>.</w:t>
            </w:r>
            <w:r>
              <w:rPr>
                <w:bCs/>
                <w:sz w:val="20"/>
                <w:szCs w:val="20"/>
                <w:lang w:val="sr-Cyrl-RS"/>
              </w:rPr>
              <w:t xml:space="preserve"> 1.4.1.4. </w:t>
            </w:r>
            <w:r>
              <w:rPr>
                <w:sz w:val="20"/>
                <w:szCs w:val="20"/>
                <w:lang w:val="sr-Cyrl-RS"/>
              </w:rPr>
              <w:t xml:space="preserve"> Међународна конференција туризма и инвестиција Бања Лука</w:t>
            </w:r>
            <w:r>
              <w:rPr>
                <w:bCs/>
                <w:sz w:val="20"/>
                <w:szCs w:val="20"/>
                <w:lang w:val="sr-Cyrl-RS"/>
              </w:rPr>
              <w:t xml:space="preserve">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sr-Cyrl-RS"/>
              </w:rPr>
            </w:pPr>
            <w:r>
              <w:rPr>
                <w:sz w:val="20"/>
                <w:szCs w:val="20"/>
                <w:lang w:val="bs-Latn-BA"/>
              </w:rPr>
              <w:t xml:space="preserve">П. </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1</w:t>
            </w:r>
            <w:r>
              <w:rPr>
                <w:sz w:val="20"/>
                <w:szCs w:val="20"/>
                <w:lang w:val="bs-Latn-BA"/>
              </w:rPr>
              <w:t>.</w:t>
            </w:r>
            <w:r>
              <w:rPr>
                <w:sz w:val="20"/>
                <w:szCs w:val="20"/>
                <w:lang w:val="sr-Cyrl-RS"/>
              </w:rPr>
              <w:t>5</w:t>
            </w:r>
            <w:r>
              <w:rPr>
                <w:sz w:val="20"/>
                <w:szCs w:val="20"/>
                <w:lang w:val="bs-Latn-BA"/>
              </w:rPr>
              <w:t xml:space="preserve">. </w:t>
            </w:r>
            <w:r>
              <w:rPr>
                <w:bCs/>
                <w:sz w:val="20"/>
                <w:szCs w:val="20"/>
                <w:lang w:val="sr-Cyrl-RS"/>
              </w:rPr>
              <w:t>Успостављање туристичког Инфо центра за посјетиоце (2019-2021.)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szCs w:val="20"/>
                <w:lang w:val="sr-Cyrl-RS"/>
              </w:rPr>
              <w:t>М</w:t>
            </w:r>
            <w:r>
              <w:rPr>
                <w:sz w:val="20"/>
                <w:szCs w:val="20"/>
                <w:lang w:val="bs-Latn-BA"/>
              </w:rPr>
              <w:t xml:space="preserve">. </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1</w:t>
            </w:r>
            <w:r>
              <w:rPr>
                <w:sz w:val="20"/>
                <w:szCs w:val="20"/>
                <w:lang w:val="bs-Latn-BA"/>
              </w:rPr>
              <w:t>.</w:t>
            </w:r>
            <w:r>
              <w:rPr>
                <w:sz w:val="20"/>
                <w:szCs w:val="20"/>
                <w:lang w:val="sr-Cyrl-RS"/>
              </w:rPr>
              <w:t>6</w:t>
            </w:r>
            <w:r>
              <w:rPr>
                <w:sz w:val="20"/>
                <w:szCs w:val="20"/>
                <w:lang w:val="bs-Latn-BA"/>
              </w:rPr>
              <w:t xml:space="preserve">. </w:t>
            </w:r>
            <w:r>
              <w:rPr>
                <w:sz w:val="20"/>
                <w:szCs w:val="20"/>
                <w:lang w:val="sr-Cyrl-RS"/>
              </w:rPr>
              <w:t>Ј</w:t>
            </w:r>
            <w:r>
              <w:rPr>
                <w:sz w:val="20"/>
                <w:szCs w:val="20"/>
                <w:lang w:val="bs-Latn-BA"/>
              </w:rPr>
              <w:t>ачањ</w:t>
            </w:r>
            <w:r>
              <w:rPr>
                <w:sz w:val="20"/>
                <w:szCs w:val="20"/>
                <w:lang w:val="sr-Cyrl-RS"/>
              </w:rPr>
              <w:t>е</w:t>
            </w:r>
            <w:r>
              <w:rPr>
                <w:sz w:val="20"/>
                <w:szCs w:val="20"/>
                <w:lang w:val="bs-Latn-BA"/>
              </w:rPr>
              <w:t xml:space="preserve"> промотивних активности </w:t>
            </w:r>
            <w:r>
              <w:rPr>
                <w:sz w:val="20"/>
                <w:szCs w:val="20"/>
                <w:lang w:val="sr-Cyrl-CS"/>
              </w:rPr>
              <w:t xml:space="preserve">у регији и </w:t>
            </w:r>
            <w:r>
              <w:rPr>
                <w:sz w:val="20"/>
                <w:szCs w:val="20"/>
                <w:lang w:val="bs-Latn-BA"/>
              </w:rPr>
              <w:t xml:space="preserve">иностранству </w:t>
            </w:r>
            <w:r>
              <w:rPr>
                <w:sz w:val="20"/>
                <w:szCs w:val="20"/>
                <w:lang w:val="sr-Cyrl-RS"/>
              </w:rPr>
              <w:t xml:space="preserve"> </w:t>
            </w:r>
            <w:r>
              <w:rPr>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szCs w:val="20"/>
                <w:lang w:val="bs-Latn-BA"/>
              </w:rPr>
              <w:t>П.</w:t>
            </w:r>
            <w:r>
              <w:rPr>
                <w:sz w:val="20"/>
                <w:szCs w:val="20"/>
                <w:lang w:val="sr-Cyrl-CS"/>
              </w:rPr>
              <w:t xml:space="preserve"> </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1</w:t>
            </w:r>
            <w:r>
              <w:rPr>
                <w:sz w:val="20"/>
                <w:szCs w:val="20"/>
                <w:lang w:val="bs-Latn-BA"/>
              </w:rPr>
              <w:t>.</w:t>
            </w:r>
            <w:r>
              <w:rPr>
                <w:sz w:val="20"/>
                <w:szCs w:val="20"/>
                <w:lang w:val="sr-Cyrl-CS"/>
              </w:rPr>
              <w:t>7</w:t>
            </w:r>
            <w:r>
              <w:rPr>
                <w:sz w:val="20"/>
                <w:szCs w:val="20"/>
                <w:lang w:val="bs-Latn-BA"/>
              </w:rPr>
              <w:t xml:space="preserve">. Успостава мониторинга пословања привредних субјеката у туризму </w:t>
            </w:r>
            <w:r>
              <w:rPr>
                <w:sz w:val="20"/>
                <w:szCs w:val="20"/>
                <w:lang w:val="sr-Cyrl-RS"/>
              </w:rPr>
              <w:t>(2019-2022)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rPr>
            </w:pPr>
            <w:r>
              <w:rPr>
                <w:b/>
                <w:sz w:val="20"/>
                <w:szCs w:val="20"/>
              </w:rPr>
              <w:t>ПРОГРАМ. 1.4.</w:t>
            </w:r>
            <w:r>
              <w:rPr>
                <w:b/>
                <w:sz w:val="20"/>
                <w:szCs w:val="20"/>
                <w:lang w:val="sr-Cyrl-RS"/>
              </w:rPr>
              <w:t xml:space="preserve">2 </w:t>
            </w:r>
            <w:r>
              <w:rPr>
                <w:b/>
                <w:sz w:val="20"/>
                <w:szCs w:val="20"/>
                <w:lang w:val="sr-Latn-CS"/>
              </w:rPr>
              <w:t xml:space="preserve"> </w:t>
            </w:r>
            <w:r>
              <w:rPr>
                <w:b/>
                <w:sz w:val="20"/>
                <w:szCs w:val="20"/>
                <w:lang w:val="sr-Cyrl-RS"/>
              </w:rPr>
              <w:t>УНАПРЈЕЂЕЊЕ ТУРИСТИЧКЕ ИНФРАСТРУКТУРЕ</w:t>
            </w: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lang w:val="sr-Cyrl-CS"/>
              </w:rPr>
            </w:pPr>
            <w:r>
              <w:rPr>
                <w:sz w:val="20"/>
                <w:szCs w:val="20"/>
                <w:lang w:val="sr-Cyrl-CS"/>
              </w:rPr>
              <w:t xml:space="preserve">П. 1.4.2.1. Изградња и унапређење здравствено-туристичког центра „Српске топлице“ </w:t>
            </w:r>
          </w:p>
          <w:p>
            <w:pPr>
              <w:rPr>
                <w:rFonts w:cs="Calibri"/>
                <w:sz w:val="20"/>
                <w:szCs w:val="20"/>
                <w:lang w:eastAsia="hr-HR"/>
              </w:rPr>
            </w:pPr>
            <w:r>
              <w:rPr>
                <w:sz w:val="20"/>
                <w:szCs w:val="20"/>
                <w:lang w:val="sr-Cyrl-CS"/>
              </w:rPr>
              <w:t>(2019-2022)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C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lang w:val="sr-Cyrl-CS"/>
              </w:rPr>
            </w:pPr>
            <w:r>
              <w:rPr>
                <w:sz w:val="20"/>
                <w:szCs w:val="20"/>
                <w:lang w:val="sr-Cyrl-RS"/>
              </w:rPr>
              <w:t>М</w:t>
            </w:r>
            <w:r>
              <w:rPr>
                <w:sz w:val="20"/>
                <w:szCs w:val="20"/>
                <w:lang w:val="bs-Latn-BA"/>
              </w:rPr>
              <w:t>.</w:t>
            </w:r>
            <w:r>
              <w:rPr>
                <w:sz w:val="20"/>
                <w:szCs w:val="20"/>
                <w:lang w:val="sr-Cyrl-CS"/>
              </w:rPr>
              <w:t xml:space="preserve"> </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2</w:t>
            </w:r>
            <w:r>
              <w:rPr>
                <w:sz w:val="20"/>
                <w:szCs w:val="20"/>
                <w:lang w:val="bs-Latn-BA"/>
              </w:rPr>
              <w:t>.</w:t>
            </w:r>
            <w:r>
              <w:rPr>
                <w:sz w:val="20"/>
                <w:szCs w:val="20"/>
              </w:rPr>
              <w:t>2</w:t>
            </w:r>
            <w:r>
              <w:rPr>
                <w:sz w:val="20"/>
                <w:szCs w:val="20"/>
                <w:lang w:val="bs-Latn-BA"/>
              </w:rPr>
              <w:t xml:space="preserve">. </w:t>
            </w:r>
            <w:r>
              <w:rPr>
                <w:sz w:val="20"/>
                <w:szCs w:val="20"/>
                <w:lang w:val="sr-Cyrl-RS"/>
              </w:rPr>
              <w:t xml:space="preserve">Развој понуде </w:t>
            </w:r>
            <w:r>
              <w:rPr>
                <w:sz w:val="20"/>
                <w:szCs w:val="20"/>
                <w:lang w:val="sr-Cyrl-CS"/>
              </w:rPr>
              <w:t>смјештајних капацитета на територији града Бања Лука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C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rFonts w:cs="Calibri"/>
                <w:i/>
                <w:sz w:val="20"/>
                <w:szCs w:val="20"/>
                <w:lang w:eastAsia="hr-HR"/>
              </w:rPr>
            </w:pPr>
            <w:r>
              <w:rPr>
                <w:sz w:val="20"/>
                <w:szCs w:val="20"/>
                <w:lang w:val="bs-Latn-BA"/>
              </w:rPr>
              <w:t>П.</w:t>
            </w:r>
            <w:r>
              <w:rPr>
                <w:sz w:val="20"/>
                <w:szCs w:val="20"/>
                <w:lang w:val="sr-Cyrl-CS"/>
              </w:rPr>
              <w:t xml:space="preserve"> </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2</w:t>
            </w:r>
            <w:r>
              <w:rPr>
                <w:sz w:val="20"/>
                <w:szCs w:val="20"/>
                <w:lang w:val="bs-Latn-BA"/>
              </w:rPr>
              <w:t>.</w:t>
            </w:r>
            <w:r>
              <w:rPr>
                <w:sz w:val="20"/>
                <w:szCs w:val="20"/>
              </w:rPr>
              <w:t>3</w:t>
            </w:r>
            <w:r>
              <w:rPr>
                <w:sz w:val="20"/>
                <w:szCs w:val="20"/>
                <w:lang w:val="bs-Latn-BA"/>
              </w:rPr>
              <w:t xml:space="preserve">. </w:t>
            </w:r>
            <w:r>
              <w:rPr>
                <w:sz w:val="20"/>
                <w:szCs w:val="20"/>
                <w:lang w:val="sr-Cyrl-CS"/>
              </w:rPr>
              <w:t>Унапређена туристичко-рекреативна понуда на Мањачи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lang w:val="sr-Cyrl-RS"/>
              </w:rPr>
            </w:pPr>
            <w:r>
              <w:rPr>
                <w:sz w:val="20"/>
                <w:szCs w:val="20"/>
                <w:lang w:val="sr-Cyrl-RS"/>
              </w:rPr>
              <w:t>П. 1.4.2.</w:t>
            </w:r>
            <w:r>
              <w:rPr>
                <w:sz w:val="20"/>
                <w:szCs w:val="20"/>
              </w:rPr>
              <w:t>4</w:t>
            </w:r>
            <w:r>
              <w:rPr>
                <w:sz w:val="20"/>
                <w:szCs w:val="20"/>
                <w:lang w:val="sr-Cyrl-RS"/>
              </w:rPr>
              <w:t xml:space="preserve">. Уређење комплекса Бањ брдо </w:t>
            </w:r>
          </w:p>
          <w:p>
            <w:pPr>
              <w:rPr>
                <w:rFonts w:cs="Calibri"/>
                <w:sz w:val="20"/>
                <w:szCs w:val="20"/>
                <w:lang w:eastAsia="hr-HR"/>
              </w:rPr>
            </w:pPr>
            <w:r>
              <w:rPr>
                <w:sz w:val="20"/>
                <w:szCs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bs-Latn-BA"/>
              </w:rPr>
            </w:pPr>
            <w:r>
              <w:rPr>
                <w:sz w:val="20"/>
                <w:szCs w:val="20"/>
                <w:lang w:val="bs-Latn-BA"/>
              </w:rPr>
              <w:t>П.</w:t>
            </w:r>
            <w:r>
              <w:rPr>
                <w:sz w:val="20"/>
                <w:szCs w:val="20"/>
                <w:lang w:val="sr-Cyrl-CS"/>
              </w:rPr>
              <w:t xml:space="preserve"> </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2</w:t>
            </w:r>
            <w:r>
              <w:rPr>
                <w:sz w:val="20"/>
                <w:szCs w:val="20"/>
                <w:lang w:val="bs-Latn-BA"/>
              </w:rPr>
              <w:t>.</w:t>
            </w:r>
            <w:r>
              <w:rPr>
                <w:sz w:val="20"/>
                <w:szCs w:val="20"/>
              </w:rPr>
              <w:t>5</w:t>
            </w:r>
            <w:r>
              <w:rPr>
                <w:sz w:val="20"/>
                <w:szCs w:val="20"/>
                <w:lang w:val="bs-Latn-BA"/>
              </w:rPr>
              <w:t xml:space="preserve">. Изградња мултифункционалне дворане </w:t>
            </w:r>
            <w:r>
              <w:rPr>
                <w:sz w:val="20"/>
                <w:szCs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rPr>
            </w:pPr>
            <w:r>
              <w:rPr>
                <w:sz w:val="20"/>
                <w:szCs w:val="20"/>
                <w:lang w:val="bs-Latn-BA"/>
              </w:rPr>
              <w:t>П.</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2</w:t>
            </w:r>
            <w:r>
              <w:rPr>
                <w:sz w:val="20"/>
                <w:szCs w:val="20"/>
                <w:lang w:val="bs-Latn-BA"/>
              </w:rPr>
              <w:t>.</w:t>
            </w:r>
            <w:r>
              <w:rPr>
                <w:sz w:val="20"/>
                <w:szCs w:val="20"/>
              </w:rPr>
              <w:t>6</w:t>
            </w:r>
            <w:r>
              <w:rPr>
                <w:sz w:val="20"/>
                <w:szCs w:val="20"/>
                <w:lang w:val="bs-Latn-BA"/>
              </w:rPr>
              <w:t xml:space="preserve">. </w:t>
            </w:r>
            <w:r>
              <w:rPr>
                <w:sz w:val="20"/>
                <w:szCs w:val="20"/>
                <w:lang w:val="sr-Cyrl-CS"/>
              </w:rPr>
              <w:t>Развој инфраструктуре</w:t>
            </w:r>
            <w:r>
              <w:rPr>
                <w:sz w:val="20"/>
                <w:szCs w:val="20"/>
                <w:lang w:val="bs-Latn-BA"/>
              </w:rPr>
              <w:t xml:space="preserve"> </w:t>
            </w:r>
            <w:r>
              <w:rPr>
                <w:sz w:val="20"/>
                <w:szCs w:val="20"/>
                <w:lang w:val="sr-Cyrl-CS"/>
              </w:rPr>
              <w:t>за циклотуризам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rPr>
            </w:pPr>
            <w:r>
              <w:rPr>
                <w:sz w:val="20"/>
                <w:szCs w:val="20"/>
                <w:lang w:val="bs-Latn-BA"/>
              </w:rPr>
              <w:t>П.</w:t>
            </w:r>
            <w:r>
              <w:rPr>
                <w:sz w:val="20"/>
                <w:szCs w:val="20"/>
                <w:lang w:val="sr-Cyrl-RS"/>
              </w:rPr>
              <w:t>1</w:t>
            </w:r>
            <w:r>
              <w:rPr>
                <w:sz w:val="20"/>
                <w:szCs w:val="20"/>
                <w:lang w:val="bs-Latn-BA"/>
              </w:rPr>
              <w:t>.</w:t>
            </w:r>
            <w:r>
              <w:rPr>
                <w:sz w:val="20"/>
                <w:szCs w:val="20"/>
                <w:lang w:val="sr-Cyrl-RS"/>
              </w:rPr>
              <w:t>4</w:t>
            </w:r>
            <w:r>
              <w:rPr>
                <w:sz w:val="20"/>
                <w:szCs w:val="20"/>
                <w:lang w:val="bs-Latn-BA"/>
              </w:rPr>
              <w:t>.</w:t>
            </w:r>
            <w:r>
              <w:rPr>
                <w:sz w:val="20"/>
                <w:szCs w:val="20"/>
                <w:lang w:val="sr-Cyrl-RS"/>
              </w:rPr>
              <w:t>2</w:t>
            </w:r>
            <w:r>
              <w:rPr>
                <w:sz w:val="20"/>
                <w:szCs w:val="20"/>
                <w:lang w:val="bs-Latn-BA"/>
              </w:rPr>
              <w:t>.</w:t>
            </w:r>
            <w:r>
              <w:rPr>
                <w:sz w:val="20"/>
                <w:szCs w:val="20"/>
              </w:rPr>
              <w:t>7</w:t>
            </w:r>
            <w:r>
              <w:rPr>
                <w:sz w:val="20"/>
                <w:szCs w:val="20"/>
                <w:lang w:val="bs-Latn-BA"/>
              </w:rPr>
              <w:t xml:space="preserve">. Изградња пристаништа за дајак </w:t>
            </w:r>
            <w:r>
              <w:rPr>
                <w:sz w:val="20"/>
                <w:szCs w:val="20"/>
                <w:lang w:val="sr-Cyrl-RS"/>
              </w:rPr>
              <w:t>(2019)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szCs w:val="20"/>
                <w:lang w:val="sr-Cyrl-CS"/>
              </w:rPr>
              <w:t>П. 1.4.2.</w:t>
            </w:r>
            <w:r>
              <w:rPr>
                <w:sz w:val="20"/>
                <w:szCs w:val="20"/>
              </w:rPr>
              <w:t>8</w:t>
            </w:r>
            <w:r>
              <w:rPr>
                <w:sz w:val="20"/>
                <w:szCs w:val="20"/>
                <w:lang w:val="sr-Cyrl-CS"/>
              </w:rPr>
              <w:t xml:space="preserve">. </w:t>
            </w:r>
            <w:r>
              <w:rPr>
                <w:sz w:val="20"/>
                <w:szCs w:val="20"/>
                <w:lang w:val="sr-Cyrl-RS"/>
              </w:rPr>
              <w:t xml:space="preserve">Изградња парка љубави Сафикада </w:t>
            </w:r>
          </w:p>
          <w:p>
            <w:pPr>
              <w:pStyle w:val="46"/>
              <w:spacing w:before="0"/>
              <w:ind w:left="0"/>
              <w:contextualSpacing w:val="0"/>
              <w:jc w:val="left"/>
              <w:rPr>
                <w:sz w:val="20"/>
                <w:szCs w:val="20"/>
              </w:rPr>
            </w:pPr>
            <w:r>
              <w:rPr>
                <w:rFonts w:eastAsia="Calibri"/>
                <w:sz w:val="20"/>
                <w:szCs w:val="20"/>
                <w:lang w:val="sr-Cyrl-RS"/>
              </w:rPr>
              <w:t>(2019-2020)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rPr>
            </w:pPr>
            <w:r>
              <w:rPr>
                <w:sz w:val="20"/>
                <w:szCs w:val="20"/>
                <w:lang w:val="sr-Cyrl-CS"/>
              </w:rPr>
              <w:t>П. 1.4.2.</w:t>
            </w:r>
            <w:r>
              <w:rPr>
                <w:sz w:val="20"/>
                <w:szCs w:val="20"/>
              </w:rPr>
              <w:t>9</w:t>
            </w:r>
            <w:r>
              <w:rPr>
                <w:sz w:val="20"/>
                <w:szCs w:val="20"/>
                <w:lang w:val="sr-Cyrl-CS"/>
              </w:rPr>
              <w:t>. Изградња остале туристичке инфраструктуре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r>
              <w:rPr>
                <w:b/>
                <w:sz w:val="20"/>
                <w:szCs w:val="20"/>
              </w:rPr>
              <w:t>ПРОГРАМ</w:t>
            </w:r>
            <w:r>
              <w:rPr>
                <w:b/>
                <w:sz w:val="20"/>
                <w:szCs w:val="20"/>
                <w:lang w:val="hr-BA"/>
              </w:rPr>
              <w:t xml:space="preserve"> </w:t>
            </w:r>
            <w:r>
              <w:rPr>
                <w:b/>
                <w:sz w:val="20"/>
                <w:szCs w:val="20"/>
                <w:lang w:val="sr-Cyrl-RS"/>
              </w:rPr>
              <w:t>1</w:t>
            </w:r>
            <w:r>
              <w:rPr>
                <w:b/>
                <w:sz w:val="20"/>
                <w:szCs w:val="20"/>
                <w:lang w:val="hr-BA"/>
              </w:rPr>
              <w:t>.</w:t>
            </w:r>
            <w:r>
              <w:rPr>
                <w:b/>
                <w:sz w:val="20"/>
                <w:szCs w:val="20"/>
                <w:lang w:val="sr-Cyrl-RS"/>
              </w:rPr>
              <w:t>4</w:t>
            </w:r>
            <w:r>
              <w:rPr>
                <w:b/>
                <w:sz w:val="20"/>
                <w:szCs w:val="20"/>
                <w:lang w:val="hr-BA"/>
              </w:rPr>
              <w:t>.</w:t>
            </w:r>
            <w:r>
              <w:rPr>
                <w:b/>
                <w:sz w:val="20"/>
                <w:szCs w:val="20"/>
                <w:lang w:val="sr-Cyrl-RS"/>
              </w:rPr>
              <w:t>3</w:t>
            </w:r>
            <w:r>
              <w:rPr>
                <w:b/>
                <w:sz w:val="20"/>
                <w:szCs w:val="20"/>
                <w:lang w:val="hr-BA"/>
              </w:rPr>
              <w:t xml:space="preserve">  </w:t>
            </w:r>
            <w:r>
              <w:rPr>
                <w:b/>
                <w:sz w:val="20"/>
                <w:szCs w:val="20"/>
                <w:lang w:val="sr-Cyrl-RS"/>
              </w:rPr>
              <w:t>РАЗВОЈ ТУРИСТИЧКИХ САДРЖАЈА И ТУРИСТИЧКЕ ПОНУДЕ</w:t>
            </w: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bCs/>
                <w:sz w:val="20"/>
                <w:szCs w:val="20"/>
                <w:lang w:val="sr-Cyrl-RS"/>
              </w:rPr>
              <w:t xml:space="preserve">П. 1.4.3.1. </w:t>
            </w:r>
            <w:r>
              <w:rPr>
                <w:sz w:val="20"/>
                <w:szCs w:val="20"/>
                <w:lang w:val="bs-Latn-BA"/>
              </w:rPr>
              <w:t>Креирање имиџа града Бања Луке као туристичке дестиниције</w:t>
            </w:r>
            <w:r>
              <w:rPr>
                <w:sz w:val="20"/>
                <w:szCs w:val="20"/>
                <w:lang w:val="sr-Cyrl-RS"/>
              </w:rPr>
              <w:t xml:space="preserve"> </w:t>
            </w:r>
            <w:r>
              <w:rPr>
                <w:sz w:val="20"/>
                <w:szCs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pStyle w:val="46"/>
              <w:spacing w:before="0" w:line="240" w:lineRule="auto"/>
              <w:ind w:left="0"/>
              <w:contextualSpacing w:val="0"/>
              <w:jc w:val="left"/>
              <w:rPr>
                <w:rFonts w:cs="Calibri"/>
                <w:color w:val="000000"/>
                <w:sz w:val="20"/>
                <w:szCs w:val="20"/>
                <w:lang w:val="hr-BA" w:eastAsia="hr-HR"/>
              </w:rPr>
            </w:pPr>
            <w:r>
              <w:rPr>
                <w:rFonts w:eastAsia="Calibri"/>
                <w:sz w:val="20"/>
                <w:szCs w:val="20"/>
                <w:lang w:val="sr-Cyrl-RS"/>
              </w:rPr>
              <w:t xml:space="preserve">П. 1.4.3.2. Интегрисање туристичких производа/креирање регионалних туристичких производа </w:t>
            </w:r>
            <w:r>
              <w:rPr>
                <w:rFonts w:eastAsia="Calibri"/>
                <w:bCs/>
                <w:sz w:val="20"/>
                <w:szCs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4901" w:type="dxa"/>
            <w:vMerge w:val="continue"/>
            <w:tcBorders>
              <w:left w:val="single" w:color="000000" w:sz="4" w:space="0"/>
              <w:bottom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vAlign w:val="center"/>
          </w:tcPr>
          <w:p>
            <w:pPr>
              <w:pStyle w:val="46"/>
              <w:spacing w:before="0" w:line="240" w:lineRule="auto"/>
              <w:ind w:left="0"/>
              <w:contextualSpacing w:val="0"/>
              <w:jc w:val="left"/>
              <w:rPr>
                <w:sz w:val="20"/>
                <w:szCs w:val="20"/>
                <w:lang w:val="sr-Cyrl-RS"/>
              </w:rPr>
            </w:pPr>
            <w:r>
              <w:rPr>
                <w:rFonts w:eastAsia="Calibri"/>
                <w:bCs/>
                <w:sz w:val="20"/>
                <w:szCs w:val="20"/>
                <w:lang w:val="sr-Cyrl-RS"/>
              </w:rPr>
              <w:t xml:space="preserve">П. 1.4.3.3. Туристичко зонирање у функцији руралног развоја </w:t>
            </w:r>
            <w:r>
              <w:rPr>
                <w:rFonts w:eastAsia="Calibri"/>
                <w:sz w:val="20"/>
                <w:szCs w:val="20"/>
                <w:lang w:val="sr-Cyrl-CS"/>
              </w:rPr>
              <w:t>(2020-2022)</w:t>
            </w:r>
          </w:p>
        </w:tc>
      </w:tr>
    </w:tbl>
    <w:p>
      <w:pPr>
        <w:jc w:val="both"/>
      </w:pPr>
    </w:p>
    <w:p>
      <w:pPr>
        <w:jc w:val="both"/>
      </w:pPr>
      <w:r>
        <w:t>Укупна очекивана улагања за реализацију секторског плана економског развоја за период 201</w:t>
      </w:r>
      <w:r>
        <w:rPr>
          <w:lang w:val="sr-Cyrl-RS"/>
        </w:rPr>
        <w:t>8</w:t>
      </w:r>
      <w:r>
        <w:t xml:space="preserve">-2022. године износе  </w:t>
      </w:r>
      <w:r>
        <w:rPr>
          <w:b/>
        </w:rPr>
        <w:t>88.264.500</w:t>
      </w:r>
      <w:r>
        <w:t xml:space="preserve"> </w:t>
      </w:r>
      <w:r>
        <w:rPr>
          <w:b/>
        </w:rPr>
        <w:t>КМ</w:t>
      </w:r>
      <w:r>
        <w:t xml:space="preserve">. </w:t>
      </w:r>
    </w:p>
    <w:p>
      <w:pPr>
        <w:pStyle w:val="3"/>
      </w:pPr>
      <w:bookmarkStart w:id="126" w:name="_Toc526761934"/>
      <w:bookmarkStart w:id="127" w:name="_Toc452886794"/>
      <w:bookmarkStart w:id="128" w:name="_Toc298390159"/>
      <w:bookmarkStart w:id="129" w:name="_Toc461719858"/>
      <w:bookmarkStart w:id="130" w:name="_Toc473095872"/>
      <w:r>
        <w:t>V.3.</w:t>
      </w:r>
      <w:r>
        <w:tab/>
      </w:r>
      <w:r>
        <w:t>План друштвеног развоја</w:t>
      </w:r>
      <w:bookmarkEnd w:id="126"/>
      <w:bookmarkEnd w:id="127"/>
      <w:bookmarkEnd w:id="128"/>
      <w:bookmarkEnd w:id="129"/>
      <w:bookmarkEnd w:id="130"/>
    </w:p>
    <w:p>
      <w:pPr>
        <w:jc w:val="both"/>
        <w:rPr>
          <w:rFonts w:cs="Calibri"/>
          <w:lang w:val="sr-Cyrl-RS"/>
        </w:rPr>
      </w:pPr>
      <w:r>
        <w:rPr>
          <w:rFonts w:cs="Calibri"/>
        </w:rPr>
        <w:t xml:space="preserve">Секторски план друштвеног развоја </w:t>
      </w:r>
      <w:r>
        <w:rPr>
          <w:rFonts w:cs="Calibri"/>
          <w:lang w:val="sr-Cyrl-RS"/>
        </w:rPr>
        <w:t>града Бања Лука</w:t>
      </w:r>
      <w:r>
        <w:rPr>
          <w:rFonts w:cs="Calibri"/>
        </w:rPr>
        <w:t xml:space="preserve"> се израђује на основу резултата социо – економске анализе, дефинисане визије развоја и стратешких циљева као и анализе стања, слабости, прилика и претњи у области друштвеног развоја. На основу утврђене визије и стратешких циљева евидентно је да се проблеми у области друштвеног развоја р</w:t>
      </w:r>
      <w:r>
        <w:rPr>
          <w:rFonts w:cs="Calibri"/>
          <w:lang w:val="sr-Cyrl-RS"/>
        </w:rPr>
        <w:t>ј</w:t>
      </w:r>
      <w:r>
        <w:rPr>
          <w:rFonts w:cs="Calibri"/>
        </w:rPr>
        <w:t>ешавају кроз унапређење инфраструктуре и опремљености постојећих јавних институција</w:t>
      </w:r>
      <w:r>
        <w:rPr>
          <w:rFonts w:cs="Calibri"/>
          <w:lang w:val="sr-Cyrl-RS"/>
        </w:rPr>
        <w:t xml:space="preserve"> у области образовања, здравства, културе и спорта</w:t>
      </w:r>
      <w:r>
        <w:rPr>
          <w:rFonts w:cs="Calibri"/>
        </w:rPr>
        <w:t xml:space="preserve">, унапређење услуга у области друштвеног развоја, </w:t>
      </w:r>
      <w:r>
        <w:rPr>
          <w:rFonts w:cs="Calibri"/>
          <w:lang w:val="sr-Cyrl-RS"/>
        </w:rPr>
        <w:t xml:space="preserve">осигурање социјалне инклузије </w:t>
      </w:r>
      <w:r>
        <w:rPr>
          <w:rFonts w:cs="Calibri"/>
        </w:rPr>
        <w:t xml:space="preserve">кроз процес укључивање грађана у рад локалне самоуправе, </w:t>
      </w:r>
      <w:r>
        <w:rPr>
          <w:rFonts w:cs="Calibri"/>
          <w:lang w:val="sr-Cyrl-RS"/>
        </w:rPr>
        <w:t>јачање цивилног дру</w:t>
      </w:r>
      <w:r>
        <w:rPr>
          <w:rFonts w:cs="Calibri"/>
          <w:lang w:val="sr-Cyrl-CS"/>
        </w:rPr>
        <w:t>ш</w:t>
      </w:r>
      <w:r>
        <w:rPr>
          <w:rFonts w:cs="Calibri"/>
          <w:lang w:val="sr-Cyrl-RS"/>
        </w:rPr>
        <w:t xml:space="preserve">тва, </w:t>
      </w:r>
      <w:r>
        <w:rPr>
          <w:rFonts w:cs="Calibri"/>
        </w:rPr>
        <w:t>кроз побољшавање сигурности грађана као и  кроз креирање бољих услова за унапређења положаја младих.</w:t>
      </w:r>
      <w:r>
        <w:rPr>
          <w:rFonts w:cs="Calibri"/>
          <w:lang w:val="sr-Cyrl-RS"/>
        </w:rPr>
        <w:t xml:space="preserve"> Посебан аспект од значаја у оквиру сектора друштвеног развоја јесте оприједељеност ка дигитализацији, увођењу рјешења по концепту </w:t>
      </w:r>
      <w:r>
        <w:rPr>
          <w:rFonts w:cs="Calibri"/>
          <w:i/>
          <w:lang w:val="sr-Latn-RS"/>
        </w:rPr>
        <w:t>Smart City</w:t>
      </w:r>
      <w:r>
        <w:rPr>
          <w:rFonts w:cs="Calibri"/>
          <w:i/>
          <w:lang w:val="sr-Cyrl-RS"/>
        </w:rPr>
        <w:t xml:space="preserve">, </w:t>
      </w:r>
      <w:r>
        <w:rPr>
          <w:rFonts w:cs="Calibri"/>
          <w:lang w:val="sr-Cyrl-RS"/>
        </w:rPr>
        <w:t xml:space="preserve">е-Управе и електронских сервиса за грађане. </w:t>
      </w:r>
    </w:p>
    <w:p>
      <w:pPr>
        <w:jc w:val="both"/>
        <w:rPr>
          <w:rFonts w:cs="Calibri"/>
          <w:lang w:val="sr-Cyrl-RS"/>
        </w:rPr>
      </w:pPr>
    </w:p>
    <w:p>
      <w:pPr>
        <w:jc w:val="both"/>
        <w:rPr>
          <w:rFonts w:cs="Calibri"/>
          <w:lang w:val="sr-Cyrl-RS"/>
        </w:rPr>
      </w:pPr>
      <w:r>
        <w:rPr>
          <w:rFonts w:cs="Calibri"/>
          <w:lang w:val="sr-Cyrl-RS"/>
        </w:rPr>
        <w:t>У оквиру сектора друштвеног развоја, тежиће се равномјерном развоју градских, приградских и руралних подручја, путем адекватног урбанистичког планирања, развоја инфраструктуре и доступности квалитетних услуга и садржаја за све становнике града Бања Луке.</w:t>
      </w:r>
    </w:p>
    <w:p>
      <w:pPr>
        <w:jc w:val="both"/>
        <w:rPr>
          <w:rFonts w:cs="Calibri"/>
          <w:lang w:val="sr-Latn-CS"/>
        </w:rPr>
      </w:pPr>
    </w:p>
    <w:p>
      <w:pPr>
        <w:pStyle w:val="13"/>
        <w:spacing w:before="120" w:after="120"/>
        <w:jc w:val="center"/>
        <w:rPr>
          <w:rFonts w:eastAsia="Times New Roman" w:asciiTheme="minorHAnsi" w:hAnsiTheme="minorHAnsi" w:cstheme="minorHAnsi"/>
          <w:b/>
          <w:bCs/>
          <w:kern w:val="32"/>
          <w:sz w:val="22"/>
          <w:szCs w:val="22"/>
          <w:lang w:val="bs-Latn-BA"/>
        </w:rPr>
      </w:pPr>
      <w:r>
        <w:rPr>
          <w:rFonts w:eastAsia="Times New Roman" w:asciiTheme="minorHAnsi" w:hAnsiTheme="minorHAnsi" w:cstheme="minorHAnsi"/>
          <w:b/>
          <w:bCs/>
          <w:kern w:val="32"/>
          <w:sz w:val="22"/>
          <w:szCs w:val="22"/>
          <w:lang w:val="bs-Latn-BA"/>
        </w:rPr>
        <w:t>SWOT АНАЛИЗА – ДРУШТВЕНИ РАЗВОЈ</w:t>
      </w:r>
    </w:p>
    <w:p>
      <w:pPr>
        <w:spacing w:line="276" w:lineRule="auto"/>
        <w:jc w:val="both"/>
        <w:rPr>
          <w:rFonts w:asciiTheme="minorHAnsi" w:hAnsiTheme="minorHAnsi" w:cstheme="minorHAnsi"/>
          <w:sz w:val="20"/>
          <w:szCs w:val="20"/>
          <w:lang w:val="bs-Latn-BA"/>
        </w:rPr>
      </w:pPr>
    </w:p>
    <w:tbl>
      <w:tblPr>
        <w:tblStyle w:val="36"/>
        <w:tblW w:w="89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7"/>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117" w:type="dxa"/>
            <w:shd w:val="clear" w:color="auto" w:fill="92D050"/>
          </w:tcPr>
          <w:p>
            <w:pPr>
              <w:pStyle w:val="54"/>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СНАГЕ</w:t>
            </w:r>
          </w:p>
        </w:tc>
        <w:tc>
          <w:tcPr>
            <w:tcW w:w="4860" w:type="dxa"/>
            <w:shd w:val="clear" w:color="auto" w:fill="92D050"/>
          </w:tcPr>
          <w:p>
            <w:pPr>
              <w:pStyle w:val="54"/>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СЛАБОСТИ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4117" w:type="dxa"/>
            <w:shd w:val="clear" w:color="auto" w:fill="auto"/>
          </w:tcPr>
          <w:p>
            <w:pPr>
              <w:rPr>
                <w:rFonts w:asciiTheme="minorHAnsi" w:hAnsiTheme="minorHAnsi" w:cstheme="minorHAnsi"/>
                <w:b/>
                <w:i/>
                <w:sz w:val="20"/>
                <w:szCs w:val="20"/>
                <w:lang w:val="bs-Latn-BA"/>
              </w:rPr>
            </w:pPr>
            <w:r>
              <w:rPr>
                <w:rFonts w:asciiTheme="minorHAnsi" w:hAnsiTheme="minorHAnsi" w:cstheme="minorHAnsi"/>
                <w:b/>
                <w:i/>
                <w:sz w:val="20"/>
                <w:szCs w:val="20"/>
                <w:lang w:val="bs-Latn-BA"/>
              </w:rPr>
              <w:t xml:space="preserve">Предшколско образовање: </w:t>
            </w:r>
          </w:p>
          <w:p>
            <w:pPr>
              <w:pStyle w:val="46"/>
              <w:numPr>
                <w:ilvl w:val="0"/>
                <w:numId w:val="57"/>
              </w:numPr>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Развијеност инфраструктуре – широка мрежа предшколских установа у градском подручју </w:t>
            </w:r>
          </w:p>
          <w:p>
            <w:pPr>
              <w:pStyle w:val="46"/>
              <w:numPr>
                <w:ilvl w:val="0"/>
                <w:numId w:val="5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Високи стандарди - сви вртићи у јавном и приватном сектору раде у складу са Програмом за предшколско васпитање и образовање који доноси Министарство просвјете и културе, као и Одлуком оснивача о повећаном броју дјеце у групама. </w:t>
            </w:r>
          </w:p>
          <w:p>
            <w:pPr>
              <w:pStyle w:val="46"/>
              <w:numPr>
                <w:ilvl w:val="0"/>
                <w:numId w:val="5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Људски  ресурси -  бројност и компетенције запослених у предшколским установама. </w:t>
            </w:r>
          </w:p>
          <w:p>
            <w:pPr>
              <w:pStyle w:val="46"/>
              <w:numPr>
                <w:ilvl w:val="0"/>
                <w:numId w:val="5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Успостављена међусекторска сарадња</w:t>
            </w:r>
            <w:r>
              <w:rPr>
                <w:rFonts w:asciiTheme="minorHAnsi" w:hAnsiTheme="minorHAnsi" w:cstheme="minorHAnsi"/>
                <w:sz w:val="20"/>
                <w:szCs w:val="20"/>
                <w:lang w:val="sr-Cyrl-CS"/>
              </w:rPr>
              <w:t xml:space="preserve"> </w:t>
            </w:r>
            <w:r>
              <w:rPr>
                <w:rFonts w:asciiTheme="minorHAnsi" w:hAnsiTheme="minorHAnsi" w:cstheme="minorHAnsi"/>
                <w:sz w:val="20"/>
                <w:szCs w:val="20"/>
                <w:lang w:val="bs-Latn-BA"/>
              </w:rPr>
              <w:t xml:space="preserve">(јавни, цивилни, приватни сектор) на локалном, ентитетском и међународном нивоу. </w:t>
            </w:r>
          </w:p>
          <w:p>
            <w:pPr>
              <w:pStyle w:val="46"/>
              <w:numPr>
                <w:ilvl w:val="0"/>
                <w:numId w:val="5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Усвојен Акциони план за децу града Бања Луке за период 2016-2020</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 xml:space="preserve">Основно образовање: </w:t>
            </w:r>
          </w:p>
          <w:p>
            <w:pPr>
              <w:pStyle w:val="46"/>
              <w:numPr>
                <w:ilvl w:val="0"/>
                <w:numId w:val="57"/>
              </w:numPr>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Развијеност образовне инфраструктуре и квалитет људских ресурса. </w:t>
            </w:r>
          </w:p>
          <w:p>
            <w:pPr>
              <w:pStyle w:val="46"/>
              <w:numPr>
                <w:ilvl w:val="0"/>
                <w:numId w:val="57"/>
              </w:numPr>
              <w:jc w:val="left"/>
              <w:rPr>
                <w:rFonts w:asciiTheme="minorHAnsi" w:hAnsiTheme="minorHAnsi" w:cstheme="minorHAnsi"/>
                <w:sz w:val="20"/>
                <w:szCs w:val="20"/>
                <w:lang w:val="bs-Latn-BA"/>
              </w:rPr>
            </w:pPr>
            <w:r>
              <w:rPr>
                <w:rFonts w:asciiTheme="minorHAnsi" w:hAnsiTheme="minorHAnsi" w:cstheme="minorHAnsi"/>
                <w:sz w:val="20"/>
                <w:szCs w:val="20"/>
                <w:shd w:val="clear" w:color="auto" w:fill="FFFFFF" w:themeFill="background1"/>
                <w:lang w:val="bs-Latn-BA"/>
              </w:rPr>
              <w:t xml:space="preserve">План мреже основних школа и уписна подручја усвојен на Скупштини Града крајем децембра 2017. са дефинисаним потреба за унапређење инфраструктурних услова.  </w:t>
            </w:r>
          </w:p>
          <w:p>
            <w:pPr>
              <w:pStyle w:val="46"/>
              <w:numPr>
                <w:ilvl w:val="0"/>
                <w:numId w:val="57"/>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Буџетска издвајања за основно образовање (бесплатни уџбеници, превоз). </w:t>
            </w:r>
          </w:p>
          <w:p>
            <w:pPr>
              <w:pStyle w:val="46"/>
              <w:numPr>
                <w:ilvl w:val="0"/>
                <w:numId w:val="57"/>
              </w:numPr>
              <w:jc w:val="left"/>
              <w:rPr>
                <w:rFonts w:asciiTheme="minorHAnsi" w:hAnsiTheme="minorHAnsi" w:cstheme="minorHAnsi"/>
                <w:sz w:val="20"/>
                <w:szCs w:val="20"/>
                <w:lang w:val="bs-Latn-BA"/>
              </w:rPr>
            </w:pPr>
            <w:r>
              <w:rPr>
                <w:rFonts w:asciiTheme="minorHAnsi" w:hAnsiTheme="minorHAnsi" w:cstheme="minorHAnsi"/>
                <w:sz w:val="20"/>
                <w:szCs w:val="20"/>
                <w:lang w:val="bs-Latn-BA"/>
              </w:rPr>
              <w:t>Постојање добре сарадње са организацијама цивилног друштва на пољу образовања.</w:t>
            </w:r>
          </w:p>
          <w:p>
            <w:pPr>
              <w:pStyle w:val="46"/>
              <w:numPr>
                <w:ilvl w:val="0"/>
                <w:numId w:val="57"/>
              </w:numPr>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Постојање центара за децу са сметњама у развоју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Средњошколско образовање</w:t>
            </w:r>
          </w:p>
          <w:p>
            <w:pPr>
              <w:numPr>
                <w:ilvl w:val="0"/>
                <w:numId w:val="57"/>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 xml:space="preserve">Развијена мрежа средњих школа </w:t>
            </w:r>
          </w:p>
          <w:p>
            <w:pPr>
              <w:numPr>
                <w:ilvl w:val="0"/>
                <w:numId w:val="57"/>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 xml:space="preserve">Образовна мрежа даје диверсификовану едукативну понуду – велики број образовних профила. </w:t>
            </w:r>
          </w:p>
          <w:p>
            <w:pPr>
              <w:numPr>
                <w:ilvl w:val="0"/>
                <w:numId w:val="57"/>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 xml:space="preserve">Велики обухват младих средњошколсим образовањем. </w:t>
            </w:r>
          </w:p>
          <w:p>
            <w:pPr>
              <w:numPr>
                <w:ilvl w:val="0"/>
                <w:numId w:val="57"/>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Финансијске мере подршке обезбеђене из буџет аграда ( стипендирање)</w:t>
            </w:r>
          </w:p>
          <w:p>
            <w:pPr>
              <w:numPr>
                <w:ilvl w:val="0"/>
                <w:numId w:val="57"/>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Активне омладинске мреже на територији ЛС које пружају шансу за стицање вештина</w:t>
            </w:r>
          </w:p>
          <w:p>
            <w:pPr>
              <w:numPr>
                <w:ilvl w:val="0"/>
                <w:numId w:val="57"/>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Постојање програма за стицања међународно признате дипломе</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 xml:space="preserve">Образовање одраслих </w:t>
            </w:r>
          </w:p>
          <w:p>
            <w:pPr>
              <w:pStyle w:val="46"/>
              <w:numPr>
                <w:ilvl w:val="0"/>
                <w:numId w:val="58"/>
              </w:numPr>
              <w:jc w:val="left"/>
              <w:rPr>
                <w:rFonts w:asciiTheme="minorHAnsi" w:hAnsiTheme="minorHAnsi" w:cstheme="minorHAnsi"/>
                <w:sz w:val="20"/>
                <w:szCs w:val="20"/>
                <w:lang w:val="bs-Latn-BA"/>
              </w:rPr>
            </w:pPr>
            <w:r>
              <w:rPr>
                <w:rFonts w:asciiTheme="minorHAnsi" w:hAnsiTheme="minorHAnsi" w:cstheme="minorHAnsi"/>
                <w:sz w:val="20"/>
                <w:szCs w:val="20"/>
                <w:lang w:val="bs-Latn-BA"/>
              </w:rPr>
              <w:t>Постојање  образовних програма за одрасле.</w:t>
            </w:r>
          </w:p>
          <w:p>
            <w:pPr>
              <w:pStyle w:val="46"/>
              <w:numPr>
                <w:ilvl w:val="0"/>
                <w:numId w:val="58"/>
              </w:numPr>
              <w:jc w:val="left"/>
              <w:rPr>
                <w:rFonts w:asciiTheme="minorHAnsi" w:hAnsiTheme="minorHAnsi" w:cstheme="minorHAnsi"/>
                <w:sz w:val="20"/>
                <w:szCs w:val="20"/>
                <w:lang w:val="bs-Latn-BA"/>
              </w:rPr>
            </w:pPr>
            <w:r>
              <w:rPr>
                <w:rFonts w:asciiTheme="minorHAnsi" w:hAnsiTheme="minorHAnsi" w:cstheme="minorHAnsi"/>
                <w:sz w:val="20"/>
                <w:szCs w:val="20"/>
                <w:lang w:val="bs-Latn-BA"/>
              </w:rPr>
              <w:t>Повећање социјалне укључености одраслих грађана кроз активности целоживотног учења.</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 xml:space="preserve">Високо образовање </w:t>
            </w:r>
          </w:p>
          <w:p>
            <w:pPr>
              <w:pStyle w:val="46"/>
              <w:numPr>
                <w:ilvl w:val="0"/>
                <w:numId w:val="59"/>
              </w:numPr>
              <w:spacing w:before="0" w:line="240" w:lineRule="auto"/>
              <w:jc w:val="left"/>
              <w:rPr>
                <w:rFonts w:eastAsia="Calibri" w:asciiTheme="minorHAnsi" w:hAnsiTheme="minorHAnsi" w:cstheme="minorHAnsi"/>
                <w:sz w:val="20"/>
                <w:szCs w:val="20"/>
                <w:lang w:val="bs-Latn-BA"/>
              </w:rPr>
            </w:pPr>
            <w:r>
              <w:rPr>
                <w:rFonts w:eastAsia="Calibri" w:asciiTheme="minorHAnsi" w:hAnsiTheme="minorHAnsi" w:cstheme="minorHAnsi"/>
                <w:sz w:val="20"/>
                <w:szCs w:val="20"/>
                <w:lang w:val="bs-Latn-BA"/>
              </w:rPr>
              <w:t>Традиција и искуство у високом образовању</w:t>
            </w:r>
          </w:p>
          <w:p>
            <w:pPr>
              <w:pStyle w:val="46"/>
              <w:numPr>
                <w:ilvl w:val="0"/>
                <w:numId w:val="59"/>
              </w:numPr>
              <w:spacing w:before="0" w:line="240" w:lineRule="auto"/>
              <w:jc w:val="left"/>
              <w:rPr>
                <w:rFonts w:eastAsia="Calibri" w:asciiTheme="minorHAnsi" w:hAnsiTheme="minorHAnsi" w:cstheme="minorHAnsi"/>
                <w:sz w:val="20"/>
                <w:szCs w:val="20"/>
                <w:lang w:val="bs-Latn-BA"/>
              </w:rPr>
            </w:pPr>
            <w:r>
              <w:rPr>
                <w:rFonts w:eastAsia="Calibri" w:asciiTheme="minorHAnsi" w:hAnsiTheme="minorHAnsi" w:cstheme="minorHAnsi"/>
                <w:sz w:val="20"/>
                <w:szCs w:val="20"/>
                <w:lang w:val="bs-Latn-BA"/>
              </w:rPr>
              <w:t>Развијене академске студије у великом броју области</w:t>
            </w:r>
          </w:p>
          <w:p>
            <w:pPr>
              <w:pStyle w:val="46"/>
              <w:numPr>
                <w:ilvl w:val="0"/>
                <w:numId w:val="59"/>
              </w:numPr>
              <w:spacing w:before="0" w:line="240" w:lineRule="auto"/>
              <w:jc w:val="left"/>
              <w:rPr>
                <w:rFonts w:eastAsia="Calibri" w:asciiTheme="minorHAnsi" w:hAnsiTheme="minorHAnsi" w:cstheme="minorHAnsi"/>
                <w:sz w:val="20"/>
                <w:szCs w:val="20"/>
                <w:lang w:val="bs-Latn-BA"/>
              </w:rPr>
            </w:pPr>
            <w:r>
              <w:rPr>
                <w:rFonts w:eastAsia="Calibri" w:asciiTheme="minorHAnsi" w:hAnsiTheme="minorHAnsi" w:cstheme="minorHAnsi"/>
                <w:sz w:val="20"/>
                <w:szCs w:val="20"/>
                <w:lang w:val="bs-Latn-BA"/>
              </w:rPr>
              <w:t>Квалитет појединих факултета или катедри и висок квалитет једног броја наставника</w:t>
            </w:r>
          </w:p>
          <w:p>
            <w:pPr>
              <w:pStyle w:val="46"/>
              <w:numPr>
                <w:ilvl w:val="0"/>
                <w:numId w:val="59"/>
              </w:numPr>
              <w:spacing w:before="0" w:line="240" w:lineRule="auto"/>
              <w:jc w:val="left"/>
              <w:rPr>
                <w:rFonts w:eastAsia="Calibri" w:asciiTheme="minorHAnsi" w:hAnsiTheme="minorHAnsi" w:cstheme="minorHAnsi"/>
                <w:sz w:val="20"/>
                <w:szCs w:val="20"/>
                <w:lang w:val="bs-Latn-BA"/>
              </w:rPr>
            </w:pPr>
            <w:r>
              <w:rPr>
                <w:rFonts w:eastAsia="Calibri" w:asciiTheme="minorHAnsi" w:hAnsiTheme="minorHAnsi" w:cstheme="minorHAnsi"/>
                <w:sz w:val="20"/>
                <w:szCs w:val="20"/>
                <w:lang w:val="bs-Latn-BA"/>
              </w:rPr>
              <w:t>Студентске стипендије</w:t>
            </w:r>
          </w:p>
          <w:p>
            <w:pPr>
              <w:pStyle w:val="46"/>
              <w:numPr>
                <w:ilvl w:val="0"/>
                <w:numId w:val="59"/>
              </w:numPr>
              <w:spacing w:before="0" w:line="240" w:lineRule="auto"/>
              <w:jc w:val="left"/>
              <w:rPr>
                <w:rFonts w:eastAsia="Calibri" w:asciiTheme="minorHAnsi" w:hAnsiTheme="minorHAnsi" w:cstheme="minorHAnsi"/>
                <w:sz w:val="20"/>
                <w:szCs w:val="20"/>
                <w:lang w:val="bs-Latn-BA"/>
              </w:rPr>
            </w:pPr>
            <w:r>
              <w:rPr>
                <w:rFonts w:eastAsia="Calibri" w:asciiTheme="minorHAnsi" w:hAnsiTheme="minorHAnsi" w:cstheme="minorHAnsi"/>
                <w:sz w:val="20"/>
                <w:szCs w:val="20"/>
                <w:lang w:val="bs-Latn-BA"/>
              </w:rPr>
              <w:t>Подршка студентским организацијама/удружењима</w:t>
            </w:r>
          </w:p>
          <w:p>
            <w:pPr>
              <w:pStyle w:val="46"/>
              <w:spacing w:before="0" w:line="240" w:lineRule="auto"/>
              <w:jc w:val="left"/>
              <w:rPr>
                <w:rFonts w:eastAsia="Calibri" w:asciiTheme="minorHAnsi" w:hAnsiTheme="minorHAnsi" w:cstheme="minorHAnsi"/>
                <w:sz w:val="20"/>
                <w:szCs w:val="20"/>
                <w:lang w:val="bs-Latn-BA"/>
              </w:rPr>
            </w:pPr>
          </w:p>
          <w:p>
            <w:pPr>
              <w:rPr>
                <w:rFonts w:asciiTheme="minorHAnsi" w:hAnsiTheme="minorHAnsi" w:cstheme="minorHAnsi"/>
                <w:b/>
                <w:i/>
                <w:sz w:val="20"/>
                <w:szCs w:val="20"/>
                <w:lang w:val="sr-Cyrl-CS"/>
              </w:rPr>
            </w:pPr>
          </w:p>
          <w:p>
            <w:pPr>
              <w:rPr>
                <w:rFonts w:asciiTheme="minorHAnsi" w:hAnsiTheme="minorHAnsi" w:cstheme="minorHAnsi"/>
                <w:b/>
                <w:i/>
                <w:sz w:val="20"/>
                <w:szCs w:val="20"/>
                <w:lang w:val="sr-Cyrl-CS"/>
              </w:rPr>
            </w:pPr>
          </w:p>
          <w:p>
            <w:pPr>
              <w:rPr>
                <w:rFonts w:asciiTheme="minorHAnsi" w:hAnsiTheme="minorHAnsi" w:cstheme="minorHAnsi"/>
                <w:sz w:val="20"/>
                <w:szCs w:val="20"/>
                <w:lang w:val="bs-Latn-BA"/>
              </w:rPr>
            </w:pPr>
            <w:r>
              <w:rPr>
                <w:rFonts w:asciiTheme="minorHAnsi" w:hAnsiTheme="minorHAnsi" w:cstheme="minorHAnsi"/>
                <w:b/>
                <w:i/>
                <w:sz w:val="20"/>
                <w:szCs w:val="20"/>
                <w:lang w:val="bs-Latn-BA"/>
              </w:rPr>
              <w:t xml:space="preserve">Здравствена заштита </w:t>
            </w:r>
          </w:p>
          <w:p>
            <w:pPr>
              <w:pStyle w:val="46"/>
              <w:numPr>
                <w:ilvl w:val="0"/>
                <w:numId w:val="59"/>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Развијена мрежа здравствених установа на примарном, секундардном и терцијалном нивоу. </w:t>
            </w:r>
          </w:p>
          <w:p>
            <w:pPr>
              <w:pStyle w:val="46"/>
              <w:numPr>
                <w:ilvl w:val="0"/>
                <w:numId w:val="59"/>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Успостављени капацитети људских ресурса у оквиру здравствених установа </w:t>
            </w:r>
          </w:p>
          <w:p>
            <w:pPr>
              <w:pStyle w:val="46"/>
              <w:numPr>
                <w:ilvl w:val="0"/>
                <w:numId w:val="59"/>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Развијена приватна лекарска пракса</w:t>
            </w:r>
          </w:p>
          <w:p>
            <w:pPr>
              <w:pStyle w:val="46"/>
              <w:numPr>
                <w:ilvl w:val="0"/>
                <w:numId w:val="59"/>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Успостављени модели сарадње са удружењима грађана у области превентивне здравствене заштите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Социјална заштита</w:t>
            </w:r>
          </w:p>
          <w:p>
            <w:pPr>
              <w:pStyle w:val="46"/>
              <w:numPr>
                <w:ilvl w:val="0"/>
                <w:numId w:val="60"/>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Постојање организационих капацитета за пружање услуга социјалне заштите у оквиру јавног и цивилног сектора. </w:t>
            </w:r>
          </w:p>
          <w:p>
            <w:pPr>
              <w:pStyle w:val="46"/>
              <w:numPr>
                <w:ilvl w:val="0"/>
                <w:numId w:val="60"/>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Буџетска издвајања за мере матријалне подршке и услуга социјалне зашите </w:t>
            </w:r>
          </w:p>
          <w:p>
            <w:pPr>
              <w:pStyle w:val="46"/>
              <w:numPr>
                <w:ilvl w:val="0"/>
                <w:numId w:val="60"/>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Развијена међусекторска сарадња у области унапређења социјалне заштите маргинализованих и вулнерабилних група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Култура</w:t>
            </w:r>
          </w:p>
          <w:p>
            <w:pPr>
              <w:pStyle w:val="46"/>
              <w:numPr>
                <w:ilvl w:val="0"/>
                <w:numId w:val="61"/>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Развијена мрежа установа културе</w:t>
            </w:r>
          </w:p>
          <w:p>
            <w:pPr>
              <w:pStyle w:val="46"/>
              <w:numPr>
                <w:ilvl w:val="0"/>
                <w:numId w:val="61"/>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Удружења грађана која делују на пољу унапређења културних садржаја </w:t>
            </w:r>
          </w:p>
          <w:p>
            <w:pPr>
              <w:pStyle w:val="46"/>
              <w:numPr>
                <w:ilvl w:val="0"/>
                <w:numId w:val="61"/>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Буџетска издвајања за финансирање установа културе и културних програма </w:t>
            </w:r>
          </w:p>
          <w:p>
            <w:pPr>
              <w:pStyle w:val="46"/>
              <w:numPr>
                <w:ilvl w:val="0"/>
                <w:numId w:val="61"/>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Кандидатура Бања Луке за Европску престоницу културе</w:t>
            </w:r>
          </w:p>
          <w:p>
            <w:pPr>
              <w:pStyle w:val="46"/>
              <w:numPr>
                <w:ilvl w:val="0"/>
                <w:numId w:val="61"/>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Постојање садржаја и простора за особе са сметњама у развоју</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Спорт</w:t>
            </w:r>
          </w:p>
          <w:p>
            <w:pPr>
              <w:pStyle w:val="46"/>
              <w:numPr>
                <w:ilvl w:val="0"/>
                <w:numId w:val="62"/>
              </w:numPr>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Постојећа спортска инфраструктура </w:t>
            </w:r>
          </w:p>
          <w:p>
            <w:pPr>
              <w:pStyle w:val="46"/>
              <w:numPr>
                <w:ilvl w:val="0"/>
                <w:numId w:val="62"/>
              </w:numPr>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Велики број  спортских клубова</w:t>
            </w:r>
            <w:r>
              <w:rPr>
                <w:rFonts w:asciiTheme="minorHAnsi" w:hAnsiTheme="minorHAnsi" w:cstheme="minorHAnsi"/>
                <w:sz w:val="20"/>
                <w:szCs w:val="20"/>
                <w:lang w:val="sr-Cyrl-CS"/>
              </w:rPr>
              <w:t xml:space="preserve">, </w:t>
            </w:r>
            <w:r>
              <w:rPr>
                <w:rFonts w:asciiTheme="minorHAnsi" w:hAnsiTheme="minorHAnsi" w:cstheme="minorHAnsi"/>
                <w:sz w:val="20"/>
                <w:szCs w:val="20"/>
                <w:lang w:val="bs-Latn-BA"/>
              </w:rPr>
              <w:t xml:space="preserve">гранских савеза различитих нивоа (градски, ентитетски) основаних као НВО и УГ. </w:t>
            </w:r>
          </w:p>
          <w:p>
            <w:pPr>
              <w:pStyle w:val="46"/>
              <w:numPr>
                <w:ilvl w:val="0"/>
                <w:numId w:val="62"/>
              </w:numPr>
              <w:shd w:val="clear" w:color="auto" w:fill="FFFFFF"/>
              <w:spacing w:before="100" w:beforeAutospacing="1" w:after="100" w:afterAutospacing="1"/>
              <w:jc w:val="left"/>
              <w:rPr>
                <w:rFonts w:asciiTheme="minorHAnsi" w:hAnsiTheme="minorHAnsi" w:cstheme="minorHAnsi"/>
                <w:b/>
                <w:i/>
                <w:sz w:val="20"/>
                <w:szCs w:val="20"/>
                <w:lang w:val="bs-Latn-BA"/>
              </w:rPr>
            </w:pPr>
            <w:r>
              <w:rPr>
                <w:rFonts w:asciiTheme="minorHAnsi" w:hAnsiTheme="minorHAnsi" w:cstheme="minorHAnsi"/>
                <w:sz w:val="20"/>
                <w:szCs w:val="20"/>
                <w:lang w:val="bs-Latn-BA"/>
              </w:rPr>
              <w:t>Буџетска средства опред</w:t>
            </w:r>
            <w:r>
              <w:rPr>
                <w:rFonts w:asciiTheme="minorHAnsi" w:hAnsiTheme="minorHAnsi" w:cstheme="minorHAnsi"/>
                <w:sz w:val="20"/>
                <w:szCs w:val="20"/>
                <w:lang w:val="sr-Cyrl-CS"/>
              </w:rPr>
              <w:t>ј</w:t>
            </w:r>
            <w:r>
              <w:rPr>
                <w:rFonts w:asciiTheme="minorHAnsi" w:hAnsiTheme="minorHAnsi" w:cstheme="minorHAnsi"/>
                <w:sz w:val="20"/>
                <w:szCs w:val="20"/>
                <w:lang w:val="bs-Latn-BA"/>
              </w:rPr>
              <w:t>ељена за рад ЈУ Борик</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Цивилно друштво</w:t>
            </w:r>
          </w:p>
          <w:p>
            <w:pPr>
              <w:pStyle w:val="46"/>
              <w:numPr>
                <w:ilvl w:val="0"/>
                <w:numId w:val="63"/>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Велики број удружења грађана која д</w:t>
            </w:r>
            <w:r>
              <w:rPr>
                <w:rFonts w:asciiTheme="minorHAnsi" w:hAnsiTheme="minorHAnsi" w:cstheme="minorHAnsi"/>
                <w:sz w:val="20"/>
                <w:szCs w:val="20"/>
                <w:lang w:val="sr-Cyrl-CS"/>
              </w:rPr>
              <w:t>ј</w:t>
            </w:r>
            <w:r>
              <w:rPr>
                <w:rFonts w:asciiTheme="minorHAnsi" w:hAnsiTheme="minorHAnsi" w:cstheme="minorHAnsi"/>
                <w:sz w:val="20"/>
                <w:szCs w:val="20"/>
                <w:lang w:val="bs-Latn-BA"/>
              </w:rPr>
              <w:t xml:space="preserve">елују у областима од значаја за друштвени развој </w:t>
            </w:r>
          </w:p>
          <w:p>
            <w:pPr>
              <w:pStyle w:val="46"/>
              <w:numPr>
                <w:ilvl w:val="0"/>
                <w:numId w:val="63"/>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Буџетска издвајања за финансирање удружења грађана</w:t>
            </w:r>
          </w:p>
          <w:p>
            <w:pPr>
              <w:pStyle w:val="46"/>
              <w:numPr>
                <w:ilvl w:val="0"/>
                <w:numId w:val="63"/>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Удружења грађана као пружаоци услуга социјалне заштите</w:t>
            </w:r>
          </w:p>
          <w:p>
            <w:pPr>
              <w:pStyle w:val="46"/>
              <w:numPr>
                <w:ilvl w:val="0"/>
                <w:numId w:val="63"/>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Успостављена сарадња јавног и цивилног сектора у областима од значаја за друштвени развој, а посебно за социјалну инклузију рањивих и маргинализованих група.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 xml:space="preserve">Цивилна зашита </w:t>
            </w:r>
          </w:p>
          <w:p>
            <w:pPr>
              <w:pStyle w:val="46"/>
              <w:numPr>
                <w:ilvl w:val="0"/>
                <w:numId w:val="64"/>
              </w:numPr>
              <w:shd w:val="clear" w:color="auto" w:fill="FFFFFF"/>
              <w:spacing w:before="100" w:beforeAutospacing="1" w:after="100" w:afterAutospacing="1"/>
              <w:jc w:val="left"/>
              <w:rPr>
                <w:rFonts w:asciiTheme="minorHAnsi" w:hAnsiTheme="minorHAnsi" w:cstheme="minorHAnsi"/>
                <w:bCs/>
                <w:iCs/>
                <w:sz w:val="20"/>
                <w:szCs w:val="20"/>
                <w:lang w:val="bs-Latn-BA"/>
              </w:rPr>
            </w:pPr>
            <w:r>
              <w:rPr>
                <w:rFonts w:asciiTheme="minorHAnsi" w:hAnsiTheme="minorHAnsi" w:cstheme="minorHAnsi"/>
                <w:bCs/>
                <w:iCs/>
                <w:sz w:val="20"/>
                <w:szCs w:val="20"/>
                <w:lang w:val="bs-Latn-BA"/>
              </w:rPr>
              <w:t>Клубови и удружења укључени у цивилну заштиту</w:t>
            </w:r>
          </w:p>
          <w:p>
            <w:pPr>
              <w:pStyle w:val="46"/>
              <w:numPr>
                <w:ilvl w:val="0"/>
                <w:numId w:val="64"/>
              </w:numPr>
              <w:shd w:val="clear" w:color="auto" w:fill="FFFFFF"/>
              <w:spacing w:before="100" w:beforeAutospacing="1" w:after="100" w:afterAutospacing="1"/>
              <w:jc w:val="left"/>
              <w:rPr>
                <w:rFonts w:asciiTheme="minorHAnsi" w:hAnsiTheme="minorHAnsi" w:cstheme="minorHAnsi"/>
                <w:bCs/>
                <w:iCs/>
                <w:sz w:val="20"/>
                <w:szCs w:val="20"/>
                <w:lang w:val="bs-Latn-BA"/>
              </w:rPr>
            </w:pPr>
            <w:r>
              <w:rPr>
                <w:rFonts w:asciiTheme="minorHAnsi" w:hAnsiTheme="minorHAnsi" w:cstheme="minorHAnsi"/>
                <w:bCs/>
                <w:iCs/>
                <w:sz w:val="20"/>
                <w:szCs w:val="20"/>
                <w:lang w:val="bs-Latn-BA"/>
              </w:rPr>
              <w:t xml:space="preserve">Добра опремљеност </w:t>
            </w:r>
            <w:r>
              <w:rPr>
                <w:rFonts w:asciiTheme="minorHAnsi" w:hAnsiTheme="minorHAnsi" w:cstheme="minorHAnsi"/>
                <w:bCs/>
                <w:iCs/>
                <w:sz w:val="20"/>
                <w:szCs w:val="20"/>
                <w:lang w:val="sr-Cyrl-CS"/>
              </w:rPr>
              <w:t>О</w:t>
            </w:r>
            <w:r>
              <w:rPr>
                <w:rFonts w:asciiTheme="minorHAnsi" w:hAnsiTheme="minorHAnsi" w:cstheme="minorHAnsi"/>
                <w:bCs/>
                <w:iCs/>
                <w:sz w:val="20"/>
                <w:szCs w:val="20"/>
                <w:lang w:val="bs-Latn-BA"/>
              </w:rPr>
              <w:t>дс</w:t>
            </w:r>
            <w:r>
              <w:rPr>
                <w:rFonts w:asciiTheme="minorHAnsi" w:hAnsiTheme="minorHAnsi" w:cstheme="minorHAnsi"/>
                <w:bCs/>
                <w:iCs/>
                <w:sz w:val="20"/>
                <w:szCs w:val="20"/>
                <w:lang w:val="sr-Cyrl-CS"/>
              </w:rPr>
              <w:t>ј</w:t>
            </w:r>
            <w:r>
              <w:rPr>
                <w:rFonts w:asciiTheme="minorHAnsi" w:hAnsiTheme="minorHAnsi" w:cstheme="minorHAnsi"/>
                <w:bCs/>
                <w:iCs/>
                <w:sz w:val="20"/>
                <w:szCs w:val="20"/>
                <w:lang w:val="bs-Latn-BA"/>
              </w:rPr>
              <w:t xml:space="preserve">ека за послове цивилне заштите и територијалне ватрогасне јединице </w:t>
            </w:r>
          </w:p>
        </w:tc>
        <w:tc>
          <w:tcPr>
            <w:tcW w:w="4860" w:type="dxa"/>
            <w:shd w:val="clear" w:color="auto" w:fill="auto"/>
          </w:tcPr>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 xml:space="preserve">Предшколско образовање </w:t>
            </w:r>
          </w:p>
          <w:p>
            <w:pPr>
              <w:pStyle w:val="46"/>
              <w:numPr>
                <w:ilvl w:val="0"/>
                <w:numId w:val="65"/>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Старост објеката захтјева већа улагања од оних које постојећи буџет локалне самоуправе може да обезбиједи.</w:t>
            </w:r>
          </w:p>
          <w:p>
            <w:pPr>
              <w:pStyle w:val="46"/>
              <w:numPr>
                <w:ilvl w:val="0"/>
                <w:numId w:val="65"/>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Недовољна покривеност мреже предшколских установа у руралним подручјима. </w:t>
            </w:r>
          </w:p>
          <w:p>
            <w:pPr>
              <w:pStyle w:val="46"/>
              <w:numPr>
                <w:ilvl w:val="0"/>
                <w:numId w:val="65"/>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Недовољан обухват  деце предшколским програмима</w:t>
            </w:r>
            <w:r>
              <w:rPr>
                <w:rFonts w:asciiTheme="minorHAnsi" w:hAnsiTheme="minorHAnsi" w:cstheme="minorHAnsi"/>
                <w:sz w:val="20"/>
                <w:szCs w:val="20"/>
                <w:lang w:val="sr-Cyrl-CS"/>
              </w:rPr>
              <w:t xml:space="preserve"> </w:t>
            </w:r>
            <w:r>
              <w:rPr>
                <w:rFonts w:asciiTheme="minorHAnsi" w:hAnsiTheme="minorHAnsi" w:cstheme="minorHAnsi"/>
                <w:sz w:val="20"/>
                <w:szCs w:val="20"/>
                <w:lang w:val="bs-Latn-BA"/>
              </w:rPr>
              <w:t>у јавним установама.</w:t>
            </w:r>
          </w:p>
          <w:p>
            <w:pPr>
              <w:pStyle w:val="46"/>
              <w:numPr>
                <w:ilvl w:val="0"/>
                <w:numId w:val="65"/>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Постојећи капацитети предшколских установа  (јавних и приватних вртића) не излазе у сусрет стварним потребама заједнице. </w:t>
            </w:r>
          </w:p>
          <w:p>
            <w:pPr>
              <w:pStyle w:val="46"/>
              <w:numPr>
                <w:ilvl w:val="0"/>
                <w:numId w:val="65"/>
              </w:numPr>
              <w:shd w:val="clear" w:color="auto" w:fill="FFFFFF"/>
              <w:spacing w:before="100" w:beforeAutospacing="1" w:after="100" w:afterAutospacing="1"/>
              <w:jc w:val="left"/>
              <w:rPr>
                <w:rFonts w:asciiTheme="minorHAnsi" w:hAnsiTheme="minorHAnsi" w:cstheme="minorHAnsi"/>
                <w:i/>
                <w:sz w:val="20"/>
                <w:szCs w:val="20"/>
                <w:lang w:val="bs-Latn-BA"/>
              </w:rPr>
            </w:pPr>
            <w:r>
              <w:rPr>
                <w:rFonts w:asciiTheme="minorHAnsi" w:hAnsiTheme="minorHAnsi" w:cstheme="minorHAnsi"/>
                <w:sz w:val="20"/>
                <w:szCs w:val="20"/>
                <w:lang w:val="bs-Latn-BA"/>
              </w:rPr>
              <w:t xml:space="preserve">Недовољно дефинисан оквир (правни и методолошки) и непостојање капацитета за ефикасно спровођење програма инклузивног образовања. </w:t>
            </w:r>
          </w:p>
          <w:p>
            <w:pPr>
              <w:pStyle w:val="46"/>
              <w:numPr>
                <w:ilvl w:val="0"/>
                <w:numId w:val="65"/>
              </w:numPr>
              <w:shd w:val="clear" w:color="auto" w:fill="FFFFFF"/>
              <w:spacing w:before="100" w:beforeAutospacing="1" w:after="100" w:afterAutospacing="1"/>
              <w:jc w:val="left"/>
              <w:rPr>
                <w:rFonts w:asciiTheme="minorHAnsi" w:hAnsiTheme="minorHAnsi" w:cstheme="minorHAnsi"/>
                <w:i/>
                <w:sz w:val="20"/>
                <w:szCs w:val="20"/>
                <w:lang w:val="bs-Latn-BA"/>
              </w:rPr>
            </w:pPr>
            <w:r>
              <w:rPr>
                <w:rFonts w:asciiTheme="minorHAnsi" w:hAnsiTheme="minorHAnsi" w:cstheme="minorHAnsi"/>
                <w:sz w:val="20"/>
                <w:szCs w:val="20"/>
                <w:lang w:val="bs-Latn-BA"/>
              </w:rPr>
              <w:t xml:space="preserve">Доминантно учешће градског буџета у финансирању услуга предшколског образовања. </w:t>
            </w:r>
          </w:p>
          <w:p>
            <w:pPr>
              <w:pStyle w:val="46"/>
              <w:numPr>
                <w:ilvl w:val="0"/>
                <w:numId w:val="65"/>
              </w:numPr>
              <w:shd w:val="clear" w:color="auto" w:fill="FFFFFF"/>
              <w:spacing w:before="100" w:beforeAutospacing="1" w:after="100" w:afterAutospacing="1"/>
              <w:jc w:val="left"/>
              <w:rPr>
                <w:rFonts w:asciiTheme="minorHAnsi" w:hAnsiTheme="minorHAnsi" w:cstheme="minorHAnsi"/>
                <w:i/>
                <w:sz w:val="20"/>
                <w:szCs w:val="20"/>
                <w:lang w:val="bs-Latn-BA"/>
              </w:rPr>
            </w:pPr>
            <w:r>
              <w:rPr>
                <w:rFonts w:asciiTheme="minorHAnsi" w:hAnsiTheme="minorHAnsi" w:cstheme="minorHAnsi"/>
                <w:sz w:val="20"/>
                <w:szCs w:val="20"/>
                <w:lang w:val="bs-Latn-BA"/>
              </w:rPr>
              <w:t xml:space="preserve">Није успостављен модел јавно-приватног партнерства са приватним вртићима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sz w:val="20"/>
                <w:szCs w:val="20"/>
                <w:lang w:val="bs-Latn-BA"/>
              </w:rPr>
              <w:t>О</w:t>
            </w:r>
            <w:r>
              <w:rPr>
                <w:rFonts w:asciiTheme="minorHAnsi" w:hAnsiTheme="minorHAnsi" w:cstheme="minorHAnsi"/>
                <w:b/>
                <w:i/>
                <w:sz w:val="20"/>
                <w:szCs w:val="20"/>
                <w:lang w:val="bs-Latn-BA"/>
              </w:rPr>
              <w:t xml:space="preserve">сновно образовање: </w:t>
            </w:r>
          </w:p>
          <w:p>
            <w:pPr>
              <w:pStyle w:val="46"/>
              <w:numPr>
                <w:ilvl w:val="0"/>
                <w:numId w:val="65"/>
              </w:numPr>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Потреба за унапређењем инфраструктурних капацитета: недовољна приступачност основновношколским установама; недовољни капацитети продуженог боравка; недостатак спортских сала у једном броју подручних школа </w:t>
            </w:r>
          </w:p>
          <w:p>
            <w:pPr>
              <w:pStyle w:val="46"/>
              <w:numPr>
                <w:ilvl w:val="0"/>
                <w:numId w:val="65"/>
              </w:numPr>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Недостатак квалитетених курсева цијеложивотног учења и прекавалификације радне снаге у циљу прилагођавања новим потребама тржишта рада </w:t>
            </w:r>
          </w:p>
          <w:p>
            <w:pPr>
              <w:pStyle w:val="46"/>
              <w:numPr>
                <w:ilvl w:val="0"/>
                <w:numId w:val="65"/>
              </w:numPr>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Недостатак података о обухвату деце основним образовањем, као и информација о осипању ученика из образованог система. </w:t>
            </w:r>
          </w:p>
          <w:p>
            <w:pPr>
              <w:rPr>
                <w:rFonts w:asciiTheme="minorHAnsi" w:hAnsiTheme="minorHAnsi" w:cstheme="minorHAnsi"/>
                <w:sz w:val="20"/>
                <w:szCs w:val="20"/>
                <w:lang w:val="bs-Latn-BA"/>
              </w:rPr>
            </w:pPr>
          </w:p>
          <w:p>
            <w:pPr>
              <w:rPr>
                <w:rFonts w:asciiTheme="minorHAnsi" w:hAnsiTheme="minorHAnsi" w:cstheme="minorHAnsi"/>
                <w:b/>
                <w:i/>
                <w:sz w:val="20"/>
                <w:szCs w:val="20"/>
                <w:lang w:val="bs-Latn-BA"/>
              </w:rPr>
            </w:pPr>
            <w:r>
              <w:rPr>
                <w:rFonts w:asciiTheme="minorHAnsi" w:hAnsiTheme="minorHAnsi" w:cstheme="minorHAnsi"/>
                <w:b/>
                <w:i/>
                <w:sz w:val="20"/>
                <w:szCs w:val="20"/>
                <w:lang w:val="bs-Latn-BA"/>
              </w:rPr>
              <w:t xml:space="preserve">Средњошколско образовање </w:t>
            </w:r>
          </w:p>
          <w:p>
            <w:pPr>
              <w:rPr>
                <w:rFonts w:asciiTheme="minorHAnsi" w:hAnsiTheme="minorHAnsi" w:cstheme="minorHAnsi"/>
                <w:sz w:val="20"/>
                <w:szCs w:val="20"/>
                <w:lang w:val="bs-Latn-BA"/>
              </w:rPr>
            </w:pPr>
          </w:p>
          <w:p>
            <w:pPr>
              <w:numPr>
                <w:ilvl w:val="0"/>
                <w:numId w:val="66"/>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 xml:space="preserve">Потреба за унапређењем инфраструктурних капацитета и доступности средњошкоског образовања ученицима из маргинализованих група. </w:t>
            </w:r>
          </w:p>
          <w:p>
            <w:pPr>
              <w:numPr>
                <w:ilvl w:val="0"/>
                <w:numId w:val="66"/>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Преклапање образовних програма у већем броју школа;</w:t>
            </w:r>
          </w:p>
          <w:p>
            <w:pPr>
              <w:numPr>
                <w:ilvl w:val="0"/>
                <w:numId w:val="66"/>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 xml:space="preserve">Мали број подстицајних мјера за образовање деце из осетљивих категорија; </w:t>
            </w:r>
          </w:p>
          <w:p>
            <w:pPr>
              <w:numPr>
                <w:ilvl w:val="0"/>
                <w:numId w:val="66"/>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Слаба опремљеност школа.</w:t>
            </w:r>
          </w:p>
          <w:p>
            <w:pPr>
              <w:numPr>
                <w:ilvl w:val="0"/>
                <w:numId w:val="66"/>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 xml:space="preserve">Недостатак инструмената за обезбеђивање квалитета образовања. </w:t>
            </w:r>
          </w:p>
          <w:p>
            <w:pPr>
              <w:numPr>
                <w:ilvl w:val="0"/>
                <w:numId w:val="66"/>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Недовољни капацитети за смештај средњошколаца (ученички домови)</w:t>
            </w:r>
          </w:p>
          <w:p>
            <w:pPr>
              <w:numPr>
                <w:ilvl w:val="0"/>
                <w:numId w:val="66"/>
              </w:numPr>
              <w:spacing w:before="120"/>
              <w:contextualSpacing/>
              <w:rPr>
                <w:rFonts w:eastAsia="Times New Roman" w:asciiTheme="minorHAnsi" w:hAnsiTheme="minorHAnsi" w:cstheme="minorHAnsi"/>
                <w:sz w:val="20"/>
                <w:szCs w:val="20"/>
                <w:shd w:val="clear" w:color="auto" w:fill="FFFFFF"/>
                <w:lang w:val="bs-Latn-BA"/>
              </w:rPr>
            </w:pPr>
            <w:r>
              <w:rPr>
                <w:rFonts w:eastAsia="Times New Roman" w:asciiTheme="minorHAnsi" w:hAnsiTheme="minorHAnsi" w:cstheme="minorHAnsi"/>
                <w:sz w:val="20"/>
                <w:szCs w:val="20"/>
                <w:shd w:val="clear" w:color="auto" w:fill="FFFFFF"/>
                <w:lang w:val="bs-Latn-BA"/>
              </w:rPr>
              <w:t>Непостојање афирмативних м</w:t>
            </w:r>
            <w:r>
              <w:rPr>
                <w:rFonts w:eastAsia="Times New Roman" w:asciiTheme="minorHAnsi" w:hAnsiTheme="minorHAnsi" w:cstheme="minorHAnsi"/>
                <w:sz w:val="20"/>
                <w:szCs w:val="20"/>
                <w:shd w:val="clear" w:color="auto" w:fill="FFFFFF"/>
                <w:lang w:val="sr-Cyrl-CS"/>
              </w:rPr>
              <w:t>ј</w:t>
            </w:r>
            <w:r>
              <w:rPr>
                <w:rFonts w:eastAsia="Times New Roman" w:asciiTheme="minorHAnsi" w:hAnsiTheme="minorHAnsi" w:cstheme="minorHAnsi"/>
                <w:sz w:val="20"/>
                <w:szCs w:val="20"/>
                <w:shd w:val="clear" w:color="auto" w:fill="FFFFFF"/>
                <w:lang w:val="bs-Latn-BA"/>
              </w:rPr>
              <w:t xml:space="preserve">ера за упис на факултет </w:t>
            </w:r>
          </w:p>
          <w:p>
            <w:pPr>
              <w:spacing w:before="120"/>
              <w:contextualSpacing/>
              <w:rPr>
                <w:rFonts w:eastAsia="Times New Roman" w:asciiTheme="minorHAnsi" w:hAnsiTheme="minorHAnsi" w:cstheme="minorHAnsi"/>
                <w:b/>
                <w:i/>
                <w:sz w:val="20"/>
                <w:szCs w:val="20"/>
                <w:shd w:val="clear" w:color="auto" w:fill="FFFFFF"/>
                <w:lang w:val="sr-Cyrl-CS"/>
              </w:rPr>
            </w:pPr>
          </w:p>
          <w:p>
            <w:pPr>
              <w:spacing w:before="120"/>
              <w:contextualSpacing/>
              <w:rPr>
                <w:rFonts w:eastAsia="Times New Roman" w:asciiTheme="minorHAnsi" w:hAnsiTheme="minorHAnsi" w:cstheme="minorHAnsi"/>
                <w:b/>
                <w:i/>
                <w:sz w:val="20"/>
                <w:szCs w:val="20"/>
                <w:shd w:val="clear" w:color="auto" w:fill="FFFFFF"/>
                <w:lang w:val="bs-Latn-BA"/>
              </w:rPr>
            </w:pPr>
            <w:r>
              <w:rPr>
                <w:rFonts w:eastAsia="Times New Roman" w:asciiTheme="minorHAnsi" w:hAnsiTheme="minorHAnsi" w:cstheme="minorHAnsi"/>
                <w:b/>
                <w:i/>
                <w:sz w:val="20"/>
                <w:szCs w:val="20"/>
                <w:shd w:val="clear" w:color="auto" w:fill="FFFFFF"/>
                <w:lang w:val="bs-Latn-BA"/>
              </w:rPr>
              <w:t xml:space="preserve">Образовање одраслих </w:t>
            </w:r>
          </w:p>
          <w:p>
            <w:pPr>
              <w:pStyle w:val="46"/>
              <w:numPr>
                <w:ilvl w:val="0"/>
                <w:numId w:val="67"/>
              </w:numPr>
              <w:jc w:val="left"/>
              <w:rPr>
                <w:rFonts w:asciiTheme="minorHAnsi" w:hAnsiTheme="minorHAnsi" w:cstheme="minorHAnsi"/>
                <w:sz w:val="20"/>
                <w:szCs w:val="20"/>
                <w:lang w:val="bs-Latn-BA"/>
              </w:rPr>
            </w:pPr>
            <w:r>
              <w:rPr>
                <w:rFonts w:asciiTheme="minorHAnsi" w:hAnsiTheme="minorHAnsi" w:cstheme="minorHAnsi"/>
                <w:sz w:val="20"/>
                <w:szCs w:val="20"/>
                <w:lang w:val="bs-Latn-BA"/>
              </w:rPr>
              <w:t>Недовољна подршка полазника програма – непостојање м</w:t>
            </w:r>
            <w:r>
              <w:rPr>
                <w:rFonts w:asciiTheme="minorHAnsi" w:hAnsiTheme="minorHAnsi" w:cstheme="minorHAnsi"/>
                <w:sz w:val="20"/>
                <w:szCs w:val="20"/>
                <w:lang w:val="sr-Cyrl-CS"/>
              </w:rPr>
              <w:t>ј</w:t>
            </w:r>
            <w:r>
              <w:rPr>
                <w:rFonts w:asciiTheme="minorHAnsi" w:hAnsiTheme="minorHAnsi" w:cstheme="minorHAnsi"/>
                <w:sz w:val="20"/>
                <w:szCs w:val="20"/>
                <w:lang w:val="bs-Latn-BA"/>
              </w:rPr>
              <w:t xml:space="preserve">ера подршке (нпр. суфинансирање програма). </w:t>
            </w:r>
          </w:p>
          <w:p>
            <w:pPr>
              <w:pStyle w:val="46"/>
              <w:numPr>
                <w:ilvl w:val="0"/>
                <w:numId w:val="67"/>
              </w:numPr>
              <w:jc w:val="left"/>
              <w:rPr>
                <w:rFonts w:asciiTheme="minorHAnsi" w:hAnsiTheme="minorHAnsi" w:cstheme="minorHAnsi"/>
                <w:sz w:val="20"/>
                <w:szCs w:val="20"/>
                <w:lang w:val="bs-Latn-BA"/>
              </w:rPr>
            </w:pPr>
            <w:r>
              <w:rPr>
                <w:rFonts w:asciiTheme="minorHAnsi" w:hAnsiTheme="minorHAnsi" w:cstheme="minorHAnsi"/>
                <w:sz w:val="20"/>
                <w:szCs w:val="20"/>
                <w:lang w:val="bs-Latn-BA"/>
              </w:rPr>
              <w:t>Установе нису довољно видљиве и  доступне потенцијалним корисницима</w:t>
            </w:r>
          </w:p>
          <w:p>
            <w:pPr>
              <w:rPr>
                <w:rFonts w:asciiTheme="minorHAnsi" w:hAnsiTheme="minorHAnsi" w:cstheme="minorHAnsi"/>
                <w:b/>
                <w:i/>
                <w:sz w:val="20"/>
                <w:szCs w:val="20"/>
                <w:shd w:val="clear" w:color="auto" w:fill="FFFFFF"/>
                <w:lang w:val="bs-Latn-BA"/>
              </w:rPr>
            </w:pPr>
          </w:p>
          <w:p>
            <w:pPr>
              <w:rPr>
                <w:rFonts w:asciiTheme="minorHAnsi" w:hAnsiTheme="minorHAnsi" w:cstheme="minorHAnsi"/>
                <w:b/>
                <w:i/>
                <w:sz w:val="20"/>
                <w:szCs w:val="20"/>
                <w:shd w:val="clear" w:color="auto" w:fill="FFFFFF"/>
                <w:lang w:val="bs-Latn-BA"/>
              </w:rPr>
            </w:pPr>
            <w:r>
              <w:rPr>
                <w:rFonts w:asciiTheme="minorHAnsi" w:hAnsiTheme="minorHAnsi" w:cstheme="minorHAnsi"/>
                <w:b/>
                <w:i/>
                <w:sz w:val="20"/>
                <w:szCs w:val="20"/>
                <w:shd w:val="clear" w:color="auto" w:fill="FFFFFF"/>
                <w:lang w:val="bs-Latn-BA"/>
              </w:rPr>
              <w:t xml:space="preserve">Здравствена заштита </w:t>
            </w:r>
          </w:p>
          <w:p>
            <w:pPr>
              <w:pStyle w:val="46"/>
              <w:numPr>
                <w:ilvl w:val="0"/>
                <w:numId w:val="68"/>
              </w:numPr>
              <w:jc w:val="left"/>
              <w:rPr>
                <w:rFonts w:asciiTheme="minorHAnsi" w:hAnsiTheme="minorHAnsi" w:cstheme="minorHAnsi"/>
                <w:b/>
                <w:i/>
                <w:sz w:val="20"/>
                <w:szCs w:val="20"/>
                <w:shd w:val="clear" w:color="auto" w:fill="FFFFFF"/>
                <w:lang w:val="bs-Latn-BA"/>
              </w:rPr>
            </w:pPr>
            <w:r>
              <w:rPr>
                <w:rFonts w:asciiTheme="minorHAnsi" w:hAnsiTheme="minorHAnsi" w:cstheme="minorHAnsi"/>
                <w:sz w:val="20"/>
                <w:szCs w:val="20"/>
                <w:lang w:val="bs-Latn-BA"/>
              </w:rPr>
              <w:t xml:space="preserve">Неефикасан систем пружања здравствених услуга у многим областима здравства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Социјална заштита</w:t>
            </w:r>
          </w:p>
          <w:p>
            <w:pPr>
              <w:pStyle w:val="46"/>
              <w:numPr>
                <w:ilvl w:val="0"/>
                <w:numId w:val="69"/>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sr-Cyrl-CS"/>
              </w:rPr>
              <w:t>О</w:t>
            </w:r>
            <w:r>
              <w:rPr>
                <w:rFonts w:asciiTheme="minorHAnsi" w:hAnsiTheme="minorHAnsi" w:cstheme="minorHAnsi"/>
                <w:sz w:val="20"/>
                <w:szCs w:val="20"/>
                <w:lang w:val="bs-Latn-BA"/>
              </w:rPr>
              <w:t xml:space="preserve">бухват грађана у стању социјалне потребе услугама социјалне заштите.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Култура</w:t>
            </w:r>
          </w:p>
          <w:p>
            <w:pPr>
              <w:pStyle w:val="46"/>
              <w:numPr>
                <w:ilvl w:val="0"/>
                <w:numId w:val="70"/>
              </w:numPr>
              <w:shd w:val="clear" w:color="auto" w:fill="FFFFFF"/>
              <w:spacing w:before="100" w:beforeAutospacing="1" w:after="100" w:afterAutospacing="1"/>
              <w:jc w:val="left"/>
              <w:rPr>
                <w:rFonts w:asciiTheme="minorHAnsi" w:hAnsiTheme="minorHAnsi" w:cstheme="minorHAnsi"/>
                <w:bCs/>
                <w:iCs/>
                <w:sz w:val="20"/>
                <w:szCs w:val="20"/>
                <w:lang w:val="bs-Latn-BA"/>
              </w:rPr>
            </w:pPr>
            <w:r>
              <w:rPr>
                <w:rFonts w:asciiTheme="minorHAnsi" w:hAnsiTheme="minorHAnsi" w:cstheme="minorHAnsi"/>
                <w:bCs/>
                <w:iCs/>
                <w:sz w:val="20"/>
                <w:szCs w:val="20"/>
                <w:lang w:val="bs-Latn-BA"/>
              </w:rPr>
              <w:t>Недовољна промоција манифестација ван Бања Луке</w:t>
            </w:r>
          </w:p>
          <w:p>
            <w:pPr>
              <w:pStyle w:val="46"/>
              <w:numPr>
                <w:ilvl w:val="0"/>
                <w:numId w:val="70"/>
              </w:numPr>
              <w:shd w:val="clear" w:color="auto" w:fill="FFFFFF"/>
              <w:spacing w:before="100" w:beforeAutospacing="1" w:after="100" w:afterAutospacing="1"/>
              <w:jc w:val="left"/>
              <w:rPr>
                <w:rFonts w:asciiTheme="minorHAnsi" w:hAnsiTheme="minorHAnsi" w:cstheme="minorHAnsi"/>
                <w:b/>
                <w:i/>
                <w:sz w:val="20"/>
                <w:szCs w:val="20"/>
                <w:lang w:val="bs-Latn-BA"/>
              </w:rPr>
            </w:pPr>
            <w:r>
              <w:rPr>
                <w:rFonts w:asciiTheme="minorHAnsi" w:hAnsiTheme="minorHAnsi" w:cstheme="minorHAnsi"/>
                <w:bCs/>
                <w:iCs/>
                <w:sz w:val="20"/>
                <w:szCs w:val="20"/>
                <w:lang w:val="bs-Latn-BA"/>
              </w:rPr>
              <w:t>Непостојање објекта за рад друштава који се баве уметничким аматеризмом.</w:t>
            </w:r>
          </w:p>
          <w:p>
            <w:pPr>
              <w:pStyle w:val="46"/>
              <w:numPr>
                <w:ilvl w:val="0"/>
                <w:numId w:val="70"/>
              </w:numPr>
              <w:shd w:val="clear" w:color="auto" w:fill="FFFFFF"/>
              <w:spacing w:before="100" w:beforeAutospacing="1" w:after="100" w:afterAutospacing="1"/>
              <w:jc w:val="left"/>
              <w:rPr>
                <w:rFonts w:asciiTheme="minorHAnsi" w:hAnsiTheme="minorHAnsi" w:cstheme="minorHAnsi"/>
                <w:b/>
                <w:i/>
                <w:sz w:val="20"/>
                <w:szCs w:val="20"/>
                <w:lang w:val="bs-Latn-BA"/>
              </w:rPr>
            </w:pPr>
            <w:r>
              <w:rPr>
                <w:rFonts w:asciiTheme="minorHAnsi" w:hAnsiTheme="minorHAnsi" w:cstheme="minorHAnsi"/>
                <w:bCs/>
                <w:iCs/>
                <w:sz w:val="20"/>
                <w:szCs w:val="20"/>
                <w:lang w:val="bs-Latn-BA"/>
              </w:rPr>
              <w:t>Недовољни просторни капацитети Архива Републике Српске</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Спорт</w:t>
            </w:r>
          </w:p>
          <w:p>
            <w:pPr>
              <w:pStyle w:val="46"/>
              <w:numPr>
                <w:ilvl w:val="0"/>
                <w:numId w:val="71"/>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Недовољно уређен систем организовања спорта и управљања његовим појединим сегментима. </w:t>
            </w:r>
          </w:p>
          <w:p>
            <w:pPr>
              <w:pStyle w:val="46"/>
              <w:numPr>
                <w:ilvl w:val="0"/>
                <w:numId w:val="71"/>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Непостојање одрживости спортских програма и садржаја – изостанак континуираног финансирања. Због недостатка системског рјешења организације и финансирања спорта у Републици Српској, јединице локалне самоуправе морају да финансирају све нивое такмичења од локалног до међународног што у уређеним системима спорта није случај</w:t>
            </w:r>
          </w:p>
          <w:p>
            <w:pPr>
              <w:pStyle w:val="46"/>
              <w:numPr>
                <w:ilvl w:val="0"/>
                <w:numId w:val="71"/>
              </w:numPr>
              <w:spacing w:before="0" w:line="240" w:lineRule="auto"/>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недостатак стручног кадра, не само међу тренерима, већ и у организационој (менаџерској) структури. </w:t>
            </w:r>
          </w:p>
          <w:p>
            <w:pPr>
              <w:shd w:val="clear" w:color="auto" w:fill="FFFFFF"/>
              <w:spacing w:before="100" w:beforeAutospacing="1" w:after="100" w:afterAutospacing="1"/>
              <w:rPr>
                <w:rFonts w:asciiTheme="minorHAnsi" w:hAnsiTheme="minorHAnsi" w:cstheme="minorHAnsi"/>
                <w:b/>
                <w:i/>
                <w:sz w:val="20"/>
                <w:szCs w:val="20"/>
                <w:lang w:val="bs-Latn-BA"/>
              </w:rPr>
            </w:pPr>
            <w:r>
              <w:rPr>
                <w:rFonts w:asciiTheme="minorHAnsi" w:hAnsiTheme="minorHAnsi" w:cstheme="minorHAnsi"/>
                <w:b/>
                <w:i/>
                <w:sz w:val="20"/>
                <w:szCs w:val="20"/>
                <w:lang w:val="bs-Latn-BA"/>
              </w:rPr>
              <w:t>Цивилно друштво</w:t>
            </w:r>
          </w:p>
          <w:p>
            <w:pPr>
              <w:pStyle w:val="46"/>
              <w:numPr>
                <w:ilvl w:val="0"/>
                <w:numId w:val="72"/>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sr-Cyrl-CS"/>
              </w:rPr>
              <w:t>П</w:t>
            </w:r>
            <w:r>
              <w:rPr>
                <w:rFonts w:asciiTheme="minorHAnsi" w:hAnsiTheme="minorHAnsi" w:cstheme="minorHAnsi"/>
                <w:sz w:val="20"/>
                <w:szCs w:val="20"/>
                <w:lang w:val="bs-Latn-BA"/>
              </w:rPr>
              <w:t xml:space="preserve">отреба за јачањем капацитета већине удружења грађана за реализацију пројеката  ускладе са ЕУ процедурама. </w:t>
            </w:r>
          </w:p>
          <w:p>
            <w:pPr>
              <w:pStyle w:val="46"/>
              <w:numPr>
                <w:ilvl w:val="0"/>
                <w:numId w:val="72"/>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Недовољна умреженост у оквиру удружења грађана за потреба унапређења положаја циљних група. </w:t>
            </w:r>
          </w:p>
          <w:p>
            <w:pPr>
              <w:rPr>
                <w:rFonts w:asciiTheme="minorHAnsi" w:hAnsiTheme="minorHAnsi" w:cstheme="minorHAnsi"/>
                <w:b/>
                <w:i/>
                <w:sz w:val="20"/>
                <w:szCs w:val="20"/>
                <w:shd w:val="clear" w:color="auto" w:fill="FFFFFF"/>
                <w:lang w:val="bs-Latn-BA"/>
              </w:rPr>
            </w:pPr>
            <w:r>
              <w:rPr>
                <w:rFonts w:asciiTheme="minorHAnsi" w:hAnsiTheme="minorHAnsi" w:cstheme="minorHAnsi"/>
                <w:b/>
                <w:i/>
                <w:sz w:val="20"/>
                <w:szCs w:val="20"/>
                <w:shd w:val="clear" w:color="auto" w:fill="FFFFFF"/>
                <w:lang w:val="bs-Latn-BA"/>
              </w:rPr>
              <w:t xml:space="preserve">Цивилна заштита </w:t>
            </w:r>
          </w:p>
          <w:p>
            <w:pPr>
              <w:pStyle w:val="46"/>
              <w:numPr>
                <w:ilvl w:val="0"/>
                <w:numId w:val="73"/>
              </w:numPr>
              <w:jc w:val="left"/>
              <w:rPr>
                <w:rFonts w:asciiTheme="minorHAnsi" w:hAnsiTheme="minorHAnsi" w:cstheme="minorHAnsi"/>
                <w:bCs/>
                <w:iCs/>
                <w:sz w:val="20"/>
                <w:szCs w:val="20"/>
                <w:shd w:val="clear" w:color="auto" w:fill="FFFFFF"/>
                <w:lang w:val="bs-Latn-BA"/>
              </w:rPr>
            </w:pPr>
            <w:r>
              <w:rPr>
                <w:rFonts w:asciiTheme="minorHAnsi" w:hAnsiTheme="minorHAnsi" w:cstheme="minorHAnsi"/>
                <w:bCs/>
                <w:iCs/>
                <w:sz w:val="20"/>
                <w:szCs w:val="20"/>
                <w:shd w:val="clear" w:color="auto" w:fill="FFFFFF"/>
                <w:lang w:val="bs-Latn-BA"/>
              </w:rPr>
              <w:t>Непостојање планске документације појединих органа и субјекта</w:t>
            </w:r>
          </w:p>
          <w:p>
            <w:pPr>
              <w:pStyle w:val="46"/>
              <w:numPr>
                <w:ilvl w:val="0"/>
                <w:numId w:val="73"/>
              </w:numPr>
              <w:jc w:val="left"/>
              <w:rPr>
                <w:rFonts w:asciiTheme="minorHAnsi" w:hAnsiTheme="minorHAnsi" w:cstheme="minorHAnsi"/>
                <w:bCs/>
                <w:iCs/>
                <w:sz w:val="20"/>
                <w:szCs w:val="20"/>
                <w:shd w:val="clear" w:color="auto" w:fill="FFFFFF"/>
                <w:lang w:val="bs-Latn-BA"/>
              </w:rPr>
            </w:pPr>
            <w:r>
              <w:rPr>
                <w:rFonts w:asciiTheme="minorHAnsi" w:hAnsiTheme="minorHAnsi" w:cstheme="minorHAnsi"/>
                <w:bCs/>
                <w:iCs/>
                <w:sz w:val="20"/>
                <w:szCs w:val="20"/>
                <w:shd w:val="clear" w:color="auto" w:fill="FFFFFF"/>
                <w:lang w:val="bs-Latn-BA"/>
              </w:rPr>
              <w:t>Неконтинуирано спровођење обуке за раднике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17" w:type="dxa"/>
            <w:shd w:val="clear" w:color="auto" w:fill="92D050"/>
          </w:tcPr>
          <w:p>
            <w:pPr>
              <w:pStyle w:val="54"/>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ШАНСЕ</w:t>
            </w:r>
          </w:p>
        </w:tc>
        <w:tc>
          <w:tcPr>
            <w:tcW w:w="4860" w:type="dxa"/>
            <w:shd w:val="clear" w:color="auto" w:fill="92D050"/>
          </w:tcPr>
          <w:p>
            <w:pPr>
              <w:pStyle w:val="54"/>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ПР</w:t>
            </w:r>
            <w:r>
              <w:rPr>
                <w:rFonts w:asciiTheme="minorHAnsi" w:hAnsiTheme="minorHAnsi" w:cstheme="minorHAnsi"/>
                <w:b/>
                <w:sz w:val="20"/>
                <w:szCs w:val="20"/>
                <w:lang w:val="sr-Cyrl-CS"/>
              </w:rPr>
              <w:t>ИЈ</w:t>
            </w:r>
            <w:r>
              <w:rPr>
                <w:rFonts w:asciiTheme="minorHAnsi" w:hAnsiTheme="minorHAnsi" w:cstheme="minorHAnsi"/>
                <w:b/>
                <w:sz w:val="20"/>
                <w:szCs w:val="20"/>
                <w:lang w:val="bs-Latn-BA"/>
              </w:rPr>
              <w:t>ЕТЊЕ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17" w:type="dxa"/>
            <w:shd w:val="clear" w:color="auto" w:fill="auto"/>
          </w:tcPr>
          <w:p>
            <w:pPr>
              <w:pStyle w:val="54"/>
              <w:numPr>
                <w:ilvl w:val="0"/>
                <w:numId w:val="74"/>
              </w:numPr>
              <w:rPr>
                <w:rFonts w:eastAsia="Times New Roman" w:asciiTheme="minorHAnsi" w:hAnsiTheme="minorHAnsi" w:cstheme="minorHAnsi"/>
                <w:sz w:val="20"/>
                <w:szCs w:val="20"/>
                <w:lang w:val="bs-Latn-BA"/>
              </w:rPr>
            </w:pPr>
            <w:r>
              <w:rPr>
                <w:rFonts w:eastAsia="Times New Roman" w:asciiTheme="minorHAnsi" w:hAnsiTheme="minorHAnsi" w:cstheme="minorHAnsi"/>
                <w:sz w:val="20"/>
                <w:szCs w:val="20"/>
                <w:lang w:val="bs-Latn-BA"/>
              </w:rPr>
              <w:t>Позитиван природни прираштај</w:t>
            </w:r>
          </w:p>
          <w:p>
            <w:pPr>
              <w:pStyle w:val="54"/>
              <w:numPr>
                <w:ilvl w:val="0"/>
                <w:numId w:val="74"/>
              </w:numPr>
              <w:rPr>
                <w:rFonts w:eastAsia="Times New Roman" w:asciiTheme="minorHAnsi" w:hAnsiTheme="minorHAnsi" w:cstheme="minorHAnsi"/>
                <w:sz w:val="20"/>
                <w:szCs w:val="20"/>
                <w:lang w:val="bs-Latn-BA"/>
              </w:rPr>
            </w:pPr>
            <w:r>
              <w:rPr>
                <w:rFonts w:eastAsia="Times New Roman" w:asciiTheme="minorHAnsi" w:hAnsiTheme="minorHAnsi" w:cstheme="minorHAnsi"/>
                <w:sz w:val="20"/>
                <w:szCs w:val="20"/>
                <w:lang w:val="bs-Latn-BA"/>
              </w:rPr>
              <w:t>Постојање Стратегије развоја предшколског образовања</w:t>
            </w:r>
          </w:p>
          <w:p>
            <w:pPr>
              <w:pStyle w:val="54"/>
              <w:numPr>
                <w:ilvl w:val="0"/>
                <w:numId w:val="74"/>
              </w:numPr>
              <w:rPr>
                <w:rFonts w:eastAsia="Times New Roman" w:asciiTheme="minorHAnsi" w:hAnsiTheme="minorHAnsi" w:cstheme="minorHAnsi"/>
                <w:sz w:val="20"/>
                <w:szCs w:val="20"/>
                <w:lang w:val="bs-Latn-BA"/>
              </w:rPr>
            </w:pPr>
            <w:r>
              <w:rPr>
                <w:rFonts w:asciiTheme="minorHAnsi" w:hAnsiTheme="minorHAnsi" w:cstheme="minorHAnsi"/>
                <w:sz w:val="20"/>
                <w:szCs w:val="20"/>
                <w:lang w:val="bs-Latn-BA"/>
              </w:rPr>
              <w:t>Законом регулисано образовање одраслих.</w:t>
            </w:r>
          </w:p>
          <w:p>
            <w:pPr>
              <w:pStyle w:val="54"/>
              <w:numPr>
                <w:ilvl w:val="0"/>
                <w:numId w:val="74"/>
              </w:numPr>
              <w:rPr>
                <w:rFonts w:eastAsia="Times New Roman" w:asciiTheme="minorHAnsi" w:hAnsiTheme="minorHAnsi" w:cstheme="minorHAnsi"/>
                <w:sz w:val="20"/>
                <w:szCs w:val="20"/>
                <w:lang w:val="bs-Latn-BA"/>
              </w:rPr>
            </w:pPr>
            <w:r>
              <w:rPr>
                <w:rFonts w:eastAsia="Times New Roman" w:asciiTheme="minorHAnsi" w:hAnsiTheme="minorHAnsi" w:cstheme="minorHAnsi"/>
                <w:sz w:val="20"/>
                <w:szCs w:val="20"/>
                <w:shd w:val="clear" w:color="auto" w:fill="FFFFFF"/>
                <w:lang w:val="bs-Latn-BA"/>
              </w:rPr>
              <w:t>Постојање потребе за висококвалитетном радном снагом  (инвестиције, потреба за новим квалификацијама, самозапошљавањем)</w:t>
            </w:r>
          </w:p>
          <w:p>
            <w:pPr>
              <w:pStyle w:val="54"/>
              <w:numPr>
                <w:ilvl w:val="0"/>
                <w:numId w:val="74"/>
              </w:numPr>
              <w:rPr>
                <w:rFonts w:eastAsia="Times New Roman" w:asciiTheme="minorHAnsi" w:hAnsiTheme="minorHAnsi" w:cstheme="minorHAnsi"/>
                <w:sz w:val="20"/>
                <w:szCs w:val="20"/>
                <w:lang w:val="bs-Latn-BA"/>
              </w:rPr>
            </w:pPr>
            <w:r>
              <w:rPr>
                <w:rFonts w:eastAsia="Times New Roman" w:asciiTheme="minorHAnsi" w:hAnsiTheme="minorHAnsi" w:cstheme="minorHAnsi"/>
                <w:sz w:val="20"/>
                <w:szCs w:val="20"/>
                <w:shd w:val="clear" w:color="auto" w:fill="FFFFFF"/>
                <w:lang w:val="bs-Latn-BA"/>
              </w:rPr>
              <w:t>Традиција и искуство у високом образовању</w:t>
            </w:r>
          </w:p>
          <w:p>
            <w:pPr>
              <w:pStyle w:val="46"/>
              <w:numPr>
                <w:ilvl w:val="0"/>
                <w:numId w:val="74"/>
              </w:numPr>
              <w:spacing w:before="0" w:line="240" w:lineRule="auto"/>
              <w:jc w:val="left"/>
              <w:rPr>
                <w:rFonts w:eastAsia="Calibri" w:asciiTheme="minorHAnsi" w:hAnsiTheme="minorHAnsi" w:cstheme="minorHAnsi"/>
                <w:sz w:val="20"/>
                <w:szCs w:val="20"/>
                <w:lang w:val="bs-Latn-BA"/>
              </w:rPr>
            </w:pPr>
            <w:r>
              <w:rPr>
                <w:rFonts w:eastAsia="Calibri" w:asciiTheme="minorHAnsi" w:hAnsiTheme="minorHAnsi" w:cstheme="minorHAnsi"/>
                <w:sz w:val="20"/>
                <w:szCs w:val="20"/>
                <w:lang w:val="bs-Latn-BA"/>
              </w:rPr>
              <w:t>Висока заинтересованост младих за стицање диплома и даље школовање, јер немају много шанси за посао</w:t>
            </w:r>
          </w:p>
          <w:p>
            <w:pPr>
              <w:pStyle w:val="46"/>
              <w:numPr>
                <w:ilvl w:val="0"/>
                <w:numId w:val="74"/>
              </w:numPr>
              <w:spacing w:before="0" w:line="240" w:lineRule="auto"/>
              <w:jc w:val="left"/>
              <w:rPr>
                <w:rFonts w:eastAsia="Calibri" w:asciiTheme="minorHAnsi" w:hAnsiTheme="minorHAnsi" w:cstheme="minorHAnsi"/>
                <w:sz w:val="20"/>
                <w:szCs w:val="20"/>
                <w:lang w:val="bs-Latn-BA"/>
              </w:rPr>
            </w:pPr>
            <w:r>
              <w:rPr>
                <w:rFonts w:eastAsia="Calibri" w:asciiTheme="minorHAnsi" w:hAnsiTheme="minorHAnsi" w:cstheme="minorHAnsi"/>
                <w:sz w:val="20"/>
                <w:szCs w:val="20"/>
                <w:lang w:val="bs-Latn-BA"/>
              </w:rPr>
              <w:t>Прилив студената из бивших југословенских република јер не постоји језичка баријера</w:t>
            </w:r>
          </w:p>
          <w:p>
            <w:pPr>
              <w:pStyle w:val="54"/>
              <w:numPr>
                <w:ilvl w:val="0"/>
                <w:numId w:val="74"/>
              </w:numPr>
              <w:rPr>
                <w:rFonts w:eastAsia="Times New Roman" w:asciiTheme="minorHAnsi" w:hAnsiTheme="minorHAnsi" w:cstheme="minorHAnsi"/>
                <w:sz w:val="20"/>
                <w:szCs w:val="20"/>
                <w:lang w:val="bs-Latn-BA"/>
              </w:rPr>
            </w:pPr>
            <w:r>
              <w:rPr>
                <w:rFonts w:eastAsia="Times New Roman" w:asciiTheme="minorHAnsi" w:hAnsiTheme="minorHAnsi" w:cstheme="minorHAnsi"/>
                <w:sz w:val="20"/>
                <w:szCs w:val="20"/>
                <w:lang w:val="bs-Latn-BA"/>
              </w:rPr>
              <w:t>Бања Лука – европска престоница културе</w:t>
            </w:r>
          </w:p>
          <w:p>
            <w:pPr>
              <w:pStyle w:val="54"/>
              <w:numPr>
                <w:ilvl w:val="0"/>
                <w:numId w:val="74"/>
              </w:numPr>
              <w:rPr>
                <w:rFonts w:asciiTheme="minorHAnsi" w:hAnsiTheme="minorHAnsi" w:cstheme="minorHAnsi"/>
                <w:sz w:val="20"/>
                <w:szCs w:val="20"/>
                <w:lang w:val="bs-Latn-BA"/>
              </w:rPr>
            </w:pPr>
            <w:r>
              <w:rPr>
                <w:rFonts w:eastAsia="Times New Roman" w:asciiTheme="minorHAnsi" w:hAnsiTheme="minorHAnsi" w:cstheme="minorHAnsi"/>
                <w:sz w:val="20"/>
                <w:szCs w:val="20"/>
                <w:lang w:val="bs-Latn-BA"/>
              </w:rPr>
              <w:t xml:space="preserve">Бања Лука – град спорта </w:t>
            </w:r>
          </w:p>
        </w:tc>
        <w:tc>
          <w:tcPr>
            <w:tcW w:w="4860" w:type="dxa"/>
            <w:shd w:val="clear" w:color="auto" w:fill="auto"/>
          </w:tcPr>
          <w:p>
            <w:pPr>
              <w:pStyle w:val="54"/>
              <w:numPr>
                <w:ilvl w:val="0"/>
                <w:numId w:val="74"/>
              </w:numPr>
              <w:rPr>
                <w:rFonts w:asciiTheme="minorHAnsi" w:hAnsiTheme="minorHAnsi" w:cstheme="minorHAnsi"/>
                <w:sz w:val="20"/>
                <w:szCs w:val="20"/>
                <w:lang w:val="bs-Latn-BA"/>
              </w:rPr>
            </w:pPr>
            <w:r>
              <w:rPr>
                <w:rFonts w:asciiTheme="minorHAnsi" w:hAnsiTheme="minorHAnsi" w:cstheme="minorHAnsi"/>
                <w:sz w:val="20"/>
                <w:szCs w:val="20"/>
                <w:lang w:val="bs-Latn-BA"/>
              </w:rPr>
              <w:t xml:space="preserve">Опште сиромаштво </w:t>
            </w:r>
          </w:p>
          <w:p>
            <w:pPr>
              <w:pStyle w:val="54"/>
              <w:numPr>
                <w:ilvl w:val="0"/>
                <w:numId w:val="74"/>
              </w:numPr>
              <w:rPr>
                <w:rFonts w:asciiTheme="minorHAnsi" w:hAnsiTheme="minorHAnsi" w:cstheme="minorHAnsi"/>
                <w:sz w:val="20"/>
                <w:szCs w:val="20"/>
                <w:lang w:val="bs-Latn-BA"/>
              </w:rPr>
            </w:pPr>
            <w:r>
              <w:rPr>
                <w:rFonts w:asciiTheme="minorHAnsi" w:hAnsiTheme="minorHAnsi" w:cstheme="minorHAnsi"/>
                <w:sz w:val="20"/>
                <w:szCs w:val="20"/>
                <w:lang w:val="bs-Latn-BA"/>
              </w:rPr>
              <w:t>Неприлагођеност образовног система потребама привреде</w:t>
            </w:r>
          </w:p>
          <w:p>
            <w:pPr>
              <w:pStyle w:val="46"/>
              <w:numPr>
                <w:ilvl w:val="0"/>
                <w:numId w:val="74"/>
              </w:numPr>
              <w:jc w:val="left"/>
              <w:rPr>
                <w:rFonts w:asciiTheme="minorHAnsi" w:hAnsiTheme="minorHAnsi" w:cstheme="minorHAnsi"/>
                <w:sz w:val="20"/>
                <w:szCs w:val="20"/>
                <w:lang w:val="bs-Latn-BA"/>
              </w:rPr>
            </w:pPr>
            <w:r>
              <w:rPr>
                <w:rFonts w:asciiTheme="minorHAnsi" w:hAnsiTheme="minorHAnsi" w:cstheme="minorHAnsi"/>
                <w:sz w:val="20"/>
                <w:szCs w:val="20"/>
                <w:lang w:val="bs-Latn-BA"/>
              </w:rPr>
              <w:t>Одлив образоване радне снаге у иностранство</w:t>
            </w:r>
          </w:p>
          <w:p>
            <w:pPr>
              <w:pStyle w:val="54"/>
              <w:numPr>
                <w:ilvl w:val="0"/>
                <w:numId w:val="74"/>
              </w:numPr>
              <w:rPr>
                <w:rFonts w:asciiTheme="minorHAnsi" w:hAnsiTheme="minorHAnsi" w:cstheme="minorHAnsi"/>
                <w:sz w:val="20"/>
                <w:szCs w:val="20"/>
                <w:lang w:val="bs-Latn-BA"/>
              </w:rPr>
            </w:pPr>
            <w:r>
              <w:rPr>
                <w:rFonts w:asciiTheme="minorHAnsi" w:hAnsiTheme="minorHAnsi" w:cstheme="minorHAnsi"/>
                <w:sz w:val="20"/>
                <w:szCs w:val="20"/>
                <w:lang w:val="bs-Latn-BA"/>
              </w:rPr>
              <w:t xml:space="preserve">Недовољно дефинисана надлежност ентитетског и локалног нивоа и недоследност реформских иницијатива </w:t>
            </w:r>
          </w:p>
          <w:p>
            <w:pPr>
              <w:ind w:left="90"/>
              <w:rPr>
                <w:rFonts w:asciiTheme="minorHAnsi" w:hAnsiTheme="minorHAnsi" w:cstheme="minorHAnsi"/>
                <w:sz w:val="20"/>
                <w:szCs w:val="20"/>
                <w:lang w:val="bs-Latn-BA"/>
              </w:rPr>
            </w:pPr>
          </w:p>
        </w:tc>
      </w:tr>
    </w:tbl>
    <w:p>
      <w:pPr>
        <w:jc w:val="both"/>
      </w:pPr>
    </w:p>
    <w:p>
      <w:pPr>
        <w:jc w:val="both"/>
        <w:rPr>
          <w:lang w:val="sr-Cyrl-CS"/>
        </w:rPr>
      </w:pPr>
      <w:r>
        <w:t xml:space="preserve">Како би се дефинисали секторски фокуси, конкурентске предности се издвајају и повезују се са приликама, а такође се повезују и слабости и пријетње. За потребе стратешког фокусирања у оквиру сектора </w:t>
      </w:r>
      <w:r>
        <w:rPr>
          <w:lang w:val="sr-Cyrl-RS"/>
        </w:rPr>
        <w:t>друштвеног</w:t>
      </w:r>
      <w:r>
        <w:t xml:space="preserve"> развоја су, поред повезивања предности и прилика и слабости и пријетњи, разматрани и узети у обзир и стратешки циљеви који су примарно усмјерени на </w:t>
      </w:r>
      <w:r>
        <w:rPr>
          <w:lang w:val="sr-Cyrl-RS"/>
        </w:rPr>
        <w:t xml:space="preserve">кључне </w:t>
      </w:r>
      <w:r>
        <w:t>област</w:t>
      </w:r>
      <w:r>
        <w:rPr>
          <w:lang w:val="sr-Cyrl-RS"/>
        </w:rPr>
        <w:t>и</w:t>
      </w:r>
      <w:r>
        <w:t xml:space="preserve"> </w:t>
      </w:r>
      <w:r>
        <w:rPr>
          <w:lang w:val="sr-Cyrl-RS"/>
        </w:rPr>
        <w:t xml:space="preserve">друштвеног развоја, увођења е-Управе и концепта </w:t>
      </w:r>
      <w:r>
        <w:rPr>
          <w:i/>
          <w:lang w:val="sr-Latn-RS"/>
        </w:rPr>
        <w:t>Smart City</w:t>
      </w:r>
      <w:r>
        <w:t xml:space="preserve">. </w:t>
      </w:r>
    </w:p>
    <w:p>
      <w:pPr>
        <w:jc w:val="both"/>
        <w:rPr>
          <w:b/>
          <w:lang w:val="sr-Cyrl-RS"/>
        </w:rPr>
      </w:pPr>
      <w:r>
        <w:rPr>
          <w:lang w:val="sr-Cyrl-RS"/>
        </w:rPr>
        <w:t>Градски развојни тим Бања Луке</w:t>
      </w:r>
      <w:r>
        <w:t xml:space="preserve"> дефинисао је сљедеће </w:t>
      </w:r>
      <w:r>
        <w:rPr>
          <w:lang w:val="sr-Cyrl-RS"/>
        </w:rPr>
        <w:t xml:space="preserve">секторске </w:t>
      </w:r>
      <w:r>
        <w:t xml:space="preserve">фокусе </w:t>
      </w:r>
      <w:r>
        <w:rPr>
          <w:lang w:val="sr-Cyrl-RS"/>
        </w:rPr>
        <w:t>друштвеног развоја,</w:t>
      </w:r>
      <w:r>
        <w:t xml:space="preserve"> који произилазе из стратешк</w:t>
      </w:r>
      <w:r>
        <w:rPr>
          <w:lang w:val="sr-Cyrl-RS"/>
        </w:rPr>
        <w:t>их</w:t>
      </w:r>
      <w:r>
        <w:t xml:space="preserve"> циљ</w:t>
      </w:r>
      <w:r>
        <w:rPr>
          <w:lang w:val="sr-Cyrl-RS"/>
        </w:rPr>
        <w:t xml:space="preserve">ева </w:t>
      </w:r>
      <w:r>
        <w:rPr>
          <w:rFonts w:cstheme="minorHAnsi"/>
          <w:b/>
          <w:color w:val="1A1617"/>
          <w:shd w:val="clear" w:color="auto" w:fill="FFFFFF" w:themeFill="background1"/>
          <w:lang w:val="bs-Latn-BA"/>
        </w:rPr>
        <w:t>2</w:t>
      </w:r>
      <w:r>
        <w:rPr>
          <w:rFonts w:cstheme="minorHAnsi"/>
          <w:b/>
          <w:color w:val="1A1617"/>
          <w:shd w:val="clear" w:color="auto" w:fill="FFFFFF" w:themeFill="background1"/>
          <w:lang w:val="sr-Cyrl-RS"/>
        </w:rPr>
        <w:t xml:space="preserve">. </w:t>
      </w:r>
      <w:r>
        <w:rPr>
          <w:b/>
          <w:lang w:val="bs-Latn-BA"/>
        </w:rPr>
        <w:t xml:space="preserve">Модерна, урбана средина, заснована на </w:t>
      </w:r>
      <w:r>
        <w:rPr>
          <w:b/>
          <w:i/>
          <w:lang w:val="bs-Latn-BA"/>
        </w:rPr>
        <w:t>Smart City</w:t>
      </w:r>
      <w:r>
        <w:rPr>
          <w:b/>
          <w:lang w:val="bs-Latn-BA"/>
        </w:rPr>
        <w:t xml:space="preserve"> концепту, угодна за живот свих грађана</w:t>
      </w:r>
      <w:r>
        <w:rPr>
          <w:lang w:val="sr-Cyrl-RS"/>
        </w:rPr>
        <w:t xml:space="preserve"> и</w:t>
      </w:r>
      <w:r>
        <w:t xml:space="preserve"> </w:t>
      </w:r>
      <w:r>
        <w:rPr>
          <w:b/>
          <w:lang w:val="sr-Cyrl-RS"/>
        </w:rPr>
        <w:t>4.</w:t>
      </w:r>
      <w:r>
        <w:rPr>
          <w:lang w:val="sr-Cyrl-RS"/>
        </w:rPr>
        <w:t xml:space="preserve"> </w:t>
      </w:r>
      <w:r>
        <w:rPr>
          <w:b/>
          <w:lang w:val="bs-Latn-BA"/>
        </w:rPr>
        <w:t>Препознатљив регионални,</w:t>
      </w:r>
      <w:r>
        <w:rPr>
          <w:b/>
          <w:lang w:val="sr-Cyrl-RS"/>
        </w:rPr>
        <w:t xml:space="preserve"> образовни, здравствени, културни, спортски и центар унапређене социјалне инклузије:</w:t>
      </w:r>
    </w:p>
    <w:p>
      <w:pPr>
        <w:jc w:val="both"/>
        <w:rPr>
          <w:rFonts w:eastAsia="Times New Roman" w:asciiTheme="minorHAnsi" w:hAnsiTheme="minorHAnsi" w:cstheme="minorHAnsi"/>
          <w:b/>
          <w:bCs/>
          <w:kern w:val="32"/>
          <w:lang w:val="sr-Cyrl-RS"/>
        </w:rPr>
      </w:pPr>
    </w:p>
    <w:p>
      <w:pPr>
        <w:pStyle w:val="46"/>
        <w:numPr>
          <w:ilvl w:val="0"/>
          <w:numId w:val="75"/>
        </w:numPr>
        <w:spacing w:after="120"/>
        <w:rPr>
          <w:rFonts w:cstheme="minorHAnsi"/>
          <w:b/>
          <w:color w:val="1A1617"/>
          <w:shd w:val="clear" w:color="auto" w:fill="FFFFFF" w:themeFill="background1"/>
          <w:lang w:val="bs-Cyrl-BA"/>
        </w:rPr>
      </w:pPr>
      <w:r>
        <w:rPr>
          <w:rFonts w:cstheme="minorHAnsi"/>
          <w:b/>
          <w:color w:val="1A1617"/>
          <w:shd w:val="clear" w:color="auto" w:fill="FFFFFF" w:themeFill="background1"/>
          <w:lang w:val="bs-Cyrl-BA"/>
        </w:rPr>
        <w:t xml:space="preserve">Унапређење ефикасности Граске управе, </w:t>
      </w:r>
      <w:r>
        <w:rPr>
          <w:rFonts w:cstheme="minorHAnsi"/>
          <w:color w:val="1A1617"/>
          <w:shd w:val="clear" w:color="auto" w:fill="FFFFFF" w:themeFill="background1"/>
          <w:lang w:val="bs-Cyrl-BA"/>
        </w:rPr>
        <w:t>са посебним фокусом на е-Управу – увођење електронских услуга за грађане и приватни сектор,</w:t>
      </w:r>
    </w:p>
    <w:p>
      <w:pPr>
        <w:pStyle w:val="46"/>
        <w:numPr>
          <w:ilvl w:val="0"/>
          <w:numId w:val="75"/>
        </w:numPr>
        <w:spacing w:after="120"/>
        <w:rPr>
          <w:rFonts w:cstheme="minorHAnsi"/>
          <w:b/>
          <w:color w:val="1A1617"/>
          <w:shd w:val="clear" w:color="auto" w:fill="FFFFFF" w:themeFill="background1"/>
          <w:lang w:val="bs-Cyrl-BA"/>
        </w:rPr>
      </w:pPr>
      <w:r>
        <w:rPr>
          <w:rFonts w:cstheme="minorHAnsi"/>
          <w:b/>
          <w:color w:val="1A1617"/>
          <w:shd w:val="clear" w:color="auto" w:fill="FFFFFF" w:themeFill="background1"/>
          <w:lang w:val="bs-Cyrl-BA"/>
        </w:rPr>
        <w:t xml:space="preserve">Дигитална трансформација града </w:t>
      </w:r>
      <w:r>
        <w:rPr>
          <w:rFonts w:cstheme="minorHAnsi"/>
          <w:color w:val="1A1617"/>
          <w:shd w:val="clear" w:color="auto" w:fill="FFFFFF" w:themeFill="background1"/>
          <w:lang w:val="bs-Cyrl-BA"/>
        </w:rPr>
        <w:t>кроз изградњу „паметне“ (</w:t>
      </w:r>
      <w:r>
        <w:rPr>
          <w:i/>
          <w:lang w:val="bs-Latn-BA"/>
        </w:rPr>
        <w:t>Smart City</w:t>
      </w:r>
      <w:r>
        <w:rPr>
          <w:lang w:val="sr-Cyrl-RS"/>
        </w:rPr>
        <w:t>)</w:t>
      </w:r>
      <w:r>
        <w:rPr>
          <w:rFonts w:cstheme="minorHAnsi"/>
          <w:color w:val="1A1617"/>
          <w:shd w:val="clear" w:color="auto" w:fill="FFFFFF" w:themeFill="background1"/>
          <w:lang w:val="bs-Cyrl-BA"/>
        </w:rPr>
        <w:t xml:space="preserve"> инфраструктуре</w:t>
      </w:r>
      <w:r>
        <w:rPr>
          <w:rFonts w:cstheme="minorHAnsi"/>
          <w:b/>
          <w:color w:val="1A1617"/>
          <w:shd w:val="clear" w:color="auto" w:fill="FFFFFF" w:themeFill="background1"/>
          <w:lang w:val="bs-Cyrl-BA"/>
        </w:rPr>
        <w:t>,</w:t>
      </w:r>
    </w:p>
    <w:p>
      <w:pPr>
        <w:pStyle w:val="46"/>
        <w:numPr>
          <w:ilvl w:val="0"/>
          <w:numId w:val="75"/>
        </w:numPr>
        <w:rPr>
          <w:rFonts w:asciiTheme="minorHAnsi" w:hAnsiTheme="minorHAnsi" w:cstheme="minorHAnsi"/>
          <w:b/>
          <w:bCs/>
          <w:kern w:val="32"/>
          <w:lang w:val="sr-Cyrl-RS"/>
        </w:rPr>
      </w:pPr>
      <w:r>
        <w:rPr>
          <w:rFonts w:asciiTheme="minorHAnsi" w:hAnsiTheme="minorHAnsi" w:cstheme="minorHAnsi"/>
          <w:b/>
          <w:bCs/>
          <w:kern w:val="32"/>
          <w:lang w:val="sr-Cyrl-RS"/>
        </w:rPr>
        <w:t>Образовање</w:t>
      </w:r>
      <w:r>
        <w:rPr>
          <w:rFonts w:asciiTheme="minorHAnsi" w:hAnsiTheme="minorHAnsi" w:cstheme="minorHAnsi"/>
          <w:bCs/>
          <w:kern w:val="32"/>
          <w:lang w:val="sr-Cyrl-RS"/>
        </w:rPr>
        <w:t xml:space="preserve"> – унапређење образовне инфраструктуре, кроз реконструкцију, опремање и изградњу нових објеката за потребе предшколског, основног и средњошколског образвоања, као и доступност и инклузивност образовања за све,</w:t>
      </w:r>
    </w:p>
    <w:p>
      <w:pPr>
        <w:pStyle w:val="46"/>
        <w:numPr>
          <w:ilvl w:val="0"/>
          <w:numId w:val="75"/>
        </w:numPr>
        <w:rPr>
          <w:rFonts w:asciiTheme="minorHAnsi" w:hAnsiTheme="minorHAnsi" w:cstheme="minorHAnsi"/>
          <w:b/>
          <w:bCs/>
          <w:kern w:val="32"/>
          <w:lang w:val="sr-Cyrl-RS"/>
        </w:rPr>
      </w:pPr>
      <w:r>
        <w:rPr>
          <w:rFonts w:asciiTheme="minorHAnsi" w:hAnsiTheme="minorHAnsi" w:cstheme="minorHAnsi"/>
          <w:b/>
          <w:bCs/>
          <w:kern w:val="32"/>
          <w:lang w:val="sr-Cyrl-RS"/>
        </w:rPr>
        <w:t xml:space="preserve">Здравствене и социјалне услуге </w:t>
      </w:r>
      <w:r>
        <w:rPr>
          <w:rFonts w:asciiTheme="minorHAnsi" w:hAnsiTheme="minorHAnsi" w:cstheme="minorHAnsi"/>
          <w:bCs/>
          <w:kern w:val="32"/>
          <w:lang w:val="sr-Cyrl-RS"/>
        </w:rPr>
        <w:t>– унапређење инфраструктуре, институционалног и ванинституционалног оквира, доступност и инклузивност здравствених  и социјалних услуга,</w:t>
      </w:r>
    </w:p>
    <w:p>
      <w:pPr>
        <w:pStyle w:val="46"/>
        <w:numPr>
          <w:ilvl w:val="0"/>
          <w:numId w:val="75"/>
        </w:numPr>
        <w:rPr>
          <w:rFonts w:asciiTheme="minorHAnsi" w:hAnsiTheme="minorHAnsi" w:cstheme="minorHAnsi"/>
          <w:b/>
          <w:bCs/>
          <w:kern w:val="32"/>
          <w:lang w:val="sr-Cyrl-RS"/>
        </w:rPr>
      </w:pPr>
      <w:r>
        <w:rPr>
          <w:rFonts w:asciiTheme="minorHAnsi" w:hAnsiTheme="minorHAnsi" w:cstheme="minorHAnsi"/>
          <w:b/>
          <w:bCs/>
          <w:kern w:val="32"/>
          <w:lang w:val="sr-Cyrl-RS"/>
        </w:rPr>
        <w:t>Унапређење културних садржаја и неопходне инфраструктуре</w:t>
      </w:r>
      <w:r>
        <w:rPr>
          <w:rFonts w:asciiTheme="minorHAnsi" w:hAnsiTheme="minorHAnsi" w:cstheme="minorHAnsi"/>
          <w:bCs/>
          <w:kern w:val="32"/>
          <w:lang w:val="sr-Cyrl-RS"/>
        </w:rPr>
        <w:t xml:space="preserve">, у складу са стандардима прописаним за градове који су кандидати за </w:t>
      </w:r>
      <w:r>
        <w:rPr>
          <w:rFonts w:asciiTheme="minorHAnsi" w:hAnsiTheme="minorHAnsi" w:cstheme="minorHAnsi"/>
          <w:bCs/>
          <w:i/>
          <w:kern w:val="32"/>
          <w:lang w:val="sr-Cyrl-RS"/>
        </w:rPr>
        <w:t xml:space="preserve">Престонице културе </w:t>
      </w:r>
      <w:r>
        <w:rPr>
          <w:rFonts w:asciiTheme="minorHAnsi" w:hAnsiTheme="minorHAnsi" w:cstheme="minorHAnsi"/>
          <w:bCs/>
          <w:kern w:val="32"/>
          <w:lang w:val="sr-Cyrl-RS"/>
        </w:rPr>
        <w:t>– Бања Лука припрема кандидатуру за овај статус у 2024. години,</w:t>
      </w:r>
    </w:p>
    <w:p>
      <w:pPr>
        <w:pStyle w:val="46"/>
        <w:numPr>
          <w:ilvl w:val="0"/>
          <w:numId w:val="75"/>
        </w:numPr>
        <w:rPr>
          <w:rFonts w:asciiTheme="minorHAnsi" w:hAnsiTheme="minorHAnsi" w:cstheme="minorHAnsi"/>
          <w:b/>
          <w:bCs/>
          <w:kern w:val="32"/>
          <w:lang w:val="sr-Cyrl-RS"/>
        </w:rPr>
      </w:pPr>
      <w:r>
        <w:rPr>
          <w:rFonts w:asciiTheme="minorHAnsi" w:hAnsiTheme="minorHAnsi" w:cstheme="minorHAnsi"/>
          <w:b/>
          <w:bCs/>
          <w:kern w:val="32"/>
          <w:lang w:val="sr-Cyrl-RS"/>
        </w:rPr>
        <w:t>Развој спортских и рекреативних садржаја и инфраструктуре</w:t>
      </w:r>
      <w:r>
        <w:rPr>
          <w:rFonts w:asciiTheme="minorHAnsi" w:hAnsiTheme="minorHAnsi" w:cstheme="minorHAnsi"/>
          <w:bCs/>
          <w:kern w:val="32"/>
          <w:lang w:val="sr-Cyrl-RS"/>
        </w:rPr>
        <w:t>, као Град са потенцијалом да постане регионални и међународни спортски центар,</w:t>
      </w:r>
    </w:p>
    <w:p>
      <w:pPr>
        <w:pStyle w:val="46"/>
        <w:numPr>
          <w:ilvl w:val="0"/>
          <w:numId w:val="75"/>
        </w:numPr>
        <w:rPr>
          <w:rFonts w:asciiTheme="minorHAnsi" w:hAnsiTheme="minorHAnsi" w:cstheme="minorHAnsi"/>
          <w:b/>
          <w:bCs/>
          <w:kern w:val="32"/>
          <w:lang w:val="sr-Cyrl-RS"/>
        </w:rPr>
      </w:pPr>
      <w:r>
        <w:rPr>
          <w:rFonts w:asciiTheme="minorHAnsi" w:hAnsiTheme="minorHAnsi" w:cstheme="minorHAnsi"/>
          <w:b/>
          <w:bCs/>
          <w:kern w:val="32"/>
          <w:lang w:val="sr-Cyrl-RS"/>
        </w:rPr>
        <w:t xml:space="preserve">Осигурање безбједности грађана, </w:t>
      </w:r>
      <w:r>
        <w:rPr>
          <w:rFonts w:asciiTheme="minorHAnsi" w:hAnsiTheme="minorHAnsi" w:cstheme="minorHAnsi"/>
          <w:bCs/>
          <w:kern w:val="32"/>
          <w:lang w:val="sr-Cyrl-RS"/>
        </w:rPr>
        <w:t>смањење стопе криминалитета и страдања грађана у саобраћајним и другим незгодама.</w:t>
      </w:r>
    </w:p>
    <w:p>
      <w:pPr>
        <w:pStyle w:val="4"/>
        <w:rPr>
          <w:lang w:val="hr-BA"/>
        </w:rPr>
      </w:pPr>
      <w:bookmarkStart w:id="131" w:name="_Toc452886795"/>
      <w:bookmarkStart w:id="132" w:name="_Toc473095873"/>
      <w:bookmarkStart w:id="133" w:name="_Toc526761935"/>
      <w:bookmarkStart w:id="134" w:name="_Toc461719859"/>
      <w:r>
        <w:rPr>
          <w:lang w:val="hr-BA"/>
        </w:rPr>
        <w:t>V.3.1.</w:t>
      </w:r>
      <w:r>
        <w:rPr>
          <w:lang w:val="hr-BA"/>
        </w:rPr>
        <w:tab/>
      </w:r>
      <w:r>
        <w:rPr>
          <w:lang w:val="sr-Cyrl-RS"/>
        </w:rPr>
        <w:t>Преглед</w:t>
      </w:r>
      <w:r>
        <w:rPr>
          <w:lang w:val="hr-BA"/>
        </w:rPr>
        <w:t xml:space="preserve"> </w:t>
      </w:r>
      <w:r>
        <w:rPr>
          <w:lang w:val="sr-Cyrl-RS"/>
        </w:rPr>
        <w:t>секторских</w:t>
      </w:r>
      <w:r>
        <w:rPr>
          <w:lang w:val="hr-BA"/>
        </w:rPr>
        <w:t xml:space="preserve"> </w:t>
      </w:r>
      <w:r>
        <w:rPr>
          <w:lang w:val="sr-Cyrl-RS"/>
        </w:rPr>
        <w:t>циљева</w:t>
      </w:r>
      <w:r>
        <w:rPr>
          <w:lang w:val="hr-BA"/>
        </w:rPr>
        <w:t xml:space="preserve"> </w:t>
      </w:r>
      <w:r>
        <w:rPr>
          <w:lang w:val="sr-Cyrl-RS"/>
        </w:rPr>
        <w:t>са</w:t>
      </w:r>
      <w:r>
        <w:rPr>
          <w:lang w:val="hr-BA"/>
        </w:rPr>
        <w:t xml:space="preserve"> </w:t>
      </w:r>
      <w:r>
        <w:rPr>
          <w:lang w:val="sr-Cyrl-RS"/>
        </w:rPr>
        <w:t>очекиваним</w:t>
      </w:r>
      <w:r>
        <w:rPr>
          <w:lang w:val="hr-BA"/>
        </w:rPr>
        <w:t xml:space="preserve"> </w:t>
      </w:r>
      <w:r>
        <w:rPr>
          <w:lang w:val="sr-Cyrl-RS"/>
        </w:rPr>
        <w:t>исходима</w:t>
      </w:r>
      <w:r>
        <w:rPr>
          <w:lang w:val="hr-BA"/>
        </w:rPr>
        <w:t xml:space="preserve"> </w:t>
      </w:r>
      <w:r>
        <w:rPr>
          <w:lang w:val="sr-Cyrl-RS"/>
        </w:rPr>
        <w:t>и</w:t>
      </w:r>
      <w:r>
        <w:rPr>
          <w:lang w:val="hr-BA"/>
        </w:rPr>
        <w:t xml:space="preserve"> </w:t>
      </w:r>
      <w:r>
        <w:rPr>
          <w:lang w:val="sr-Cyrl-RS"/>
        </w:rPr>
        <w:t>индикаторима</w:t>
      </w:r>
      <w:bookmarkEnd w:id="131"/>
      <w:bookmarkEnd w:id="132"/>
      <w:bookmarkEnd w:id="133"/>
      <w:bookmarkEnd w:id="134"/>
    </w:p>
    <w:p>
      <w:pPr>
        <w:rPr>
          <w:rFonts w:asciiTheme="minorHAnsi" w:hAnsiTheme="minorHAnsi" w:cstheme="minorHAnsi"/>
          <w:b/>
          <w:bCs/>
          <w:kern w:val="32"/>
        </w:rPr>
      </w:pPr>
    </w:p>
    <w:tbl>
      <w:tblPr>
        <w:tblStyle w:val="36"/>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31"/>
        <w:gridCol w:w="3479"/>
        <w:gridCol w:w="2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323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tcPr>
          <w:p>
            <w:pPr>
              <w:spacing w:before="120" w:after="120"/>
              <w:jc w:val="both"/>
              <w:rPr>
                <w:rFonts w:cstheme="minorHAnsi"/>
                <w:b/>
                <w:color w:val="1A1617"/>
                <w:shd w:val="clear" w:color="auto" w:fill="FFFFFF" w:themeFill="background1"/>
                <w:lang w:val="bs-Cyrl-BA"/>
              </w:rPr>
            </w:pPr>
            <w:r>
              <w:rPr>
                <w:b/>
                <w:lang w:val="bs-Cyrl-BA" w:eastAsia="zh-CN"/>
              </w:rPr>
              <w:t>Секторски циљ</w:t>
            </w:r>
          </w:p>
        </w:tc>
        <w:tc>
          <w:tcPr>
            <w:tcW w:w="3479"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tabs>
                <w:tab w:val="left" w:pos="360"/>
                <w:tab w:val="left" w:pos="1841"/>
              </w:tabs>
              <w:spacing w:after="120"/>
              <w:ind w:left="311" w:hanging="311"/>
              <w:contextualSpacing/>
              <w:rPr>
                <w:b/>
                <w:lang w:val="bs-Cyrl-BA" w:eastAsia="zh-CN"/>
              </w:rPr>
            </w:pPr>
            <w:r>
              <w:rPr>
                <w:b/>
                <w:lang w:val="bs-Cyrl-BA" w:eastAsia="zh-CN"/>
              </w:rPr>
              <w:t>Очекивани исход</w:t>
            </w:r>
          </w:p>
        </w:tc>
        <w:tc>
          <w:tcPr>
            <w:tcW w:w="2896"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tcPr>
          <w:p>
            <w:pPr>
              <w:tabs>
                <w:tab w:val="left" w:pos="360"/>
              </w:tabs>
              <w:spacing w:before="120" w:after="120"/>
              <w:ind w:left="317" w:hanging="270"/>
              <w:jc w:val="both"/>
              <w:rPr>
                <w:rFonts w:cstheme="minorHAnsi"/>
                <w:b/>
                <w:color w:val="1A1617"/>
                <w:shd w:val="clear" w:color="auto" w:fill="FFFFFF" w:themeFill="background1"/>
                <w:lang w:val="bs-Cyrl-BA"/>
              </w:rPr>
            </w:pPr>
            <w:r>
              <w:rPr>
                <w:b/>
                <w:lang w:val="bs-Cyrl-BA" w:eastAsia="zh-CN"/>
              </w:rPr>
              <w:t>Индикатор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31" w:type="dxa"/>
          </w:tcPr>
          <w:p>
            <w:pPr>
              <w:spacing w:before="120" w:after="120"/>
              <w:jc w:val="both"/>
              <w:rPr>
                <w:rFonts w:cstheme="minorHAnsi"/>
                <w:b/>
                <w:color w:val="1A1617"/>
                <w:shd w:val="clear" w:color="auto" w:fill="FFFFFF" w:themeFill="background1"/>
                <w:lang w:val="bs-Cyrl-BA"/>
              </w:rPr>
            </w:pPr>
            <w:r>
              <w:rPr>
                <w:rFonts w:cstheme="minorHAnsi"/>
                <w:b/>
                <w:color w:val="1A1617"/>
                <w:shd w:val="clear" w:color="auto" w:fill="FFFFFF" w:themeFill="background1"/>
                <w:lang w:val="bs-Cyrl-BA"/>
              </w:rPr>
              <w:t>Секторски циљ 2.1</w:t>
            </w:r>
          </w:p>
          <w:p>
            <w:pPr>
              <w:rPr>
                <w:rFonts w:cstheme="minorHAnsi"/>
                <w:b/>
                <w:lang w:val="sr-Cyrl-RS"/>
              </w:rPr>
            </w:pPr>
            <w:r>
              <w:rPr>
                <w:b/>
                <w:lang w:val="sr-Cyrl-BA"/>
              </w:rPr>
              <w:t xml:space="preserve">До краја 2022. унапређена ефикасност </w:t>
            </w:r>
            <w:r>
              <w:rPr>
                <w:b/>
                <w:lang w:val="bs-Latn-BA"/>
              </w:rPr>
              <w:t xml:space="preserve"> Градск</w:t>
            </w:r>
            <w:r>
              <w:rPr>
                <w:b/>
                <w:lang w:val="sr-Cyrl-BA"/>
              </w:rPr>
              <w:t>е</w:t>
            </w:r>
            <w:r>
              <w:rPr>
                <w:b/>
                <w:lang w:val="bs-Latn-BA"/>
              </w:rPr>
              <w:t xml:space="preserve"> управ</w:t>
            </w:r>
            <w:r>
              <w:rPr>
                <w:b/>
                <w:lang w:val="sr-Cyrl-BA"/>
              </w:rPr>
              <w:t>е</w:t>
            </w:r>
            <w:r>
              <w:rPr>
                <w:rFonts w:cstheme="minorHAnsi"/>
                <w:b/>
                <w:lang w:val="sr-Cyrl-RS"/>
              </w:rPr>
              <w:t xml:space="preserve"> </w:t>
            </w:r>
          </w:p>
        </w:tc>
        <w:tc>
          <w:tcPr>
            <w:tcW w:w="3479" w:type="dxa"/>
            <w:shd w:val="clear" w:color="auto" w:fill="FFFFFF" w:themeFill="background1"/>
          </w:tcPr>
          <w:p>
            <w:pPr>
              <w:numPr>
                <w:ilvl w:val="0"/>
                <w:numId w:val="76"/>
              </w:numPr>
              <w:tabs>
                <w:tab w:val="left" w:pos="1841"/>
              </w:tabs>
              <w:spacing w:before="120" w:after="120"/>
              <w:rPr>
                <w:rFonts w:cstheme="minorHAnsi"/>
                <w:lang w:val="bs-Cyrl-BA"/>
              </w:rPr>
            </w:pPr>
            <w:r>
              <w:rPr>
                <w:rFonts w:cstheme="minorHAnsi"/>
                <w:lang w:val="bs-Cyrl-BA"/>
              </w:rPr>
              <w:t xml:space="preserve">Исход 1: До краја 2022. године дигитализовано најмање 30% услуга за грађане и приватни сектор </w:t>
            </w:r>
          </w:p>
          <w:p>
            <w:pPr>
              <w:numPr>
                <w:ilvl w:val="0"/>
                <w:numId w:val="76"/>
              </w:numPr>
              <w:tabs>
                <w:tab w:val="left" w:pos="1841"/>
              </w:tabs>
              <w:spacing w:before="120" w:after="120"/>
              <w:rPr>
                <w:rFonts w:cstheme="minorHAnsi"/>
                <w:lang w:val="bs-Cyrl-BA"/>
              </w:rPr>
            </w:pPr>
            <w:r>
              <w:rPr>
                <w:rFonts w:cstheme="minorHAnsi"/>
                <w:lang w:val="bs-Cyrl-BA"/>
              </w:rPr>
              <w:t>Исход 2: До краја 2022. године уведено најмање 10 нових е-услуга за грађане</w:t>
            </w:r>
          </w:p>
          <w:p>
            <w:pPr>
              <w:numPr>
                <w:ilvl w:val="0"/>
                <w:numId w:val="76"/>
              </w:numPr>
              <w:tabs>
                <w:tab w:val="left" w:pos="1841"/>
              </w:tabs>
              <w:spacing w:before="120"/>
              <w:rPr>
                <w:rFonts w:cstheme="minorHAnsi"/>
                <w:lang w:val="bs-Cyrl-BA"/>
              </w:rPr>
            </w:pPr>
            <w:r>
              <w:rPr>
                <w:rFonts w:cstheme="minorHAnsi"/>
                <w:lang w:val="bs-Cyrl-BA"/>
              </w:rPr>
              <w:t>Исход 3: До краја 2022. године, најмање 20% грађана  редовно користи електронске услуге за грађане, које се нуде у јавним просторима.</w:t>
            </w:r>
          </w:p>
          <w:p>
            <w:pPr>
              <w:numPr>
                <w:ilvl w:val="0"/>
                <w:numId w:val="76"/>
              </w:numPr>
              <w:tabs>
                <w:tab w:val="left" w:pos="1841"/>
              </w:tabs>
              <w:spacing w:before="120" w:after="120"/>
              <w:rPr>
                <w:rFonts w:cstheme="minorHAnsi"/>
                <w:lang w:val="bs-Cyrl-BA"/>
              </w:rPr>
            </w:pPr>
            <w:r>
              <w:rPr>
                <w:rFonts w:cstheme="minorHAnsi"/>
                <w:lang w:val="bs-Cyrl-BA"/>
              </w:rPr>
              <w:t xml:space="preserve">Исход 4: До краја 2022. године 50% више грађана из дијаспоре користи електронске услуге Градске управе   </w:t>
            </w:r>
          </w:p>
          <w:p>
            <w:pPr>
              <w:numPr>
                <w:ilvl w:val="0"/>
                <w:numId w:val="76"/>
              </w:numPr>
              <w:tabs>
                <w:tab w:val="left" w:pos="1841"/>
              </w:tabs>
              <w:spacing w:before="120" w:after="120"/>
              <w:rPr>
                <w:rFonts w:cstheme="minorHAnsi"/>
                <w:lang w:val="bs-Cyrl-BA"/>
              </w:rPr>
            </w:pPr>
            <w:r>
              <w:rPr>
                <w:rFonts w:cstheme="minorHAnsi"/>
                <w:lang w:val="bs-Cyrl-BA"/>
              </w:rPr>
              <w:t>Исход 5: До краја 2022. године,  унапређено или уведено најмање 5 нових финансијских механизама</w:t>
            </w:r>
          </w:p>
          <w:p>
            <w:pPr>
              <w:numPr>
                <w:ilvl w:val="0"/>
                <w:numId w:val="76"/>
              </w:numPr>
              <w:tabs>
                <w:tab w:val="left" w:pos="1841"/>
              </w:tabs>
              <w:spacing w:before="120"/>
              <w:rPr>
                <w:rFonts w:cstheme="minorHAnsi"/>
                <w:lang w:val="bs-Cyrl-BA"/>
              </w:rPr>
            </w:pPr>
            <w:r>
              <w:rPr>
                <w:rFonts w:cstheme="minorHAnsi"/>
                <w:lang w:val="bs-Cyrl-BA"/>
              </w:rPr>
              <w:t>Исход 6: До краја 2022. г. реализовано најмање 10 пројеката у сарадњи са домаћим и страним  организацијама/институцијама  и приватним сектором</w:t>
            </w:r>
          </w:p>
          <w:p>
            <w:pPr>
              <w:numPr>
                <w:ilvl w:val="0"/>
                <w:numId w:val="76"/>
              </w:numPr>
              <w:tabs>
                <w:tab w:val="left" w:pos="1841"/>
              </w:tabs>
              <w:spacing w:before="120" w:after="120"/>
              <w:rPr>
                <w:rFonts w:cstheme="minorHAnsi"/>
                <w:lang w:val="bs-Cyrl-BA"/>
              </w:rPr>
            </w:pPr>
            <w:r>
              <w:rPr>
                <w:rFonts w:cstheme="minorHAnsi"/>
                <w:lang w:val="bs-Cyrl-BA"/>
              </w:rPr>
              <w:t xml:space="preserve">Исход 7: До краја 2022. године,  проценат наплате пореза на непокретности увећан за најмање 15% у односу на 2017. годину </w:t>
            </w:r>
          </w:p>
          <w:p>
            <w:pPr>
              <w:numPr>
                <w:ilvl w:val="0"/>
                <w:numId w:val="76"/>
              </w:numPr>
              <w:tabs>
                <w:tab w:val="left" w:pos="1841"/>
              </w:tabs>
              <w:spacing w:before="120" w:after="120"/>
              <w:rPr>
                <w:rFonts w:cstheme="minorHAnsi"/>
                <w:lang w:val="bs-Cyrl-BA"/>
              </w:rPr>
            </w:pPr>
            <w:bookmarkStart w:id="135" w:name="_Hlk519945622"/>
            <w:r>
              <w:rPr>
                <w:rFonts w:cstheme="minorHAnsi"/>
                <w:lang w:val="bs-Cyrl-BA"/>
              </w:rPr>
              <w:t>Исход 8: До краја 2022. године, 15% територије Града покривено Урбанистичким планом Града</w:t>
            </w:r>
            <w:bookmarkEnd w:id="135"/>
          </w:p>
          <w:p>
            <w:pPr>
              <w:numPr>
                <w:ilvl w:val="0"/>
                <w:numId w:val="76"/>
              </w:numPr>
              <w:tabs>
                <w:tab w:val="left" w:pos="1841"/>
              </w:tabs>
              <w:spacing w:before="120" w:after="120"/>
              <w:rPr>
                <w:rFonts w:cstheme="minorHAnsi"/>
                <w:lang w:val="bs-Cyrl-BA"/>
              </w:rPr>
            </w:pPr>
            <w:r>
              <w:rPr>
                <w:rFonts w:cstheme="minorHAnsi"/>
                <w:lang w:val="bs-Cyrl-BA"/>
              </w:rPr>
              <w:t>Исход 9: До краја 2022. године, смањени трошкови јавне расвјете за 20% у односу на 2017. годину</w:t>
            </w:r>
          </w:p>
        </w:tc>
        <w:tc>
          <w:tcPr>
            <w:tcW w:w="2896" w:type="dxa"/>
          </w:tcPr>
          <w:p>
            <w:pPr>
              <w:numPr>
                <w:ilvl w:val="0"/>
                <w:numId w:val="76"/>
              </w:numPr>
              <w:tabs>
                <w:tab w:val="left" w:pos="1841"/>
              </w:tabs>
              <w:spacing w:before="120" w:after="120"/>
              <w:rPr>
                <w:rFonts w:cstheme="minorHAnsi"/>
                <w:lang w:val="bs-Cyrl-BA"/>
              </w:rPr>
            </w:pPr>
            <w:r>
              <w:rPr>
                <w:rFonts w:cstheme="minorHAnsi"/>
                <w:lang w:val="bs-Cyrl-BA"/>
              </w:rPr>
              <w:t>Број дигитализованих услуга</w:t>
            </w:r>
          </w:p>
          <w:p>
            <w:pPr>
              <w:numPr>
                <w:ilvl w:val="0"/>
                <w:numId w:val="76"/>
              </w:numPr>
              <w:tabs>
                <w:tab w:val="left" w:pos="1841"/>
              </w:tabs>
              <w:spacing w:before="120" w:after="120"/>
              <w:rPr>
                <w:rFonts w:cstheme="minorHAnsi"/>
                <w:lang w:val="bs-Cyrl-BA"/>
              </w:rPr>
            </w:pPr>
            <w:r>
              <w:rPr>
                <w:rFonts w:cstheme="minorHAnsi"/>
                <w:lang w:val="bs-Cyrl-BA"/>
              </w:rPr>
              <w:t>Број нових  е-услуга</w:t>
            </w:r>
          </w:p>
          <w:p>
            <w:pPr>
              <w:numPr>
                <w:ilvl w:val="0"/>
                <w:numId w:val="76"/>
              </w:numPr>
              <w:tabs>
                <w:tab w:val="left" w:pos="1841"/>
              </w:tabs>
              <w:spacing w:before="120" w:after="120"/>
              <w:rPr>
                <w:rFonts w:cstheme="minorHAnsi"/>
                <w:lang w:val="bs-Cyrl-BA"/>
              </w:rPr>
            </w:pPr>
            <w:r>
              <w:rPr>
                <w:rFonts w:cstheme="minorHAnsi"/>
                <w:lang w:val="bs-Cyrl-BA"/>
              </w:rPr>
              <w:t>Број корисника е-услуга  ГУ из дијаспоре</w:t>
            </w:r>
          </w:p>
          <w:p>
            <w:pPr>
              <w:numPr>
                <w:ilvl w:val="0"/>
                <w:numId w:val="76"/>
              </w:numPr>
              <w:tabs>
                <w:tab w:val="left" w:pos="1841"/>
              </w:tabs>
              <w:spacing w:before="120" w:after="120"/>
              <w:rPr>
                <w:rFonts w:cstheme="minorHAnsi"/>
                <w:lang w:val="bs-Cyrl-BA"/>
              </w:rPr>
            </w:pPr>
            <w:r>
              <w:rPr>
                <w:rFonts w:cstheme="minorHAnsi"/>
                <w:lang w:val="bs-Cyrl-BA"/>
              </w:rPr>
              <w:t>Број уведених финансијских механизама</w:t>
            </w:r>
          </w:p>
          <w:p>
            <w:pPr>
              <w:numPr>
                <w:ilvl w:val="0"/>
                <w:numId w:val="76"/>
              </w:numPr>
              <w:tabs>
                <w:tab w:val="left" w:pos="1841"/>
              </w:tabs>
              <w:spacing w:before="120" w:after="120"/>
              <w:rPr>
                <w:rFonts w:cstheme="minorHAnsi"/>
                <w:lang w:val="bs-Cyrl-BA"/>
              </w:rPr>
            </w:pPr>
            <w:r>
              <w:rPr>
                <w:rFonts w:cstheme="minorHAnsi"/>
                <w:lang w:val="bs-Cyrl-BA"/>
              </w:rPr>
              <w:t>Висина средстава добијених кроз пројекте</w:t>
            </w:r>
          </w:p>
          <w:p>
            <w:pPr>
              <w:numPr>
                <w:ilvl w:val="0"/>
                <w:numId w:val="76"/>
              </w:numPr>
              <w:tabs>
                <w:tab w:val="left" w:pos="1841"/>
              </w:tabs>
              <w:spacing w:before="120" w:after="120"/>
              <w:rPr>
                <w:rFonts w:cstheme="minorHAnsi"/>
                <w:lang w:val="bs-Cyrl-BA"/>
              </w:rPr>
            </w:pPr>
            <w:r>
              <w:rPr>
                <w:rFonts w:cstheme="minorHAnsi"/>
                <w:lang w:val="bs-Cyrl-BA"/>
              </w:rPr>
              <w:t>Број реализованих  пројеката у сарадњи са домаћим и страним  организацијама/</w:t>
            </w:r>
          </w:p>
          <w:p>
            <w:pPr>
              <w:tabs>
                <w:tab w:val="left" w:pos="1841"/>
              </w:tabs>
              <w:spacing w:before="120" w:after="120"/>
              <w:ind w:left="360"/>
              <w:rPr>
                <w:rFonts w:cstheme="minorHAnsi"/>
                <w:lang w:val="bs-Cyrl-BA"/>
              </w:rPr>
            </w:pPr>
            <w:r>
              <w:rPr>
                <w:rFonts w:cstheme="minorHAnsi"/>
                <w:lang w:val="bs-Cyrl-BA"/>
              </w:rPr>
              <w:t>институцијама и приватним сектором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31" w:type="dxa"/>
          </w:tcPr>
          <w:p>
            <w:pPr>
              <w:spacing w:before="120" w:after="120"/>
              <w:rPr>
                <w:rFonts w:cstheme="minorHAnsi"/>
                <w:b/>
                <w:color w:val="1A1617"/>
                <w:shd w:val="clear" w:color="auto" w:fill="FFFFFF" w:themeFill="background1"/>
                <w:lang w:val="bs-Cyrl-BA"/>
              </w:rPr>
            </w:pPr>
            <w:r>
              <w:rPr>
                <w:rFonts w:cstheme="minorHAnsi"/>
                <w:b/>
                <w:color w:val="1A1617"/>
                <w:shd w:val="clear" w:color="auto" w:fill="FFFFFF" w:themeFill="background1"/>
                <w:lang w:val="bs-Cyrl-BA"/>
              </w:rPr>
              <w:t>Секторски циљ 2.2</w:t>
            </w:r>
          </w:p>
          <w:p>
            <w:pPr>
              <w:spacing w:before="120" w:after="120"/>
              <w:rPr>
                <w:rFonts w:cstheme="minorHAnsi"/>
                <w:lang w:val="bs-Cyrl-BA"/>
              </w:rPr>
            </w:pPr>
            <w:r>
              <w:rPr>
                <w:b/>
                <w:bCs/>
                <w:lang w:val="bs-Latn-BA"/>
              </w:rPr>
              <w:t>Дигитална трансформација града кроз изградњу паметне инфраструктуре</w:t>
            </w:r>
            <w:r>
              <w:rPr>
                <w:b/>
                <w:bCs/>
                <w:lang w:val="sr-Cyrl-RS"/>
              </w:rPr>
              <w:t xml:space="preserve"> до краја 2022. године</w:t>
            </w:r>
            <w:r>
              <w:rPr>
                <w:rFonts w:cstheme="minorHAnsi"/>
                <w:lang w:val="bs-Cyrl-BA"/>
              </w:rPr>
              <w:t xml:space="preserve"> </w:t>
            </w:r>
          </w:p>
        </w:tc>
        <w:tc>
          <w:tcPr>
            <w:tcW w:w="3479" w:type="dxa"/>
            <w:shd w:val="clear" w:color="auto" w:fill="FFFFFF" w:themeFill="background1"/>
          </w:tcPr>
          <w:p>
            <w:pPr>
              <w:numPr>
                <w:ilvl w:val="0"/>
                <w:numId w:val="77"/>
              </w:numPr>
              <w:spacing w:before="120" w:after="120"/>
              <w:rPr>
                <w:rFonts w:cstheme="minorHAnsi"/>
                <w:lang w:val="bs-Cyrl-BA"/>
              </w:rPr>
            </w:pPr>
            <w:r>
              <w:rPr>
                <w:rFonts w:cstheme="minorHAnsi"/>
                <w:lang w:val="bs-Cyrl-BA"/>
              </w:rPr>
              <w:t>Исход 1: До краја 2022. године, најмање 20% грађана  редовно користи електронске услуге за грађане које се нуде у јавним просторима.</w:t>
            </w:r>
          </w:p>
          <w:p>
            <w:pPr>
              <w:numPr>
                <w:ilvl w:val="0"/>
                <w:numId w:val="77"/>
              </w:numPr>
              <w:spacing w:before="120" w:after="120"/>
              <w:rPr>
                <w:rFonts w:cstheme="minorHAnsi"/>
                <w:lang w:val="bs-Cyrl-BA"/>
              </w:rPr>
            </w:pPr>
            <w:r>
              <w:rPr>
                <w:rFonts w:cstheme="minorHAnsi"/>
                <w:lang w:val="bs-Cyrl-BA"/>
              </w:rPr>
              <w:t>Исход 2: До краја 2022. године, модернизован саобраћајни систем и уведене ефикасније услуге уз помоћ „паметних“ рјешења на најмање 10 локација у граду</w:t>
            </w:r>
          </w:p>
          <w:p>
            <w:pPr>
              <w:numPr>
                <w:ilvl w:val="0"/>
                <w:numId w:val="77"/>
              </w:numPr>
              <w:spacing w:before="120" w:after="120"/>
              <w:rPr>
                <w:rFonts w:cstheme="minorHAnsi"/>
                <w:lang w:val="bs-Cyrl-BA"/>
              </w:rPr>
            </w:pPr>
            <w:r>
              <w:rPr>
                <w:rFonts w:cstheme="minorHAnsi"/>
                <w:lang w:val="bs-Cyrl-BA"/>
              </w:rPr>
              <w:t>Исход 3: До краја 2022. године уведено и користи се најмање пет електронских  и енергетски ефикасних услуга за грађане.</w:t>
            </w:r>
          </w:p>
          <w:p>
            <w:pPr>
              <w:numPr>
                <w:ilvl w:val="0"/>
                <w:numId w:val="77"/>
              </w:numPr>
              <w:tabs>
                <w:tab w:val="left" w:pos="1841"/>
              </w:tabs>
              <w:spacing w:before="120" w:after="120"/>
              <w:rPr>
                <w:rFonts w:cstheme="minorHAnsi"/>
                <w:lang w:val="bs-Cyrl-BA"/>
              </w:rPr>
            </w:pPr>
            <w:r>
              <w:rPr>
                <w:rFonts w:cstheme="minorHAnsi"/>
                <w:lang w:val="bs-Cyrl-BA"/>
              </w:rPr>
              <w:t>Исход 4: До краја 2022. године, задовољство грађана „паметним“  услугама повећано за 30% у односу на 2018. годину</w:t>
            </w:r>
          </w:p>
        </w:tc>
        <w:tc>
          <w:tcPr>
            <w:tcW w:w="2896" w:type="dxa"/>
          </w:tcPr>
          <w:p>
            <w:pPr>
              <w:numPr>
                <w:ilvl w:val="0"/>
                <w:numId w:val="77"/>
              </w:numPr>
              <w:spacing w:before="120" w:after="120"/>
              <w:rPr>
                <w:lang w:val="bs-Latn-BA"/>
              </w:rPr>
            </w:pPr>
            <w:r>
              <w:rPr>
                <w:lang w:val="bs-Latn-BA"/>
              </w:rPr>
              <w:t>Број корисника електронских услуга</w:t>
            </w:r>
            <w:r>
              <w:rPr>
                <w:lang w:val="sr-Cyrl-BA"/>
              </w:rPr>
              <w:t xml:space="preserve"> за грађане.</w:t>
            </w:r>
          </w:p>
          <w:p>
            <w:pPr>
              <w:numPr>
                <w:ilvl w:val="0"/>
                <w:numId w:val="77"/>
              </w:numPr>
              <w:spacing w:before="120" w:after="120"/>
              <w:rPr>
                <w:lang w:val="bs-Latn-BA"/>
              </w:rPr>
            </w:pPr>
            <w:r>
              <w:rPr>
                <w:lang w:val="bs-Latn-BA"/>
              </w:rPr>
              <w:t>Број аутобуских стајалишта са електронским информацијама</w:t>
            </w:r>
          </w:p>
          <w:p>
            <w:pPr>
              <w:numPr>
                <w:ilvl w:val="0"/>
                <w:numId w:val="77"/>
              </w:numPr>
              <w:spacing w:before="120" w:after="120"/>
              <w:rPr>
                <w:lang w:val="bs-Latn-BA"/>
              </w:rPr>
            </w:pPr>
            <w:r>
              <w:rPr>
                <w:lang w:val="bs-Latn-BA"/>
              </w:rPr>
              <w:t>Број уведених smart услуга</w:t>
            </w:r>
          </w:p>
          <w:p>
            <w:pPr>
              <w:numPr>
                <w:ilvl w:val="0"/>
                <w:numId w:val="77"/>
              </w:numPr>
              <w:spacing w:before="120" w:after="120"/>
              <w:rPr>
                <w:rFonts w:cstheme="minorHAnsi"/>
                <w:lang w:val="bs-Cyrl-BA"/>
              </w:rPr>
            </w:pPr>
            <w:r>
              <w:rPr>
                <w:lang w:val="sr-Cyrl-RS"/>
              </w:rPr>
              <w:t>Анкета задовољства грађана паметним</w:t>
            </w:r>
            <w:r>
              <w:rPr>
                <w:lang w:val="sr-Cyrl-CS"/>
              </w:rPr>
              <w:t xml:space="preserve"> </w:t>
            </w:r>
            <w:r>
              <w:rPr>
                <w:lang w:val="sr-Cyrl-RS"/>
              </w:rPr>
              <w:t>услугама</w:t>
            </w:r>
          </w:p>
        </w:tc>
      </w:tr>
    </w:tbl>
    <w:p>
      <w:pPr>
        <w:ind w:left="360"/>
        <w:rPr>
          <w:rFonts w:asciiTheme="minorHAnsi" w:hAnsiTheme="minorHAnsi" w:cstheme="minorHAnsi"/>
          <w:b/>
          <w:bCs/>
          <w:kern w:val="32"/>
          <w:lang w:val="sr-Cyrl-RS"/>
        </w:rPr>
      </w:pPr>
    </w:p>
    <w:p>
      <w:pPr>
        <w:ind w:left="360"/>
        <w:rPr>
          <w:rFonts w:asciiTheme="minorHAnsi" w:hAnsiTheme="minorHAnsi" w:cstheme="minorHAnsi"/>
          <w:b/>
          <w:bCs/>
          <w:kern w:val="32"/>
          <w:lang w:val="sr-Cyrl-RS"/>
        </w:rPr>
      </w:pPr>
    </w:p>
    <w:tbl>
      <w:tblPr>
        <w:tblStyle w:val="36"/>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7"/>
        <w:gridCol w:w="3402"/>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3227" w:type="dxa"/>
            <w:shd w:val="clear" w:color="auto" w:fill="C5E0B3" w:themeFill="accent6" w:themeFillTint="66"/>
          </w:tcPr>
          <w:p>
            <w:pPr>
              <w:spacing w:before="120" w:after="120"/>
              <w:rPr>
                <w:rFonts w:cstheme="minorHAnsi"/>
                <w:b/>
                <w:lang w:val="bs-Latn-BA"/>
              </w:rPr>
            </w:pPr>
            <w:r>
              <w:rPr>
                <w:rFonts w:cstheme="minorHAnsi"/>
                <w:b/>
                <w:lang w:val="bs-Latn-BA"/>
              </w:rPr>
              <w:t>Секторски циљ</w:t>
            </w:r>
          </w:p>
        </w:tc>
        <w:tc>
          <w:tcPr>
            <w:tcW w:w="3402" w:type="dxa"/>
            <w:shd w:val="clear" w:color="auto" w:fill="C5E0B3" w:themeFill="accent6" w:themeFillTint="66"/>
          </w:tcPr>
          <w:p>
            <w:pPr>
              <w:spacing w:before="120" w:after="120"/>
              <w:rPr>
                <w:rFonts w:cstheme="minorHAnsi"/>
                <w:b/>
                <w:lang w:val="bs-Latn-BA"/>
              </w:rPr>
            </w:pPr>
            <w:r>
              <w:rPr>
                <w:rFonts w:cstheme="minorHAnsi"/>
                <w:b/>
                <w:lang w:val="bs-Latn-BA"/>
              </w:rPr>
              <w:t>Очекивани исход</w:t>
            </w:r>
          </w:p>
        </w:tc>
        <w:tc>
          <w:tcPr>
            <w:tcW w:w="2977" w:type="dxa"/>
            <w:shd w:val="clear" w:color="auto" w:fill="C5E0B3" w:themeFill="accent6" w:themeFillTint="66"/>
          </w:tcPr>
          <w:p>
            <w:pPr>
              <w:spacing w:before="120" w:after="120"/>
              <w:rPr>
                <w:rFonts w:cstheme="minorHAnsi"/>
                <w:b/>
                <w:lang w:val="bs-Latn-BA"/>
              </w:rPr>
            </w:pPr>
            <w:r>
              <w:rPr>
                <w:rFonts w:cstheme="minorHAnsi"/>
                <w:b/>
                <w:lang w:val="bs-Latn-BA"/>
              </w:rPr>
              <w:t>Индикатор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8" w:hRule="atLeast"/>
        </w:trPr>
        <w:tc>
          <w:tcPr>
            <w:tcW w:w="3227" w:type="dxa"/>
            <w:shd w:val="clear" w:color="auto" w:fill="FFFFFF" w:themeFill="background1"/>
          </w:tcPr>
          <w:p>
            <w:pPr>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 xml:space="preserve">Секторски циљ 4.1 </w:t>
            </w:r>
          </w:p>
          <w:p>
            <w:pPr>
              <w:spacing w:before="60" w:after="120"/>
              <w:rPr>
                <w:b/>
                <w:lang w:val="sr-Cyrl-RS"/>
              </w:rPr>
            </w:pPr>
            <w:r>
              <w:rPr>
                <w:b/>
                <w:lang w:val="sr-Cyrl-RS"/>
              </w:rPr>
              <w:t xml:space="preserve">До краја 2022.г. унапређен квалитет и доступност образовања </w:t>
            </w:r>
          </w:p>
          <w:p>
            <w:pPr>
              <w:rPr>
                <w:rFonts w:cstheme="minorHAnsi"/>
                <w:lang w:val="sr-Cyrl-RS"/>
              </w:rPr>
            </w:pPr>
          </w:p>
        </w:tc>
        <w:tc>
          <w:tcPr>
            <w:tcW w:w="3402" w:type="dxa"/>
          </w:tcPr>
          <w:p>
            <w:pPr>
              <w:pStyle w:val="54"/>
              <w:numPr>
                <w:ilvl w:val="0"/>
                <w:numId w:val="78"/>
              </w:numPr>
            </w:pPr>
            <w:r>
              <w:t xml:space="preserve">Исход 1: До краја 2022.г најмање 50% дјеце предшколског узраста обухваћено програмима предшколског образовања и васпитања.  </w:t>
            </w:r>
          </w:p>
          <w:p>
            <w:pPr>
              <w:pStyle w:val="54"/>
              <w:numPr>
                <w:ilvl w:val="0"/>
                <w:numId w:val="78"/>
              </w:numPr>
            </w:pPr>
            <w:r>
              <w:t>Исход 2: До краја 2022. побољшани услови и доступност образовања у најмање 34 објекта предшколских, школских и средњошколских установа у односу на 2017. годину</w:t>
            </w:r>
          </w:p>
          <w:p>
            <w:pPr>
              <w:pStyle w:val="54"/>
              <w:numPr>
                <w:ilvl w:val="0"/>
                <w:numId w:val="78"/>
              </w:numPr>
            </w:pPr>
            <w:r>
              <w:t xml:space="preserve">Исход 3: До краја 2022.г сва дјеца са потешкоћама у развоју остварују своје право на образовање у њиховом најбољем интересу и у складу са својим способностима </w:t>
            </w:r>
          </w:p>
          <w:p>
            <w:pPr>
              <w:pStyle w:val="54"/>
              <w:numPr>
                <w:ilvl w:val="0"/>
                <w:numId w:val="78"/>
              </w:numPr>
            </w:pPr>
            <w:r>
              <w:t>Исход 4: До краја 2022.г просјечна оцјена успјешности ученика основних и средњих школа увећана за 10% у односу на 2017</w:t>
            </w:r>
          </w:p>
          <w:p>
            <w:pPr>
              <w:pStyle w:val="54"/>
              <w:numPr>
                <w:ilvl w:val="0"/>
                <w:numId w:val="78"/>
              </w:numPr>
            </w:pPr>
            <w:r>
              <w:t xml:space="preserve">Исход 5: До краја 2022.г број волонтера увећан за 10% у односу на 2017.г. </w:t>
            </w:r>
          </w:p>
        </w:tc>
        <w:tc>
          <w:tcPr>
            <w:tcW w:w="2977" w:type="dxa"/>
          </w:tcPr>
          <w:p>
            <w:pPr>
              <w:pStyle w:val="54"/>
              <w:numPr>
                <w:ilvl w:val="0"/>
                <w:numId w:val="78"/>
              </w:numPr>
            </w:pPr>
            <w:r>
              <w:t>Број дјеце предшколског узраста обухваћено предшколским образовањем и васпитањем;</w:t>
            </w:r>
          </w:p>
          <w:p>
            <w:pPr>
              <w:pStyle w:val="54"/>
              <w:numPr>
                <w:ilvl w:val="0"/>
                <w:numId w:val="78"/>
              </w:numPr>
            </w:pPr>
            <w:r>
              <w:t>Број реконструисаних и изграђених објеката образовних установа</w:t>
            </w:r>
          </w:p>
          <w:p>
            <w:pPr>
              <w:pStyle w:val="54"/>
              <w:numPr>
                <w:ilvl w:val="0"/>
                <w:numId w:val="78"/>
              </w:numPr>
            </w:pPr>
            <w:r>
              <w:t xml:space="preserve">Број објеката образовних установа у којима је </w:t>
            </w:r>
          </w:p>
          <w:p>
            <w:pPr>
              <w:pStyle w:val="54"/>
              <w:numPr>
                <w:ilvl w:val="0"/>
                <w:numId w:val="78"/>
              </w:numPr>
            </w:pPr>
            <w:r>
              <w:rPr>
                <w:lang w:val="sr-Cyrl-RS"/>
              </w:rPr>
              <w:t>О</w:t>
            </w:r>
            <w:r>
              <w:t xml:space="preserve">бновљена или купљена нова опрема </w:t>
            </w:r>
          </w:p>
          <w:p>
            <w:pPr>
              <w:pStyle w:val="54"/>
              <w:numPr>
                <w:ilvl w:val="0"/>
                <w:numId w:val="78"/>
              </w:numPr>
            </w:pPr>
            <w:r>
              <w:t>Број ученика у образовним установама</w:t>
            </w:r>
          </w:p>
          <w:p>
            <w:pPr>
              <w:pStyle w:val="54"/>
              <w:numPr>
                <w:ilvl w:val="0"/>
                <w:numId w:val="78"/>
              </w:numPr>
            </w:pPr>
            <w:r>
              <w:t xml:space="preserve">Број ученика обухваћених инклузивним образовањем </w:t>
            </w:r>
          </w:p>
          <w:p>
            <w:pPr>
              <w:pStyle w:val="54"/>
              <w:numPr>
                <w:ilvl w:val="0"/>
                <w:numId w:val="78"/>
              </w:numPr>
            </w:pPr>
            <w:r>
              <w:t>Просјечна оцјена успјешности ученика основних и средњих школа</w:t>
            </w:r>
          </w:p>
          <w:p>
            <w:pPr>
              <w:pStyle w:val="54"/>
              <w:numPr>
                <w:ilvl w:val="0"/>
                <w:numId w:val="78"/>
              </w:numPr>
            </w:pPr>
            <w:r>
              <w:t>Број волонтера</w:t>
            </w:r>
          </w:p>
          <w:p>
            <w:pPr>
              <w:pStyle w:val="54"/>
              <w:ind w:left="45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27" w:type="dxa"/>
          </w:tcPr>
          <w:p>
            <w:pPr>
              <w:spacing w:before="120" w:after="120"/>
              <w:rPr>
                <w:rFonts w:cstheme="minorHAnsi"/>
                <w:b/>
                <w:lang w:val="bs-Latn-BA"/>
              </w:rPr>
            </w:pPr>
            <w:r>
              <w:rPr>
                <w:rFonts w:cstheme="minorHAnsi"/>
                <w:b/>
                <w:lang w:val="bs-Latn-BA"/>
              </w:rPr>
              <w:t>Секторски циљ 4.2</w:t>
            </w:r>
          </w:p>
          <w:p>
            <w:pPr>
              <w:spacing w:before="120" w:after="120"/>
              <w:rPr>
                <w:rFonts w:cstheme="minorHAnsi"/>
                <w:b/>
                <w:lang w:val="bs-Latn-BA"/>
              </w:rPr>
            </w:pPr>
          </w:p>
          <w:p>
            <w:pPr>
              <w:spacing w:before="120" w:after="120"/>
              <w:rPr>
                <w:b/>
                <w:bCs/>
                <w:lang w:val="bs-Latn-BA"/>
              </w:rPr>
            </w:pPr>
            <w:r>
              <w:rPr>
                <w:b/>
                <w:lang w:val="sr-Cyrl-BA" w:eastAsia="sr-Latn-CS"/>
              </w:rPr>
              <w:t>До краја 2022.г. унапријеђена</w:t>
            </w:r>
            <w:r>
              <w:rPr>
                <w:b/>
                <w:lang w:eastAsia="sr-Latn-CS"/>
              </w:rPr>
              <w:t xml:space="preserve"> здравствен</w:t>
            </w:r>
            <w:r>
              <w:rPr>
                <w:b/>
                <w:lang w:val="sr-Cyrl-BA" w:eastAsia="sr-Latn-CS"/>
              </w:rPr>
              <w:t>а</w:t>
            </w:r>
            <w:r>
              <w:rPr>
                <w:b/>
                <w:lang w:eastAsia="sr-Latn-CS"/>
              </w:rPr>
              <w:t xml:space="preserve"> и социјал</w:t>
            </w:r>
            <w:r>
              <w:rPr>
                <w:b/>
                <w:lang w:val="sr-Cyrl-RS" w:eastAsia="sr-Latn-CS"/>
              </w:rPr>
              <w:t>н</w:t>
            </w:r>
            <w:r>
              <w:rPr>
                <w:b/>
                <w:lang w:val="sr-Cyrl-BA" w:eastAsia="sr-Latn-CS"/>
              </w:rPr>
              <w:t>а</w:t>
            </w:r>
            <w:r>
              <w:rPr>
                <w:b/>
                <w:lang w:eastAsia="sr-Latn-CS"/>
              </w:rPr>
              <w:t xml:space="preserve"> заштит</w:t>
            </w:r>
            <w:r>
              <w:rPr>
                <w:b/>
                <w:lang w:val="sr-Cyrl-BA" w:eastAsia="sr-Latn-CS"/>
              </w:rPr>
              <w:t>а</w:t>
            </w:r>
            <w:r>
              <w:rPr>
                <w:b/>
                <w:lang w:eastAsia="sr-Latn-CS"/>
              </w:rPr>
              <w:t xml:space="preserve"> грађана  </w:t>
            </w:r>
          </w:p>
          <w:p>
            <w:pPr>
              <w:spacing w:before="120" w:after="120"/>
              <w:rPr>
                <w:rFonts w:cstheme="minorHAnsi"/>
                <w:lang w:val="sr-Latn-RS"/>
              </w:rPr>
            </w:pPr>
            <w:r>
              <w:rPr>
                <w:rFonts w:cstheme="minorHAnsi"/>
                <w:color w:val="1A1617"/>
                <w:shd w:val="clear" w:color="auto" w:fill="FFFFFF" w:themeFill="background1"/>
                <w:lang w:val="bs-Latn-BA"/>
              </w:rPr>
              <w:br w:type="textWrapping"/>
            </w:r>
          </w:p>
        </w:tc>
        <w:tc>
          <w:tcPr>
            <w:tcW w:w="3402" w:type="dxa"/>
            <w:shd w:val="clear" w:color="auto" w:fill="FFFFFF" w:themeFill="background1"/>
          </w:tcPr>
          <w:p>
            <w:pPr>
              <w:numPr>
                <w:ilvl w:val="0"/>
                <w:numId w:val="79"/>
              </w:numPr>
              <w:rPr>
                <w:rFonts w:cs="Calibri"/>
                <w:lang w:val="sr-Cyrl-BA" w:eastAsia="sr-Latn-CS"/>
              </w:rPr>
            </w:pPr>
            <w:r>
              <w:rPr>
                <w:rFonts w:cs="Calibri"/>
                <w:lang w:val="sr-Cyrl-BA" w:eastAsia="sr-Latn-CS"/>
              </w:rPr>
              <w:t>Исход 1: До краја 2022.г буџетска издвајања за услуге социјалне заштите увећане за најмање 5% у односу на 2017.г</w:t>
            </w:r>
          </w:p>
          <w:p>
            <w:pPr>
              <w:numPr>
                <w:ilvl w:val="0"/>
                <w:numId w:val="79"/>
              </w:numPr>
              <w:rPr>
                <w:rFonts w:cs="Calibri"/>
                <w:lang w:val="sr-Cyrl-BA" w:eastAsia="sr-Latn-CS"/>
              </w:rPr>
            </w:pPr>
            <w:r>
              <w:rPr>
                <w:rFonts w:cs="Calibri"/>
                <w:lang w:val="sr-Cyrl-BA" w:eastAsia="sr-Latn-CS"/>
              </w:rPr>
              <w:t>Исход 2: До краја 2022.г број корисника ванинституционалних услуга социјалне заштите увећан за 10% у односу на 2017.г</w:t>
            </w:r>
          </w:p>
          <w:p>
            <w:pPr>
              <w:numPr>
                <w:ilvl w:val="0"/>
                <w:numId w:val="79"/>
              </w:numPr>
              <w:rPr>
                <w:rFonts w:cs="Calibri"/>
                <w:lang w:val="sr-Cyrl-BA" w:eastAsia="sr-Latn-CS"/>
              </w:rPr>
            </w:pPr>
            <w:bookmarkStart w:id="136" w:name="_Hlk519582692"/>
            <w:r>
              <w:rPr>
                <w:rFonts w:cs="Calibri"/>
                <w:lang w:val="sr-Cyrl-BA" w:eastAsia="sr-Latn-CS"/>
              </w:rPr>
              <w:t>Исход 3: До краја 2022.г број корисника институционалног смјештаја у установама социјалне заштите смањен за 10% у односу на 2017.г</w:t>
            </w:r>
          </w:p>
          <w:bookmarkEnd w:id="136"/>
          <w:p>
            <w:pPr>
              <w:numPr>
                <w:ilvl w:val="0"/>
                <w:numId w:val="79"/>
              </w:numPr>
              <w:rPr>
                <w:rFonts w:cs="Calibri"/>
                <w:lang w:val="sr-Cyrl-BA" w:eastAsia="sr-Latn-CS"/>
              </w:rPr>
            </w:pPr>
            <w:r>
              <w:rPr>
                <w:rFonts w:cs="Calibri"/>
                <w:lang w:val="sr-Cyrl-BA" w:eastAsia="sr-Latn-CS"/>
              </w:rPr>
              <w:t>Исход 4: До краја 2022.г број обољелих од хроничних незаразних болести смањен за 5% у односу на 2017.г</w:t>
            </w:r>
          </w:p>
          <w:p>
            <w:pPr>
              <w:numPr>
                <w:ilvl w:val="0"/>
                <w:numId w:val="79"/>
              </w:numPr>
              <w:rPr>
                <w:rFonts w:cs="Calibri"/>
                <w:lang w:val="sr-Cyrl-BA"/>
              </w:rPr>
            </w:pPr>
            <w:r>
              <w:rPr>
                <w:rFonts w:cs="Calibri"/>
                <w:lang w:val="sr-Cyrl-BA" w:eastAsia="sr-Latn-CS"/>
              </w:rPr>
              <w:t xml:space="preserve">Исход 5: </w:t>
            </w:r>
            <w:r>
              <w:rPr>
                <w:rFonts w:cs="Calibri"/>
                <w:lang w:val="sr-Cyrl-BA"/>
              </w:rPr>
              <w:t xml:space="preserve">До краја 2022.г фонд намјењен непрофитном социјалном становању увећан за 200 </w:t>
            </w:r>
            <w:r>
              <w:rPr>
                <w:rFonts w:cs="Calibri"/>
                <w:lang w:val="sr-Cyrl-CS"/>
              </w:rPr>
              <w:t xml:space="preserve">стамбених </w:t>
            </w:r>
            <w:r>
              <w:rPr>
                <w:rFonts w:cs="Calibri"/>
                <w:lang w:val="sr-Cyrl-BA"/>
              </w:rPr>
              <w:t>јединица у односу на 2017.г</w:t>
            </w:r>
          </w:p>
          <w:p>
            <w:pPr>
              <w:numPr>
                <w:ilvl w:val="0"/>
                <w:numId w:val="79"/>
              </w:numPr>
              <w:rPr>
                <w:lang w:val="bs-Latn-BA"/>
              </w:rPr>
            </w:pPr>
            <w:r>
              <w:rPr>
                <w:rFonts w:cs="Calibri"/>
                <w:lang w:val="sr-Cyrl-BA" w:eastAsia="sr-Latn-CS"/>
              </w:rPr>
              <w:t>Исход 6: До краја 2022. број социјално укључених грађана из рањивих и маргинализованих група кроз сарадњу јавног, приватног и сектора цивилног друштва повећан за 20% у односу на 2017. годину</w:t>
            </w:r>
          </w:p>
        </w:tc>
        <w:tc>
          <w:tcPr>
            <w:tcW w:w="2977" w:type="dxa"/>
          </w:tcPr>
          <w:p>
            <w:pPr>
              <w:numPr>
                <w:ilvl w:val="0"/>
                <w:numId w:val="79"/>
              </w:numPr>
              <w:rPr>
                <w:rFonts w:cs="Calibri"/>
                <w:lang w:val="sr-Cyrl-BA" w:eastAsia="sr-Latn-CS"/>
              </w:rPr>
            </w:pPr>
            <w:r>
              <w:rPr>
                <w:rFonts w:cs="Calibri"/>
                <w:lang w:val="sr-Cyrl-BA" w:eastAsia="sr-Latn-CS"/>
              </w:rPr>
              <w:t>Висина буџетских извајања за социјалну заштиту</w:t>
            </w:r>
          </w:p>
          <w:p>
            <w:pPr>
              <w:numPr>
                <w:ilvl w:val="0"/>
                <w:numId w:val="79"/>
              </w:numPr>
              <w:rPr>
                <w:rFonts w:cs="Calibri"/>
                <w:lang w:val="sr-Cyrl-BA" w:eastAsia="sr-Latn-CS"/>
              </w:rPr>
            </w:pPr>
            <w:r>
              <w:rPr>
                <w:rFonts w:cs="Calibri"/>
                <w:lang w:val="sr-Cyrl-BA" w:eastAsia="sr-Latn-CS"/>
              </w:rPr>
              <w:t>Број корисника ванинституционалних услуга социјалне заштите</w:t>
            </w:r>
          </w:p>
          <w:p>
            <w:pPr>
              <w:numPr>
                <w:ilvl w:val="0"/>
                <w:numId w:val="79"/>
              </w:numPr>
              <w:rPr>
                <w:rFonts w:cs="Calibri"/>
                <w:lang w:val="sr-Cyrl-BA" w:eastAsia="sr-Latn-CS"/>
              </w:rPr>
            </w:pPr>
            <w:r>
              <w:rPr>
                <w:rFonts w:cs="Calibri"/>
                <w:lang w:val="sr-Cyrl-BA" w:eastAsia="sr-Latn-CS"/>
              </w:rPr>
              <w:t>Број корисника институционалног смјештаја у установама социјалне заштите</w:t>
            </w:r>
          </w:p>
          <w:p>
            <w:pPr>
              <w:numPr>
                <w:ilvl w:val="0"/>
                <w:numId w:val="79"/>
              </w:numPr>
              <w:rPr>
                <w:rFonts w:cs="Calibri"/>
                <w:lang w:val="sr-Cyrl-BA" w:eastAsia="sr-Latn-CS"/>
              </w:rPr>
            </w:pPr>
            <w:r>
              <w:rPr>
                <w:rFonts w:cs="Calibri"/>
                <w:lang w:val="sr-Cyrl-BA" w:eastAsia="sr-Latn-CS"/>
              </w:rPr>
              <w:t>Број обољелих од хроничних незаразних болести</w:t>
            </w:r>
          </w:p>
          <w:p>
            <w:pPr>
              <w:numPr>
                <w:ilvl w:val="0"/>
                <w:numId w:val="79"/>
              </w:numPr>
              <w:rPr>
                <w:rFonts w:cs="Calibri"/>
                <w:lang w:val="sr-Cyrl-BA" w:eastAsia="sr-Latn-CS"/>
              </w:rPr>
            </w:pPr>
            <w:r>
              <w:rPr>
                <w:rFonts w:cs="Calibri"/>
                <w:lang w:val="sr-Cyrl-BA" w:eastAsia="sr-Latn-CS"/>
              </w:rPr>
              <w:t>Број породица које користе услуге социјалног становања</w:t>
            </w:r>
          </w:p>
          <w:p>
            <w:pPr>
              <w:numPr>
                <w:ilvl w:val="0"/>
                <w:numId w:val="79"/>
              </w:numPr>
              <w:rPr>
                <w:rFonts w:cs="Calibri"/>
                <w:lang w:val="sr-Cyrl-BA" w:eastAsia="sr-Latn-CS"/>
              </w:rPr>
            </w:pPr>
            <w:r>
              <w:rPr>
                <w:rFonts w:cs="Calibri"/>
                <w:lang w:val="sr-Cyrl-BA" w:eastAsia="sr-Latn-CS"/>
              </w:rPr>
              <w:t>Број укључених грађана из рањивих и маргинализованих група у пројекте који се споровде у сарадњи јавног, цивилног и приватног сектора</w:t>
            </w:r>
          </w:p>
          <w:p>
            <w:pPr>
              <w:spacing w:before="120" w:after="120"/>
              <w:rPr>
                <w:rFonts w:cs="Calibri"/>
                <w:lang w:val="sr-Cyrl-BA" w:eastAsia="sr-Latn-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27" w:type="dxa"/>
          </w:tcPr>
          <w:p>
            <w:pPr>
              <w:pStyle w:val="54"/>
              <w:rPr>
                <w:rFonts w:cs="Calibri"/>
                <w:b/>
                <w:lang w:val="sr-Cyrl-RS"/>
              </w:rPr>
            </w:pPr>
            <w:r>
              <w:rPr>
                <w:rFonts w:cs="Calibri"/>
                <w:b/>
                <w:lang w:val="sr-Cyrl-RS"/>
              </w:rPr>
              <w:t>Секторски циљ 4.3</w:t>
            </w:r>
          </w:p>
          <w:p>
            <w:pPr>
              <w:pStyle w:val="54"/>
              <w:rPr>
                <w:rFonts w:cs="Calibri"/>
                <w:b/>
                <w:lang w:val="sr-Cyrl-RS"/>
              </w:rPr>
            </w:pPr>
          </w:p>
          <w:p>
            <w:pPr>
              <w:pStyle w:val="54"/>
              <w:rPr>
                <w:rFonts w:cs="Calibri"/>
                <w:b/>
                <w:lang w:val="sr-Cyrl-RS"/>
              </w:rPr>
            </w:pPr>
            <w:r>
              <w:rPr>
                <w:rFonts w:cs="Calibri"/>
                <w:b/>
                <w:lang w:val="sr-Cyrl-RS" w:eastAsia="sr-Latn-CS"/>
              </w:rPr>
              <w:t>До краја 2022.г. унапређени културни садржаји Града</w:t>
            </w:r>
          </w:p>
        </w:tc>
        <w:tc>
          <w:tcPr>
            <w:tcW w:w="3402" w:type="dxa"/>
          </w:tcPr>
          <w:p>
            <w:pPr>
              <w:numPr>
                <w:ilvl w:val="0"/>
                <w:numId w:val="80"/>
              </w:numPr>
              <w:rPr>
                <w:lang w:eastAsia="sr-Latn-CS"/>
              </w:rPr>
            </w:pPr>
            <w:r>
              <w:rPr>
                <w:lang w:val="sr-Cyrl-RS" w:eastAsia="sr-Latn-CS"/>
              </w:rPr>
              <w:t xml:space="preserve">Исход 1: </w:t>
            </w:r>
            <w:r>
              <w:rPr>
                <w:lang w:eastAsia="sr-Latn-CS"/>
              </w:rPr>
              <w:t xml:space="preserve">До </w:t>
            </w:r>
            <w:r>
              <w:rPr>
                <w:lang w:val="sr-Cyrl-CS" w:eastAsia="sr-Latn-CS"/>
              </w:rPr>
              <w:t xml:space="preserve">краја </w:t>
            </w:r>
            <w:r>
              <w:rPr>
                <w:lang w:eastAsia="sr-Latn-CS"/>
              </w:rPr>
              <w:t xml:space="preserve">2022.г број посјетилаца  културних програма увећан за </w:t>
            </w:r>
            <w:r>
              <w:rPr>
                <w:lang w:val="sr-Cyrl-CS" w:eastAsia="sr-Latn-CS"/>
              </w:rPr>
              <w:t>3</w:t>
            </w:r>
            <w:r>
              <w:rPr>
                <w:lang w:eastAsia="sr-Latn-CS"/>
              </w:rPr>
              <w:t>0% у односу на 2017.г</w:t>
            </w:r>
          </w:p>
          <w:p>
            <w:pPr>
              <w:numPr>
                <w:ilvl w:val="0"/>
                <w:numId w:val="80"/>
              </w:numPr>
              <w:rPr>
                <w:lang w:eastAsia="sr-Latn-CS"/>
              </w:rPr>
            </w:pPr>
            <w:r>
              <w:rPr>
                <w:lang w:val="sr-Cyrl-RS" w:eastAsia="sr-Latn-CS"/>
              </w:rPr>
              <w:t xml:space="preserve">Исход 2: </w:t>
            </w:r>
            <w:r>
              <w:rPr>
                <w:lang w:eastAsia="sr-Latn-CS"/>
              </w:rPr>
              <w:t xml:space="preserve">До </w:t>
            </w:r>
            <w:r>
              <w:rPr>
                <w:lang w:val="sr-Cyrl-CS" w:eastAsia="sr-Latn-CS"/>
              </w:rPr>
              <w:t xml:space="preserve">краја </w:t>
            </w:r>
            <w:r>
              <w:rPr>
                <w:lang w:eastAsia="sr-Latn-CS"/>
              </w:rPr>
              <w:t xml:space="preserve">2022.г буџетска издвајања за културну политику увећана </w:t>
            </w:r>
            <w:r>
              <w:rPr>
                <w:lang w:val="sr-Cyrl-CS" w:eastAsia="sr-Latn-CS"/>
              </w:rPr>
              <w:t>за 5</w:t>
            </w:r>
            <w:r>
              <w:rPr>
                <w:lang w:eastAsia="sr-Latn-CS"/>
              </w:rPr>
              <w:t>% у односу на 2017.г</w:t>
            </w:r>
          </w:p>
          <w:p>
            <w:pPr>
              <w:numPr>
                <w:ilvl w:val="0"/>
                <w:numId w:val="80"/>
              </w:numPr>
              <w:rPr>
                <w:lang w:eastAsia="sr-Latn-CS"/>
              </w:rPr>
            </w:pPr>
            <w:r>
              <w:rPr>
                <w:lang w:val="sr-Cyrl-RS" w:eastAsia="sr-Latn-CS"/>
              </w:rPr>
              <w:t xml:space="preserve">Исход 3: </w:t>
            </w:r>
            <w:r>
              <w:rPr>
                <w:lang w:eastAsia="sr-Latn-CS"/>
              </w:rPr>
              <w:t xml:space="preserve">До </w:t>
            </w:r>
            <w:r>
              <w:rPr>
                <w:lang w:val="sr-Cyrl-CS" w:eastAsia="sr-Latn-CS"/>
              </w:rPr>
              <w:t xml:space="preserve">краја </w:t>
            </w:r>
            <w:r>
              <w:rPr>
                <w:lang w:eastAsia="sr-Latn-CS"/>
              </w:rPr>
              <w:t>2022</w:t>
            </w:r>
            <w:r>
              <w:rPr>
                <w:lang w:val="sr-Cyrl-CS" w:eastAsia="sr-Latn-CS"/>
              </w:rPr>
              <w:t>., п</w:t>
            </w:r>
            <w:r>
              <w:rPr>
                <w:lang w:eastAsia="sr-Latn-CS"/>
              </w:rPr>
              <w:t>овећан приход у области културе за 30</w:t>
            </w:r>
            <w:r>
              <w:rPr>
                <w:lang w:val="sr-Cyrl-CS" w:eastAsia="sr-Latn-CS"/>
              </w:rPr>
              <w:t>%</w:t>
            </w:r>
            <w:r>
              <w:rPr>
                <w:lang w:eastAsia="sr-Latn-CS"/>
              </w:rPr>
              <w:t xml:space="preserve"> у односу на 2017.г </w:t>
            </w:r>
          </w:p>
          <w:p>
            <w:pPr>
              <w:numPr>
                <w:ilvl w:val="0"/>
                <w:numId w:val="80"/>
              </w:numPr>
              <w:rPr>
                <w:lang w:eastAsia="sr-Latn-CS"/>
              </w:rPr>
            </w:pPr>
            <w:r>
              <w:rPr>
                <w:lang w:val="sr-Cyrl-RS" w:eastAsia="sr-Latn-CS"/>
              </w:rPr>
              <w:t xml:space="preserve">Исход 4: </w:t>
            </w:r>
            <w:r>
              <w:rPr>
                <w:lang w:eastAsia="sr-Latn-CS"/>
              </w:rPr>
              <w:t xml:space="preserve">До </w:t>
            </w:r>
            <w:r>
              <w:rPr>
                <w:lang w:val="sr-Cyrl-CS" w:eastAsia="sr-Latn-CS"/>
              </w:rPr>
              <w:t xml:space="preserve">краја </w:t>
            </w:r>
            <w:r>
              <w:rPr>
                <w:lang w:eastAsia="sr-Latn-CS"/>
              </w:rPr>
              <w:t>2022.г приходи установа културе увећани два пута у односу на 2017.г  као директна последица унапређења институционалних, организационих и капацитета људских ресурса у области културе.</w:t>
            </w:r>
          </w:p>
          <w:p>
            <w:pPr>
              <w:pStyle w:val="54"/>
              <w:numPr>
                <w:ilvl w:val="0"/>
                <w:numId w:val="80"/>
              </w:numPr>
              <w:rPr>
                <w:lang w:val="bs-Latn-BA"/>
              </w:rPr>
            </w:pPr>
            <w:r>
              <w:rPr>
                <w:lang w:val="sr-Cyrl-RS" w:eastAsia="sr-Latn-CS"/>
              </w:rPr>
              <w:t>Исход 5: До краја 2022. године повећана апсорпција средства обезбијеђених из републичког буџета и међународних извора за 20% у односу на 2017. годину као резултат унапређења сарадње јавног, приватног и  цивилног сектор</w:t>
            </w:r>
          </w:p>
        </w:tc>
        <w:tc>
          <w:tcPr>
            <w:tcW w:w="2977" w:type="dxa"/>
          </w:tcPr>
          <w:p>
            <w:pPr>
              <w:pStyle w:val="46"/>
              <w:numPr>
                <w:ilvl w:val="0"/>
                <w:numId w:val="80"/>
              </w:numPr>
              <w:spacing w:before="0" w:after="120" w:line="240" w:lineRule="auto"/>
              <w:jc w:val="left"/>
              <w:rPr>
                <w:rFonts w:cs="Calibri"/>
              </w:rPr>
            </w:pPr>
            <w:r>
              <w:rPr>
                <w:rFonts w:cs="Calibri"/>
                <w:lang w:val="sr-Cyrl-RS"/>
              </w:rPr>
              <w:t>Б</w:t>
            </w:r>
            <w:r>
              <w:rPr>
                <w:rFonts w:cs="Calibri"/>
              </w:rPr>
              <w:t>рој посјетилаца  културних програма</w:t>
            </w:r>
          </w:p>
          <w:p>
            <w:pPr>
              <w:pStyle w:val="46"/>
              <w:numPr>
                <w:ilvl w:val="0"/>
                <w:numId w:val="80"/>
              </w:numPr>
              <w:spacing w:before="0" w:after="120" w:line="240" w:lineRule="auto"/>
              <w:jc w:val="left"/>
              <w:rPr>
                <w:rFonts w:cs="Calibri"/>
              </w:rPr>
            </w:pPr>
            <w:r>
              <w:rPr>
                <w:rFonts w:cs="Calibri"/>
                <w:lang w:val="sr-Cyrl-RS"/>
              </w:rPr>
              <w:t>Б</w:t>
            </w:r>
            <w:r>
              <w:rPr>
                <w:rFonts w:cs="Calibri"/>
              </w:rPr>
              <w:t xml:space="preserve">уџетска издвајања за културну политику </w:t>
            </w:r>
          </w:p>
          <w:p>
            <w:pPr>
              <w:pStyle w:val="46"/>
              <w:numPr>
                <w:ilvl w:val="0"/>
                <w:numId w:val="80"/>
              </w:numPr>
              <w:spacing w:before="0" w:after="120" w:line="240" w:lineRule="auto"/>
              <w:jc w:val="left"/>
              <w:rPr>
                <w:rFonts w:cs="Calibri"/>
              </w:rPr>
            </w:pPr>
            <w:r>
              <w:rPr>
                <w:rFonts w:cs="Calibri"/>
                <w:lang w:val="sr-Cyrl-CS"/>
              </w:rPr>
              <w:t>Број и садржај културних програма</w:t>
            </w:r>
          </w:p>
          <w:p>
            <w:pPr>
              <w:pStyle w:val="46"/>
              <w:numPr>
                <w:ilvl w:val="0"/>
                <w:numId w:val="80"/>
              </w:numPr>
              <w:spacing w:before="0" w:after="120" w:line="240" w:lineRule="auto"/>
              <w:jc w:val="left"/>
              <w:rPr>
                <w:rFonts w:cs="Calibri"/>
              </w:rPr>
            </w:pPr>
            <w:r>
              <w:rPr>
                <w:rFonts w:cs="Calibri"/>
              </w:rPr>
              <w:t>Приходи установа културе</w:t>
            </w:r>
          </w:p>
          <w:p>
            <w:pPr>
              <w:pStyle w:val="46"/>
              <w:numPr>
                <w:ilvl w:val="0"/>
                <w:numId w:val="80"/>
              </w:numPr>
              <w:spacing w:before="0" w:after="120" w:line="240" w:lineRule="auto"/>
              <w:jc w:val="left"/>
              <w:rPr>
                <w:rFonts w:cs="Calibri"/>
              </w:rPr>
            </w:pPr>
            <w:r>
              <w:rPr>
                <w:rFonts w:cs="Calibri"/>
              </w:rPr>
              <w:t>Висина прихода од културних манифестација по установама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27" w:type="dxa"/>
          </w:tcPr>
          <w:p>
            <w:pPr>
              <w:spacing w:before="120" w:after="120"/>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 xml:space="preserve">Секторски циљ 4.4 </w:t>
            </w:r>
          </w:p>
          <w:p>
            <w:pPr>
              <w:spacing w:before="120" w:after="120"/>
              <w:rPr>
                <w:rFonts w:cstheme="minorHAnsi"/>
                <w:b/>
                <w:color w:val="1A1617"/>
                <w:shd w:val="clear" w:color="auto" w:fill="FFFFFF" w:themeFill="background1"/>
                <w:lang w:val="bs-Latn-BA"/>
              </w:rPr>
            </w:pPr>
          </w:p>
          <w:p>
            <w:pPr>
              <w:spacing w:before="120" w:after="120"/>
              <w:rPr>
                <w:rFonts w:cstheme="minorHAnsi"/>
                <w:b/>
                <w:color w:val="1A1617"/>
                <w:shd w:val="clear" w:color="auto" w:fill="FFFFFF" w:themeFill="background1"/>
                <w:lang w:val="sr-Cyrl-RS"/>
              </w:rPr>
            </w:pPr>
            <w:r>
              <w:rPr>
                <w:rFonts w:cs="Calibri"/>
                <w:b/>
                <w:lang w:val="sr-Cyrl-RS"/>
              </w:rPr>
              <w:t>До краја 2022.г. унапређени спортски садржаји и доступност спорта на подручју Града</w:t>
            </w:r>
          </w:p>
        </w:tc>
        <w:tc>
          <w:tcPr>
            <w:tcW w:w="3402" w:type="dxa"/>
          </w:tcPr>
          <w:p>
            <w:pPr>
              <w:numPr>
                <w:ilvl w:val="0"/>
                <w:numId w:val="81"/>
              </w:numPr>
              <w:rPr>
                <w:lang w:val="sr-Cyrl-RS" w:eastAsia="sr-Latn-CS"/>
              </w:rPr>
            </w:pPr>
            <w:r>
              <w:rPr>
                <w:lang w:val="sr-Cyrl-RS" w:eastAsia="sr-Latn-CS"/>
              </w:rPr>
              <w:t>Исход 1. До краја 2022. г повећан број дјеце укључене у спортске активности за 30% у односу на 2017. годину</w:t>
            </w:r>
          </w:p>
          <w:p>
            <w:pPr>
              <w:numPr>
                <w:ilvl w:val="0"/>
                <w:numId w:val="81"/>
              </w:numPr>
              <w:rPr>
                <w:lang w:val="sr-Cyrl-RS" w:eastAsia="sr-Latn-CS"/>
              </w:rPr>
            </w:pPr>
            <w:r>
              <w:rPr>
                <w:lang w:val="sr-Cyrl-RS" w:eastAsia="sr-Latn-CS"/>
              </w:rPr>
              <w:t>Исход 2:  До краја 2022. г повећан број отворениих и затворених спортских објеката за 20%</w:t>
            </w:r>
          </w:p>
          <w:p>
            <w:pPr>
              <w:numPr>
                <w:ilvl w:val="0"/>
                <w:numId w:val="81"/>
              </w:numPr>
              <w:rPr>
                <w:lang w:val="sr-Cyrl-RS" w:eastAsia="sr-Latn-CS"/>
              </w:rPr>
            </w:pPr>
            <w:r>
              <w:rPr>
                <w:lang w:val="sr-Cyrl-RS" w:eastAsia="sr-Latn-CS"/>
              </w:rPr>
              <w:t>Исход 3. До краја 2022.г повећан број освојених награда на домаћим и међународним спортским такмичењима за 15% у односу на 2017. годину</w:t>
            </w:r>
          </w:p>
        </w:tc>
        <w:tc>
          <w:tcPr>
            <w:tcW w:w="2977" w:type="dxa"/>
          </w:tcPr>
          <w:p>
            <w:pPr>
              <w:numPr>
                <w:ilvl w:val="0"/>
                <w:numId w:val="81"/>
              </w:numPr>
              <w:rPr>
                <w:lang w:val="sr-Cyrl-RS" w:eastAsia="sr-Latn-CS"/>
              </w:rPr>
            </w:pPr>
            <w:r>
              <w:rPr>
                <w:lang w:val="sr-Cyrl-RS" w:eastAsia="sr-Latn-CS"/>
              </w:rPr>
              <w:t>Број дјеце укључене  у спорстке активности</w:t>
            </w:r>
          </w:p>
          <w:p>
            <w:pPr>
              <w:numPr>
                <w:ilvl w:val="0"/>
                <w:numId w:val="81"/>
              </w:numPr>
              <w:rPr>
                <w:lang w:val="sr-Cyrl-RS" w:eastAsia="sr-Latn-CS"/>
              </w:rPr>
            </w:pPr>
            <w:r>
              <w:rPr>
                <w:lang w:val="sr-Cyrl-RS" w:eastAsia="sr-Latn-CS"/>
              </w:rPr>
              <w:t>Број спортских објеката</w:t>
            </w:r>
          </w:p>
          <w:p>
            <w:pPr>
              <w:numPr>
                <w:ilvl w:val="0"/>
                <w:numId w:val="81"/>
              </w:numPr>
              <w:rPr>
                <w:lang w:val="sr-Cyrl-RS" w:eastAsia="sr-Latn-CS"/>
              </w:rPr>
            </w:pPr>
            <w:r>
              <w:rPr>
                <w:lang w:val="sr-Cyrl-RS" w:eastAsia="sr-Latn-CS"/>
              </w:rPr>
              <w:t>Број освојених медаља  и других спортских признања од стране професионалних спортских организација</w:t>
            </w:r>
          </w:p>
          <w:p>
            <w:pPr>
              <w:spacing w:before="120"/>
              <w:ind w:left="63"/>
              <w:rPr>
                <w:lang w:val="sr-Cyrl-RS" w:eastAsia="sr-Latn-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27" w:type="dxa"/>
          </w:tcPr>
          <w:p>
            <w:pPr>
              <w:spacing w:before="120" w:after="120"/>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 xml:space="preserve">Секторски циљ 4.5 </w:t>
            </w:r>
          </w:p>
          <w:p>
            <w:pPr>
              <w:spacing w:before="120" w:after="120"/>
              <w:rPr>
                <w:b/>
                <w:lang w:val="bs-Latn-BA"/>
              </w:rPr>
            </w:pPr>
            <w:r>
              <w:rPr>
                <w:rFonts w:cs="Calibri"/>
                <w:b/>
                <w:shd w:val="clear" w:color="auto" w:fill="FFFFFF"/>
                <w:lang w:val="sr-Cyrl-CS"/>
              </w:rPr>
              <w:t>До краја 2022.г, о</w:t>
            </w:r>
            <w:r>
              <w:rPr>
                <w:rFonts w:cs="Calibri"/>
                <w:b/>
                <w:shd w:val="clear" w:color="auto" w:fill="FFFFFF"/>
                <w:lang w:val="bs-Latn-BA"/>
              </w:rPr>
              <w:t>сигуран висок степен безб</w:t>
            </w:r>
            <w:r>
              <w:rPr>
                <w:rFonts w:cs="Calibri"/>
                <w:b/>
                <w:shd w:val="clear" w:color="auto" w:fill="FFFFFF"/>
                <w:lang w:val="sr-Cyrl-CS"/>
              </w:rPr>
              <w:t>ј</w:t>
            </w:r>
            <w:r>
              <w:rPr>
                <w:rFonts w:cs="Calibri"/>
                <w:b/>
                <w:shd w:val="clear" w:color="auto" w:fill="FFFFFF"/>
                <w:lang w:val="bs-Latn-BA"/>
              </w:rPr>
              <w:t>едности грађана</w:t>
            </w:r>
            <w:r>
              <w:rPr>
                <w:b/>
                <w:lang w:val="bs-Latn-BA"/>
              </w:rPr>
              <w:t xml:space="preserve"> </w:t>
            </w:r>
          </w:p>
        </w:tc>
        <w:tc>
          <w:tcPr>
            <w:tcW w:w="3402" w:type="dxa"/>
          </w:tcPr>
          <w:p>
            <w:pPr>
              <w:numPr>
                <w:ilvl w:val="0"/>
                <w:numId w:val="82"/>
              </w:numPr>
              <w:rPr>
                <w:lang w:val="sr-Cyrl-RS" w:eastAsia="sr-Latn-CS"/>
              </w:rPr>
            </w:pPr>
            <w:r>
              <w:rPr>
                <w:lang w:val="sr-Cyrl-RS" w:eastAsia="sr-Latn-CS"/>
              </w:rPr>
              <w:t>Исход 1: До краја 2022.г смањена стопа извршених кривичних дијела општег криминалитета за 5% у односу на 2017. годину</w:t>
            </w:r>
          </w:p>
          <w:p>
            <w:pPr>
              <w:numPr>
                <w:ilvl w:val="0"/>
                <w:numId w:val="82"/>
              </w:numPr>
              <w:rPr>
                <w:lang w:val="sr-Cyrl-RS" w:eastAsia="sr-Latn-CS"/>
              </w:rPr>
            </w:pPr>
            <w:r>
              <w:rPr>
                <w:lang w:val="sr-Cyrl-RS" w:eastAsia="sr-Latn-CS"/>
              </w:rPr>
              <w:t>Исход 2: До краја 2022. године, смањена стопа  страдалих  и повријеђених лица у саобраћајним незгодама за 10% у односу на 2017. годину</w:t>
            </w:r>
          </w:p>
          <w:p>
            <w:pPr>
              <w:numPr>
                <w:ilvl w:val="0"/>
                <w:numId w:val="82"/>
              </w:numPr>
              <w:rPr>
                <w:lang w:val="sr-Cyrl-RS" w:eastAsia="sr-Latn-CS"/>
              </w:rPr>
            </w:pPr>
            <w:r>
              <w:rPr>
                <w:lang w:val="sr-Cyrl-RS" w:eastAsia="sr-Latn-CS"/>
              </w:rPr>
              <w:t>Исход 3: До краја 2022. године смањен просјечан број страдалих и повријеђених особа од опасности и незгода за најмање 10% у односу на 2017. годину</w:t>
            </w:r>
          </w:p>
        </w:tc>
        <w:tc>
          <w:tcPr>
            <w:tcW w:w="2977" w:type="dxa"/>
            <w:shd w:val="clear" w:color="auto" w:fill="FFFFFF" w:themeFill="background1"/>
          </w:tcPr>
          <w:p>
            <w:pPr>
              <w:numPr>
                <w:ilvl w:val="0"/>
                <w:numId w:val="82"/>
              </w:numPr>
              <w:spacing w:before="120" w:after="120"/>
              <w:rPr>
                <w:rFonts w:cs="Calibri"/>
                <w:lang w:val="sr-Cyrl-CS"/>
              </w:rPr>
            </w:pPr>
            <w:r>
              <w:rPr>
                <w:rFonts w:cs="Calibri"/>
                <w:lang w:val="sr-Cyrl-CS"/>
              </w:rPr>
              <w:t>Број криминалних радњи</w:t>
            </w:r>
          </w:p>
          <w:p>
            <w:pPr>
              <w:numPr>
                <w:ilvl w:val="0"/>
                <w:numId w:val="82"/>
              </w:numPr>
              <w:spacing w:before="120" w:after="120"/>
              <w:rPr>
                <w:rFonts w:cs="Calibri"/>
                <w:lang w:val="sr-Cyrl-CS"/>
              </w:rPr>
            </w:pPr>
            <w:r>
              <w:rPr>
                <w:rFonts w:cs="Calibri"/>
                <w:lang w:val="sr-Cyrl-CS"/>
              </w:rPr>
              <w:t>Број страдалих и повријеђених у саобраћајним несрећама</w:t>
            </w:r>
          </w:p>
          <w:p>
            <w:pPr>
              <w:numPr>
                <w:ilvl w:val="0"/>
                <w:numId w:val="82"/>
              </w:numPr>
              <w:spacing w:before="120" w:after="120"/>
              <w:rPr>
                <w:rFonts w:cs="Calibri"/>
                <w:lang w:val="sr-Cyrl-CS"/>
              </w:rPr>
            </w:pPr>
            <w:r>
              <w:rPr>
                <w:rFonts w:cs="Calibri"/>
                <w:lang w:val="sr-Cyrl-CS"/>
              </w:rPr>
              <w:t>Број повријеђених од  уједа паса, због препрека на улици, у школама, итд.</w:t>
            </w:r>
          </w:p>
        </w:tc>
      </w:tr>
    </w:tbl>
    <w:p>
      <w:pPr>
        <w:ind w:left="360"/>
        <w:rPr>
          <w:rFonts w:asciiTheme="minorHAnsi" w:hAnsiTheme="minorHAnsi" w:cstheme="minorHAnsi"/>
          <w:b/>
          <w:bCs/>
          <w:kern w:val="32"/>
        </w:rPr>
      </w:pPr>
    </w:p>
    <w:p>
      <w:pPr>
        <w:pStyle w:val="4"/>
        <w:rPr>
          <w:lang w:val="hr-BA"/>
        </w:rPr>
      </w:pPr>
      <w:bookmarkStart w:id="137" w:name="_Toc473095874"/>
      <w:bookmarkStart w:id="138" w:name="_Toc526761936"/>
      <w:r>
        <w:rPr>
          <w:lang w:val="hr-BA"/>
        </w:rPr>
        <w:t xml:space="preserve">V.3.2. </w:t>
      </w:r>
      <w:r>
        <w:t>Усклађеност</w:t>
      </w:r>
      <w:r>
        <w:rPr>
          <w:lang w:val="hr-BA"/>
        </w:rPr>
        <w:t xml:space="preserve"> </w:t>
      </w:r>
      <w:r>
        <w:t>са</w:t>
      </w:r>
      <w:r>
        <w:rPr>
          <w:lang w:val="hr-BA"/>
        </w:rPr>
        <w:t xml:space="preserve"> </w:t>
      </w:r>
      <w:r>
        <w:t>стратешким</w:t>
      </w:r>
      <w:r>
        <w:rPr>
          <w:lang w:val="hr-BA"/>
        </w:rPr>
        <w:t xml:space="preserve"> </w:t>
      </w:r>
      <w:r>
        <w:t>документима</w:t>
      </w:r>
      <w:r>
        <w:rPr>
          <w:lang w:val="hr-BA"/>
        </w:rPr>
        <w:t xml:space="preserve"> </w:t>
      </w:r>
      <w:r>
        <w:t>виших</w:t>
      </w:r>
      <w:r>
        <w:rPr>
          <w:lang w:val="hr-BA"/>
        </w:rPr>
        <w:t xml:space="preserve"> </w:t>
      </w:r>
      <w:r>
        <w:t>нивоа</w:t>
      </w:r>
      <w:bookmarkEnd w:id="137"/>
      <w:bookmarkEnd w:id="138"/>
    </w:p>
    <w:p>
      <w:pPr>
        <w:spacing w:before="120" w:after="120"/>
        <w:jc w:val="both"/>
        <w:rPr>
          <w:rFonts w:eastAsia="Times New Roman"/>
          <w:bCs/>
          <w:kern w:val="32"/>
        </w:rPr>
      </w:pPr>
      <w:r>
        <w:rPr>
          <w:rFonts w:eastAsia="Times New Roman"/>
          <w:bCs/>
          <w:kern w:val="32"/>
        </w:rPr>
        <w:t>Секторски циљеви друштвеног развоја имају своје упориште у документима виших стратегија, планова и закона.</w:t>
      </w:r>
    </w:p>
    <w:p>
      <w:pPr>
        <w:ind w:right="-64"/>
        <w:jc w:val="both"/>
        <w:rPr>
          <w:rFonts w:eastAsia="Times New Roman"/>
          <w:bCs/>
          <w:kern w:val="32"/>
          <w:lang w:val="sr-Cyrl-RS"/>
        </w:rPr>
      </w:pPr>
      <w:r>
        <w:rPr>
          <w:b/>
          <w:bCs/>
          <w:kern w:val="32"/>
        </w:rPr>
        <w:t xml:space="preserve">Секторски циљ </w:t>
      </w:r>
      <w:r>
        <w:rPr>
          <w:b/>
          <w:bCs/>
          <w:kern w:val="32"/>
          <w:lang w:val="sr-Cyrl-RS"/>
        </w:rPr>
        <w:t xml:space="preserve">2.1 </w:t>
      </w:r>
      <w:r>
        <w:rPr>
          <w:bCs/>
          <w:kern w:val="32"/>
          <w:lang w:val="sr-Cyrl-RS"/>
        </w:rPr>
        <w:t>у складу је са Стратегијом развоја Европске Уније</w:t>
      </w:r>
      <w:r>
        <w:rPr>
          <w:bCs/>
          <w:kern w:val="32"/>
        </w:rPr>
        <w:t xml:space="preserve"> (</w:t>
      </w:r>
      <w:r>
        <w:rPr>
          <w:bCs/>
          <w:i/>
          <w:kern w:val="32"/>
        </w:rPr>
        <w:t>Europe 2020</w:t>
      </w:r>
      <w:r>
        <w:rPr>
          <w:bCs/>
          <w:kern w:val="32"/>
        </w:rPr>
        <w:t>)</w:t>
      </w:r>
      <w:r>
        <w:rPr>
          <w:bCs/>
          <w:kern w:val="32"/>
          <w:lang w:val="sr-Cyrl-RS"/>
        </w:rPr>
        <w:t xml:space="preserve">, Стратешким оквиром за реформу јавне управе 2017-2022., Стратегијом развоја локалне самоуправе у Републици Српској за период 2017-2021., </w:t>
      </w:r>
      <w:r>
        <w:rPr>
          <w:rFonts w:asciiTheme="minorHAnsi" w:hAnsiTheme="minorHAnsi" w:cstheme="minorHAnsi"/>
          <w:szCs w:val="20"/>
          <w:lang w:val="sr-Cyrl-RS"/>
        </w:rPr>
        <w:t xml:space="preserve">Стратегијом борбе против корупције у Републици Српској од 2018. до 2022. године. Такође, узети су </w:t>
      </w:r>
      <w:r>
        <w:rPr>
          <w:rFonts w:eastAsia="Times New Roman"/>
          <w:bCs/>
          <w:kern w:val="32"/>
          <w:lang w:val="sr-Cyrl-RS"/>
        </w:rPr>
        <w:t xml:space="preserve">у обзир принципи и циљеви на којима је заснована Стратегија дигитализације Европске Уније до 2020. године </w:t>
      </w:r>
      <w:r>
        <w:rPr>
          <w:rFonts w:eastAsia="Times New Roman"/>
          <w:bCs/>
          <w:kern w:val="32"/>
        </w:rPr>
        <w:t>(</w:t>
      </w:r>
      <w:r>
        <w:rPr>
          <w:rFonts w:eastAsia="Times New Roman"/>
          <w:bCs/>
          <w:i/>
          <w:kern w:val="32"/>
        </w:rPr>
        <w:t>EU Digital Agenda 2020</w:t>
      </w:r>
      <w:r>
        <w:rPr>
          <w:rFonts w:eastAsia="Times New Roman"/>
          <w:bCs/>
          <w:kern w:val="32"/>
        </w:rPr>
        <w:t>)</w:t>
      </w:r>
      <w:r>
        <w:rPr>
          <w:rFonts w:eastAsia="Times New Roman"/>
          <w:bCs/>
          <w:kern w:val="32"/>
          <w:lang w:val="sr-Cyrl-RS"/>
        </w:rPr>
        <w:t xml:space="preserve"> у дијелу увођења е-Управе.</w:t>
      </w:r>
    </w:p>
    <w:p>
      <w:pPr>
        <w:ind w:right="-64"/>
        <w:rPr>
          <w:rFonts w:eastAsia="Times New Roman"/>
          <w:bCs/>
          <w:kern w:val="32"/>
          <w:lang w:val="sr-Cyrl-RS"/>
        </w:rPr>
      </w:pPr>
    </w:p>
    <w:p>
      <w:pPr>
        <w:ind w:right="-64"/>
        <w:jc w:val="both"/>
        <w:rPr>
          <w:rFonts w:eastAsia="Times New Roman"/>
          <w:bCs/>
          <w:kern w:val="32"/>
          <w:lang w:val="sr-Cyrl-RS"/>
        </w:rPr>
      </w:pPr>
      <w:r>
        <w:rPr>
          <w:rFonts w:eastAsia="Times New Roman"/>
          <w:b/>
          <w:bCs/>
          <w:kern w:val="32"/>
        </w:rPr>
        <w:t xml:space="preserve">Секторски циљ </w:t>
      </w:r>
      <w:r>
        <w:rPr>
          <w:rFonts w:eastAsia="Times New Roman"/>
          <w:b/>
          <w:bCs/>
          <w:kern w:val="32"/>
          <w:lang w:val="sr-Cyrl-RS"/>
        </w:rPr>
        <w:t>2.2</w:t>
      </w:r>
      <w:r>
        <w:rPr>
          <w:rFonts w:eastAsia="Times New Roman"/>
          <w:bCs/>
          <w:kern w:val="32"/>
        </w:rPr>
        <w:t xml:space="preserve"> </w:t>
      </w:r>
      <w:r>
        <w:rPr>
          <w:rFonts w:eastAsia="Times New Roman"/>
          <w:bCs/>
          <w:kern w:val="32"/>
          <w:lang w:val="sr-Cyrl-RS"/>
        </w:rPr>
        <w:t>усклађен је са Стратегијом развоја Европске Уније</w:t>
      </w:r>
      <w:r>
        <w:rPr>
          <w:rFonts w:eastAsia="Times New Roman"/>
          <w:bCs/>
          <w:kern w:val="32"/>
        </w:rPr>
        <w:t xml:space="preserve"> (</w:t>
      </w:r>
      <w:r>
        <w:rPr>
          <w:rFonts w:eastAsia="Times New Roman"/>
          <w:bCs/>
          <w:i/>
          <w:kern w:val="32"/>
        </w:rPr>
        <w:t>Europe 2020</w:t>
      </w:r>
      <w:r>
        <w:rPr>
          <w:rFonts w:eastAsia="Times New Roman"/>
          <w:bCs/>
          <w:kern w:val="32"/>
        </w:rPr>
        <w:t>)</w:t>
      </w:r>
      <w:r>
        <w:rPr>
          <w:rFonts w:eastAsia="Times New Roman"/>
          <w:bCs/>
          <w:kern w:val="32"/>
          <w:lang w:val="sr-Cyrl-RS"/>
        </w:rPr>
        <w:t xml:space="preserve"> и Стратегијом дигитализације Европске Уније до 2020. године </w:t>
      </w:r>
      <w:r>
        <w:rPr>
          <w:rFonts w:eastAsia="Times New Roman"/>
          <w:bCs/>
          <w:kern w:val="32"/>
        </w:rPr>
        <w:t>(</w:t>
      </w:r>
      <w:r>
        <w:rPr>
          <w:rFonts w:eastAsia="Times New Roman"/>
          <w:bCs/>
          <w:i/>
          <w:kern w:val="32"/>
        </w:rPr>
        <w:t>EU Digital Agenda 2020</w:t>
      </w:r>
      <w:r>
        <w:rPr>
          <w:rFonts w:eastAsia="Times New Roman"/>
          <w:bCs/>
          <w:kern w:val="32"/>
        </w:rPr>
        <w:t>)</w:t>
      </w:r>
      <w:r>
        <w:rPr>
          <w:rFonts w:eastAsia="Times New Roman"/>
          <w:bCs/>
          <w:kern w:val="32"/>
          <w:lang w:val="sr-Cyrl-RS"/>
        </w:rPr>
        <w:t>, Стратегијом научног и технолошког развоја Републике Српске за период од 2017-2021. године и</w:t>
      </w:r>
      <w:r>
        <w:rPr>
          <w:rFonts w:eastAsia="Times New Roman"/>
          <w:bCs/>
          <w:kern w:val="32"/>
          <w:lang w:val="sr-Latn-RS"/>
        </w:rPr>
        <w:t xml:space="preserve"> </w:t>
      </w:r>
      <w:r>
        <w:rPr>
          <w:rFonts w:eastAsia="Times New Roman"/>
          <w:bCs/>
          <w:kern w:val="32"/>
          <w:lang w:val="sr-Cyrl-RS"/>
        </w:rPr>
        <w:t xml:space="preserve"> прихваћеним </w:t>
      </w:r>
      <w:r>
        <w:rPr>
          <w:rFonts w:eastAsia="Times New Roman"/>
          <w:bCs/>
          <w:i/>
          <w:kern w:val="32"/>
          <w:lang w:val="sr-Latn-RS"/>
        </w:rPr>
        <w:t xml:space="preserve">Smart City </w:t>
      </w:r>
      <w:r>
        <w:rPr>
          <w:rFonts w:eastAsia="Times New Roman"/>
          <w:bCs/>
          <w:kern w:val="32"/>
          <w:lang w:val="sr-Cyrl-RS"/>
        </w:rPr>
        <w:t>стандардима.</w:t>
      </w:r>
    </w:p>
    <w:p>
      <w:pPr>
        <w:jc w:val="both"/>
        <w:rPr>
          <w:rFonts w:eastAsia="Times New Roman"/>
          <w:b/>
          <w:bCs/>
          <w:kern w:val="32"/>
        </w:rPr>
      </w:pPr>
    </w:p>
    <w:p>
      <w:pPr>
        <w:jc w:val="both"/>
        <w:rPr>
          <w:rFonts w:eastAsia="Times New Roman"/>
          <w:bCs/>
          <w:kern w:val="32"/>
        </w:rPr>
      </w:pPr>
      <w:r>
        <w:rPr>
          <w:rFonts w:eastAsia="Times New Roman"/>
          <w:b/>
          <w:bCs/>
          <w:kern w:val="32"/>
        </w:rPr>
        <w:t xml:space="preserve">Секторски циљ </w:t>
      </w:r>
      <w:r>
        <w:rPr>
          <w:rFonts w:eastAsia="Times New Roman"/>
          <w:b/>
          <w:bCs/>
          <w:kern w:val="32"/>
          <w:lang w:val="sr-Cyrl-RS"/>
        </w:rPr>
        <w:t>4</w:t>
      </w:r>
      <w:r>
        <w:rPr>
          <w:rFonts w:eastAsia="Times New Roman"/>
          <w:b/>
          <w:bCs/>
          <w:kern w:val="32"/>
        </w:rPr>
        <w:t>.</w:t>
      </w:r>
      <w:r>
        <w:rPr>
          <w:rFonts w:eastAsia="Times New Roman"/>
          <w:b/>
          <w:bCs/>
          <w:kern w:val="32"/>
          <w:lang w:val="sr-Cyrl-RS"/>
        </w:rPr>
        <w:t>1</w:t>
      </w:r>
      <w:r>
        <w:rPr>
          <w:rFonts w:eastAsia="Times New Roman"/>
          <w:bCs/>
          <w:kern w:val="32"/>
        </w:rPr>
        <w:t xml:space="preserve">. у складу је са </w:t>
      </w:r>
      <w:r>
        <w:rPr>
          <w:rFonts w:eastAsia="Times New Roman"/>
          <w:bCs/>
          <w:kern w:val="32"/>
          <w:lang w:val="sr-Cyrl-RS"/>
        </w:rPr>
        <w:t xml:space="preserve">Стратегијом образовања Републике Српске за период 2016-2021. године, </w:t>
      </w:r>
      <w:r>
        <w:rPr>
          <w:rFonts w:eastAsia="Times New Roman"/>
          <w:bCs/>
          <w:kern w:val="32"/>
        </w:rPr>
        <w:t xml:space="preserve">чије је стратешко опредјељење да квалитет представља примарни развојни циљ на сваком нивоу образовања – од предшколског образовања и васпитања до докторских студија односно образовања одраслих. </w:t>
      </w:r>
      <w:r>
        <w:rPr>
          <w:rFonts w:eastAsia="Times New Roman"/>
          <w:bCs/>
          <w:kern w:val="32"/>
          <w:lang w:val="sr-Cyrl-RS"/>
        </w:rPr>
        <w:t xml:space="preserve">Од значаја је и </w:t>
      </w:r>
      <w:r>
        <w:rPr>
          <w:rFonts w:eastAsia="Times New Roman"/>
          <w:bCs/>
          <w:kern w:val="32"/>
        </w:rPr>
        <w:t>Стратегиј</w:t>
      </w:r>
      <w:r>
        <w:rPr>
          <w:rFonts w:eastAsia="Times New Roman"/>
          <w:bCs/>
          <w:kern w:val="32"/>
          <w:lang w:val="sr-Cyrl-RS"/>
        </w:rPr>
        <w:t>а</w:t>
      </w:r>
      <w:r>
        <w:rPr>
          <w:rFonts w:eastAsia="Times New Roman"/>
          <w:bCs/>
          <w:kern w:val="32"/>
        </w:rPr>
        <w:t xml:space="preserve"> социјалне укључености Босне и Херцеговине 2010-2020. </w:t>
      </w:r>
      <w:r>
        <w:rPr>
          <w:rFonts w:eastAsia="Times New Roman"/>
          <w:bCs/>
          <w:kern w:val="32"/>
          <w:lang w:val="sr-Cyrl-CS"/>
        </w:rPr>
        <w:t>г</w:t>
      </w:r>
      <w:r>
        <w:rPr>
          <w:rFonts w:eastAsia="Times New Roman"/>
          <w:bCs/>
          <w:kern w:val="32"/>
        </w:rPr>
        <w:t>одине</w:t>
      </w:r>
      <w:r>
        <w:rPr>
          <w:rFonts w:eastAsia="Times New Roman"/>
          <w:bCs/>
          <w:kern w:val="32"/>
          <w:lang w:val="sr-Cyrl-CS"/>
        </w:rPr>
        <w:t>,</w:t>
      </w:r>
      <w:r>
        <w:rPr>
          <w:rFonts w:eastAsia="Times New Roman"/>
          <w:bCs/>
          <w:kern w:val="32"/>
        </w:rPr>
        <w:t xml:space="preserve"> у оквиру које је дефинисан </w:t>
      </w:r>
      <w:r>
        <w:rPr>
          <w:rFonts w:eastAsia="Times New Roman"/>
          <w:bCs/>
          <w:kern w:val="32"/>
          <w:lang w:val="sr-Cyrl-CS"/>
        </w:rPr>
        <w:t>п</w:t>
      </w:r>
      <w:r>
        <w:rPr>
          <w:rFonts w:eastAsia="Times New Roman"/>
          <w:bCs/>
          <w:kern w:val="32"/>
        </w:rPr>
        <w:t xml:space="preserve">одциљ 3. Побољшати образовање,  </w:t>
      </w:r>
      <w:r>
        <w:rPr>
          <w:rFonts w:eastAsia="Times New Roman"/>
          <w:bCs/>
          <w:kern w:val="32"/>
          <w:lang w:val="sr-Cyrl-RS"/>
        </w:rPr>
        <w:t xml:space="preserve">као и </w:t>
      </w:r>
      <w:r>
        <w:rPr>
          <w:rFonts w:eastAsia="Times New Roman"/>
          <w:bCs/>
          <w:kern w:val="32"/>
        </w:rPr>
        <w:t>са стратешким документом Омладинска политика Републике</w:t>
      </w:r>
      <w:r>
        <w:rPr>
          <w:rFonts w:eastAsia="Times New Roman"/>
          <w:bCs/>
          <w:kern w:val="32"/>
          <w:lang w:val="sr-Cyrl-RS"/>
        </w:rPr>
        <w:t xml:space="preserve"> </w:t>
      </w:r>
      <w:r>
        <w:rPr>
          <w:rFonts w:eastAsia="Times New Roman"/>
          <w:bCs/>
          <w:kern w:val="32"/>
        </w:rPr>
        <w:t xml:space="preserve">Српске за период 2016-2020.године. </w:t>
      </w:r>
    </w:p>
    <w:p>
      <w:pPr>
        <w:jc w:val="both"/>
        <w:rPr>
          <w:rFonts w:eastAsia="Times New Roman"/>
          <w:bCs/>
          <w:kern w:val="32"/>
        </w:rPr>
      </w:pPr>
    </w:p>
    <w:p>
      <w:pPr>
        <w:jc w:val="both"/>
        <w:rPr>
          <w:rFonts w:asciiTheme="minorHAnsi" w:hAnsiTheme="minorHAnsi" w:cstheme="minorHAnsi"/>
          <w:sz w:val="20"/>
          <w:szCs w:val="16"/>
          <w:lang w:val="sr-Cyrl-RS"/>
        </w:rPr>
      </w:pPr>
      <w:r>
        <w:rPr>
          <w:b/>
          <w:bCs/>
          <w:kern w:val="32"/>
          <w:lang w:val="sr-Cyrl-RS"/>
        </w:rPr>
        <w:t xml:space="preserve">Секторски циљ 4.2 </w:t>
      </w:r>
      <w:r>
        <w:rPr>
          <w:bCs/>
          <w:kern w:val="32"/>
          <w:lang w:val="sr-Cyrl-RS"/>
        </w:rPr>
        <w:t>у складу је са</w:t>
      </w:r>
      <w:r>
        <w:rPr>
          <w:b/>
          <w:bCs/>
          <w:kern w:val="32"/>
          <w:lang w:val="sr-Cyrl-RS"/>
        </w:rPr>
        <w:t xml:space="preserve"> </w:t>
      </w:r>
      <w:r>
        <w:rPr>
          <w:bCs/>
          <w:kern w:val="32"/>
        </w:rPr>
        <w:t>Стратегијом социјалне укључености  Босне и Херцеговине 2010-2020. година у оквиру које је дефинисан Подциљ 1. Социјална политика у функцији запошљавања, Подциљ 2. Побољшати положај породице са дјецом, Подциљ 4. Побољшати здравствену заштиту и Подциљ 6. Побољшати положај особа с инвалидитетом</w:t>
      </w:r>
      <w:r>
        <w:rPr>
          <w:bCs/>
          <w:kern w:val="32"/>
          <w:lang w:val="sr-Cyrl-RS"/>
        </w:rPr>
        <w:t>, као и низом других секторских стратегија и политика (</w:t>
      </w:r>
      <w:r>
        <w:rPr>
          <w:rFonts w:asciiTheme="minorHAnsi" w:hAnsiTheme="minorHAnsi" w:cstheme="minorHAnsi"/>
          <w:szCs w:val="20"/>
          <w:lang w:val="sr-Cyrl-RS"/>
        </w:rPr>
        <w:t>Стратегија за унапређење положаја старијих лица у Републици Српској за период од 2018. до 2027. године, Стратегија за унапрјеђење и развој волонтеризма у Републици Српској  за период 2014-2018. године, Стратегија за сузбијање насиља у породици Републике Српске 2014-2019, Стратегија унапређења социјалне заштите дјеце без родитељског старања 2015–2020. године, Програм за рани раст и развој дјеце у Републици Српској 2016-2020,</w:t>
      </w:r>
      <w:r>
        <w:rPr>
          <w:rFonts w:asciiTheme="minorHAnsi" w:hAnsiTheme="minorHAnsi" w:cstheme="minorHAnsi"/>
          <w:shd w:val="clear" w:color="auto" w:fill="FFFFFF"/>
          <w:lang w:val="sr-Cyrl-RS"/>
        </w:rPr>
        <w:t xml:space="preserve"> Стратегија унапређења друштвеног положаја лица са инвалидитетом у Републици Српској 2017-2026). Овај секторски циљ заснива се и на низу локалних секторских стратегија и програма, укључујући: </w:t>
      </w:r>
      <w:r>
        <w:rPr>
          <w:rFonts w:asciiTheme="minorHAnsi" w:hAnsiTheme="minorHAnsi" w:cstheme="minorHAnsi"/>
          <w:szCs w:val="20"/>
          <w:lang w:val="sr-Cyrl-RS"/>
        </w:rPr>
        <w:t xml:space="preserve">Локални акциони план за унапређење положаја лица са инвалидитетом у граду Бања Луци за период 2014-2019.године, Акциони план за децу града Бања Лука 2016-2020.године, Програм развоја социјалне заштите у Граду Бањој Луци за период од 2017. до 2020. године (у припреми), </w:t>
      </w:r>
      <w:r>
        <w:rPr>
          <w:rFonts w:asciiTheme="minorHAnsi" w:hAnsiTheme="minorHAnsi" w:cstheme="minorHAnsi"/>
          <w:szCs w:val="18"/>
          <w:lang w:val="sr-Cyrl-RS"/>
        </w:rPr>
        <w:t xml:space="preserve">Стратегију непрофитно-социјалног становања Града Бања Лука за период 2015-2020.године, </w:t>
      </w:r>
      <w:r>
        <w:rPr>
          <w:rFonts w:asciiTheme="minorHAnsi" w:hAnsiTheme="minorHAnsi" w:cstheme="minorHAnsi"/>
          <w:szCs w:val="20"/>
          <w:lang w:val="sr-Cyrl-RS"/>
        </w:rPr>
        <w:t>Акциони план суфинансирања омладинских активности града Бања Лука за 2018. годину, итд.</w:t>
      </w:r>
    </w:p>
    <w:p>
      <w:pPr>
        <w:spacing w:before="120" w:after="120"/>
        <w:jc w:val="both"/>
        <w:rPr>
          <w:rFonts w:eastAsia="Times New Roman"/>
          <w:bCs/>
          <w:kern w:val="32"/>
          <w:lang w:val="sr-Cyrl-RS"/>
        </w:rPr>
      </w:pPr>
      <w:r>
        <w:rPr>
          <w:rFonts w:eastAsia="Times New Roman"/>
          <w:b/>
          <w:bCs/>
          <w:kern w:val="32"/>
          <w:lang w:val="sr-Cyrl-RS"/>
        </w:rPr>
        <w:t xml:space="preserve">Секторски циљ 4.3 </w:t>
      </w:r>
      <w:r>
        <w:rPr>
          <w:rFonts w:eastAsia="Times New Roman"/>
          <w:bCs/>
          <w:kern w:val="32"/>
          <w:lang w:val="sr-Cyrl-RS"/>
        </w:rPr>
        <w:t xml:space="preserve">дефинисан је у складу са Стратегијом развоја културе Републике Српске за период 2017-2022. године, као и Стратегијом развоја културе града Бања Луке за период 2018-2028. године и у складу је са захтјевима прописаних стандарда за </w:t>
      </w:r>
      <w:r>
        <w:rPr>
          <w:rFonts w:eastAsia="Times New Roman"/>
          <w:bCs/>
          <w:i/>
          <w:kern w:val="32"/>
          <w:lang w:val="sr-Cyrl-RS"/>
        </w:rPr>
        <w:t>Европске пријестонице културе</w:t>
      </w:r>
      <w:r>
        <w:rPr>
          <w:rFonts w:eastAsia="Times New Roman"/>
          <w:bCs/>
          <w:kern w:val="32"/>
          <w:lang w:val="sr-Cyrl-RS"/>
        </w:rPr>
        <w:t xml:space="preserve">. </w:t>
      </w:r>
    </w:p>
    <w:p>
      <w:pPr>
        <w:spacing w:after="120"/>
        <w:jc w:val="both"/>
        <w:rPr>
          <w:rFonts w:eastAsia="Times New Roman"/>
          <w:bCs/>
          <w:kern w:val="32"/>
          <w:lang w:val="sr-Cyrl-RS"/>
        </w:rPr>
      </w:pPr>
      <w:r>
        <w:rPr>
          <w:rFonts w:eastAsia="Times New Roman"/>
          <w:b/>
          <w:bCs/>
          <w:kern w:val="32"/>
          <w:lang w:val="sr-Cyrl-RS"/>
        </w:rPr>
        <w:t>Секторски циљ 4.</w:t>
      </w:r>
      <w:r>
        <w:rPr>
          <w:rFonts w:eastAsia="Times New Roman"/>
          <w:b/>
          <w:bCs/>
          <w:kern w:val="32"/>
          <w:lang w:val="sr-Latn-RS"/>
        </w:rPr>
        <w:t>4</w:t>
      </w:r>
      <w:r>
        <w:rPr>
          <w:rFonts w:eastAsia="Times New Roman"/>
          <w:b/>
          <w:bCs/>
          <w:kern w:val="32"/>
          <w:lang w:val="sr-Cyrl-RS"/>
        </w:rPr>
        <w:t xml:space="preserve"> </w:t>
      </w:r>
      <w:r>
        <w:rPr>
          <w:rFonts w:eastAsia="Times New Roman"/>
          <w:bCs/>
          <w:kern w:val="32"/>
          <w:lang w:val="sr-Cyrl-RS"/>
        </w:rPr>
        <w:t>узима у обзир ранији стратешки оквир за развој спорта у Босни и Херцеговини и Републици Српској, али суштински</w:t>
      </w:r>
      <w:r>
        <w:rPr>
          <w:rFonts w:eastAsia="Times New Roman"/>
          <w:bCs/>
          <w:kern w:val="32"/>
        </w:rPr>
        <w:t xml:space="preserve"> нема упориште у стратешким документима вишег реда из разлога што су документи из ове области истекли</w:t>
      </w:r>
      <w:r>
        <w:rPr>
          <w:rFonts w:eastAsia="Times New Roman"/>
          <w:bCs/>
          <w:kern w:val="32"/>
          <w:lang w:val="sr-Cyrl-RS"/>
        </w:rPr>
        <w:t xml:space="preserve"> 2016. године</w:t>
      </w:r>
      <w:r>
        <w:rPr>
          <w:rFonts w:eastAsia="Times New Roman"/>
          <w:bCs/>
          <w:kern w:val="32"/>
        </w:rPr>
        <w:t>, а нови још нису у нацрту или усвојени.</w:t>
      </w:r>
      <w:r>
        <w:rPr>
          <w:rFonts w:eastAsia="Times New Roman"/>
          <w:bCs/>
          <w:kern w:val="32"/>
          <w:lang w:val="sr-Cyrl-RS"/>
        </w:rPr>
        <w:t xml:space="preserve"> а на локалном нивоу, али се овај секторски циљ у потпуности заснива на локалном кровном документу, Програму развоја спорта у Бања Луци, за период 2018-2022.</w:t>
      </w:r>
    </w:p>
    <w:p>
      <w:pPr>
        <w:jc w:val="both"/>
        <w:rPr>
          <w:rFonts w:eastAsia="Times New Roman"/>
          <w:bCs/>
          <w:kern w:val="32"/>
          <w:lang w:val="sr-Cyrl-RS"/>
        </w:rPr>
      </w:pPr>
      <w:r>
        <w:rPr>
          <w:rFonts w:eastAsia="Times New Roman"/>
          <w:b/>
          <w:bCs/>
          <w:kern w:val="32"/>
          <w:lang w:val="sr-Cyrl-RS"/>
        </w:rPr>
        <w:t>Секторски циљ 4.</w:t>
      </w:r>
      <w:r>
        <w:rPr>
          <w:rFonts w:eastAsia="Times New Roman"/>
          <w:b/>
          <w:bCs/>
          <w:kern w:val="32"/>
          <w:lang w:val="sr-Latn-RS"/>
        </w:rPr>
        <w:t xml:space="preserve">5 </w:t>
      </w:r>
      <w:r>
        <w:rPr>
          <w:rFonts w:eastAsia="Times New Roman"/>
          <w:bCs/>
          <w:kern w:val="32"/>
          <w:lang w:val="sr-Cyrl-RS"/>
        </w:rPr>
        <w:t>у складу је са политикама и стратегијама осигурања безбједности грађана Републике Српске</w:t>
      </w:r>
      <w:r>
        <w:rPr>
          <w:rFonts w:eastAsia="Times New Roman"/>
          <w:bCs/>
          <w:kern w:val="32"/>
          <w:lang w:val="sr-Latn-RS"/>
        </w:rPr>
        <w:t xml:space="preserve"> </w:t>
      </w:r>
      <w:r>
        <w:rPr>
          <w:rFonts w:eastAsia="Times New Roman"/>
          <w:bCs/>
          <w:kern w:val="32"/>
          <w:lang w:val="sr-Cyrl-RS"/>
        </w:rPr>
        <w:t>у циљу смањења стопе криминалитета, спречавања болести зависности, као и Стратегијом безбједности саобраћаја на путевима Републике Српксе 2013-2022. године.</w:t>
      </w:r>
    </w:p>
    <w:p>
      <w:pPr>
        <w:jc w:val="both"/>
        <w:rPr>
          <w:rFonts w:eastAsia="Times New Roman"/>
          <w:bCs/>
          <w:kern w:val="32"/>
          <w:lang w:val="sr-Cyrl-RS"/>
        </w:rPr>
      </w:pPr>
    </w:p>
    <w:p>
      <w:pPr>
        <w:jc w:val="both"/>
        <w:rPr>
          <w:rFonts w:eastAsia="Times New Roman"/>
          <w:bCs/>
          <w:kern w:val="32"/>
          <w:lang w:val="sr-Cyrl-RS"/>
        </w:rPr>
      </w:pPr>
      <w:r>
        <w:rPr>
          <w:rFonts w:eastAsia="Times New Roman"/>
          <w:bCs/>
          <w:kern w:val="32"/>
          <w:lang w:val="sr-Cyrl-RS"/>
        </w:rPr>
        <w:t>Сви секторски циљеви друштвеног развоја усклађени су и са Планом капиталних инвестиција града Бања Лука за период 2018-2020. године.</w:t>
      </w:r>
    </w:p>
    <w:p>
      <w:pPr>
        <w:pStyle w:val="4"/>
        <w:rPr>
          <w:lang w:val="hr-BA"/>
        </w:rPr>
      </w:pPr>
      <w:bookmarkStart w:id="139" w:name="_Toc526761937"/>
      <w:bookmarkStart w:id="140" w:name="_Toc473095875"/>
      <w:r>
        <w:rPr>
          <w:lang w:val="hr-BA"/>
        </w:rPr>
        <w:t xml:space="preserve">V.3.3. </w:t>
      </w:r>
      <w:r>
        <w:rPr>
          <w:lang w:val="sr-Cyrl-RS"/>
        </w:rPr>
        <w:t>Иницијативе</w:t>
      </w:r>
      <w:r>
        <w:rPr>
          <w:lang w:val="hr-BA"/>
        </w:rPr>
        <w:t xml:space="preserve"> </w:t>
      </w:r>
      <w:r>
        <w:rPr>
          <w:lang w:val="sr-Cyrl-RS"/>
        </w:rPr>
        <w:t>међуопштинске</w:t>
      </w:r>
      <w:r>
        <w:rPr>
          <w:lang w:val="hr-BA"/>
        </w:rPr>
        <w:t xml:space="preserve"> </w:t>
      </w:r>
      <w:r>
        <w:rPr>
          <w:lang w:val="sr-Cyrl-RS"/>
        </w:rPr>
        <w:t>сарадње</w:t>
      </w:r>
      <w:bookmarkEnd w:id="139"/>
      <w:bookmarkEnd w:id="140"/>
      <w:r>
        <w:rPr>
          <w:lang w:val="hr-BA"/>
        </w:rPr>
        <w:t xml:space="preserve"> </w:t>
      </w:r>
    </w:p>
    <w:p>
      <w:pPr>
        <w:spacing w:after="120"/>
        <w:jc w:val="both"/>
      </w:pPr>
      <w:r>
        <w:rPr>
          <w:lang w:val="sr-Cyrl-RS"/>
        </w:rPr>
        <w:t>Град Бања Лука</w:t>
      </w:r>
      <w:r>
        <w:t xml:space="preserve"> посебан значај даје збрињавању различитих категорија угрожених лица</w:t>
      </w:r>
      <w:r>
        <w:rPr>
          <w:lang w:val="sr-Cyrl-RS"/>
        </w:rPr>
        <w:t xml:space="preserve"> из осјетљивих категорија становништва</w:t>
      </w:r>
      <w:r>
        <w:t>. Обезбјеђивање институционалног смјештаја за стара лица, као и развој мреже ванинституционалне подршке, кроз успостављање одрживе услуге помоћи у кући овој категорији становништва</w:t>
      </w:r>
      <w:r>
        <w:rPr>
          <w:lang w:val="sr-Cyrl-CS"/>
        </w:rPr>
        <w:t>,</w:t>
      </w:r>
      <w:r>
        <w:t xml:space="preserve"> </w:t>
      </w:r>
      <w:r>
        <w:rPr>
          <w:lang w:val="sr-Cyrl-RS"/>
        </w:rPr>
        <w:t>остварује се</w:t>
      </w:r>
      <w:r>
        <w:t xml:space="preserve"> у сарадњи са другим општинама</w:t>
      </w:r>
      <w:r>
        <w:rPr>
          <w:lang w:val="sr-Cyrl-RS"/>
        </w:rPr>
        <w:t>, које су такође корисници ових услуга</w:t>
      </w:r>
      <w:r>
        <w:t>. Овим видом међуопштинске сарадње смањују се и распод</w:t>
      </w:r>
      <w:r>
        <w:rPr>
          <w:lang w:val="sr-Cyrl-CS"/>
        </w:rPr>
        <w:t>ј</w:t>
      </w:r>
      <w:r>
        <w:t xml:space="preserve">ељују трошкови скупих пројеката који су превисоки за појединачне </w:t>
      </w:r>
      <w:r>
        <w:rPr>
          <w:lang w:val="sr-Cyrl-RS"/>
        </w:rPr>
        <w:t>локалне самоуправе</w:t>
      </w:r>
      <w:r>
        <w:t xml:space="preserve"> и обезбјеђује се трајна одрживост програма.</w:t>
      </w:r>
    </w:p>
    <w:p>
      <w:pPr>
        <w:spacing w:after="120"/>
        <w:jc w:val="both"/>
        <w:rPr>
          <w:rFonts w:eastAsia="Times New Roman" w:cs="Calibri"/>
          <w:bCs/>
          <w:kern w:val="32"/>
        </w:rPr>
      </w:pPr>
      <w:r>
        <w:rPr>
          <w:rFonts w:eastAsia="Times New Roman" w:cs="Calibri"/>
          <w:bCs/>
          <w:kern w:val="32"/>
          <w:lang w:val="sr-Cyrl-RS"/>
        </w:rPr>
        <w:t>Сарадња у области с</w:t>
      </w:r>
      <w:r>
        <w:rPr>
          <w:rFonts w:eastAsia="Times New Roman" w:cs="Calibri"/>
          <w:bCs/>
          <w:kern w:val="32"/>
        </w:rPr>
        <w:t>порт</w:t>
      </w:r>
      <w:r>
        <w:rPr>
          <w:rFonts w:eastAsia="Times New Roman" w:cs="Calibri"/>
          <w:bCs/>
          <w:kern w:val="32"/>
          <w:lang w:val="sr-Cyrl-RS"/>
        </w:rPr>
        <w:t>а</w:t>
      </w:r>
      <w:r>
        <w:rPr>
          <w:rFonts w:eastAsia="Times New Roman" w:cs="Calibri"/>
          <w:bCs/>
          <w:kern w:val="32"/>
        </w:rPr>
        <w:t xml:space="preserve"> и култур</w:t>
      </w:r>
      <w:r>
        <w:rPr>
          <w:rFonts w:eastAsia="Times New Roman" w:cs="Calibri"/>
          <w:bCs/>
          <w:kern w:val="32"/>
          <w:lang w:val="sr-Cyrl-RS"/>
        </w:rPr>
        <w:t>е</w:t>
      </w:r>
      <w:r>
        <w:rPr>
          <w:rFonts w:eastAsia="Times New Roman" w:cs="Calibri"/>
          <w:bCs/>
          <w:kern w:val="32"/>
        </w:rPr>
        <w:t>, реализова</w:t>
      </w:r>
      <w:r>
        <w:rPr>
          <w:rFonts w:eastAsia="Times New Roman" w:cs="Calibri"/>
          <w:bCs/>
          <w:kern w:val="32"/>
          <w:lang w:val="sr-Cyrl-RS"/>
        </w:rPr>
        <w:t>ће се</w:t>
      </w:r>
      <w:r>
        <w:rPr>
          <w:rFonts w:eastAsia="Times New Roman" w:cs="Calibri"/>
          <w:bCs/>
          <w:kern w:val="32"/>
        </w:rPr>
        <w:t xml:space="preserve"> кроз посјете и размјене, </w:t>
      </w:r>
      <w:r>
        <w:rPr>
          <w:rFonts w:eastAsia="Times New Roman" w:cs="Calibri"/>
          <w:bCs/>
          <w:kern w:val="32"/>
          <w:lang w:val="sr-Cyrl-CS"/>
        </w:rPr>
        <w:t xml:space="preserve">које </w:t>
      </w:r>
      <w:r>
        <w:rPr>
          <w:rFonts w:eastAsia="Times New Roman" w:cs="Calibri"/>
          <w:bCs/>
          <w:kern w:val="32"/>
        </w:rPr>
        <w:t xml:space="preserve">су уобичајне области међуопштинске сарадње </w:t>
      </w:r>
      <w:r>
        <w:rPr>
          <w:rFonts w:eastAsia="Times New Roman" w:cs="Calibri"/>
          <w:bCs/>
          <w:kern w:val="32"/>
          <w:lang w:val="sr-Cyrl-CS"/>
        </w:rPr>
        <w:t xml:space="preserve">и могу </w:t>
      </w:r>
      <w:r>
        <w:rPr>
          <w:rFonts w:eastAsia="Times New Roman" w:cs="Calibri"/>
          <w:bCs/>
          <w:kern w:val="32"/>
        </w:rPr>
        <w:t>се увијек развијати и унапређивати.</w:t>
      </w:r>
    </w:p>
    <w:p>
      <w:pPr>
        <w:jc w:val="both"/>
        <w:rPr>
          <w:rFonts w:eastAsia="Times New Roman" w:cs="Calibri"/>
          <w:bCs/>
          <w:kern w:val="32"/>
        </w:rPr>
      </w:pPr>
      <w:r>
        <w:rPr>
          <w:rFonts w:eastAsia="Times New Roman" w:cs="Calibri"/>
          <w:bCs/>
          <w:kern w:val="32"/>
        </w:rPr>
        <w:t>На основу исказаних потреба, дефинисане су сљедеће области сарадње:</w:t>
      </w:r>
    </w:p>
    <w:p>
      <w:pPr>
        <w:pStyle w:val="46"/>
        <w:numPr>
          <w:ilvl w:val="0"/>
          <w:numId w:val="83"/>
        </w:numPr>
        <w:jc w:val="left"/>
        <w:rPr>
          <w:rFonts w:cs="Calibri"/>
          <w:bCs/>
          <w:kern w:val="32"/>
          <w:lang w:val="hr-BA"/>
        </w:rPr>
      </w:pPr>
      <w:r>
        <w:rPr>
          <w:rFonts w:cs="Calibri"/>
          <w:bCs/>
          <w:kern w:val="32"/>
        </w:rPr>
        <w:t>Изградња</w:t>
      </w:r>
      <w:r>
        <w:rPr>
          <w:rFonts w:cs="Calibri"/>
          <w:bCs/>
          <w:kern w:val="32"/>
          <w:lang w:val="hr-BA"/>
        </w:rPr>
        <w:t xml:space="preserve"> </w:t>
      </w:r>
      <w:r>
        <w:rPr>
          <w:rFonts w:cs="Calibri"/>
          <w:bCs/>
          <w:kern w:val="32"/>
        </w:rPr>
        <w:t>капацитета</w:t>
      </w:r>
      <w:r>
        <w:rPr>
          <w:rFonts w:cs="Calibri"/>
          <w:bCs/>
          <w:kern w:val="32"/>
          <w:lang w:val="hr-BA"/>
        </w:rPr>
        <w:t xml:space="preserve"> </w:t>
      </w:r>
      <w:r>
        <w:rPr>
          <w:rFonts w:cs="Calibri"/>
          <w:bCs/>
          <w:kern w:val="32"/>
        </w:rPr>
        <w:t>за</w:t>
      </w:r>
      <w:r>
        <w:rPr>
          <w:rFonts w:cs="Calibri"/>
          <w:bCs/>
          <w:kern w:val="32"/>
          <w:lang w:val="hr-BA"/>
        </w:rPr>
        <w:t xml:space="preserve"> </w:t>
      </w:r>
      <w:r>
        <w:rPr>
          <w:rFonts w:cs="Calibri"/>
          <w:bCs/>
          <w:kern w:val="32"/>
        </w:rPr>
        <w:t>институционално</w:t>
      </w:r>
      <w:r>
        <w:rPr>
          <w:rFonts w:cs="Calibri"/>
          <w:bCs/>
          <w:kern w:val="32"/>
          <w:lang w:val="hr-BA"/>
        </w:rPr>
        <w:t xml:space="preserve"> </w:t>
      </w:r>
      <w:r>
        <w:rPr>
          <w:rFonts w:cs="Calibri"/>
          <w:bCs/>
          <w:kern w:val="32"/>
        </w:rPr>
        <w:t>и</w:t>
      </w:r>
      <w:r>
        <w:rPr>
          <w:rFonts w:cs="Calibri"/>
          <w:bCs/>
          <w:kern w:val="32"/>
          <w:lang w:val="hr-BA"/>
        </w:rPr>
        <w:t xml:space="preserve"> </w:t>
      </w:r>
      <w:r>
        <w:rPr>
          <w:rFonts w:cs="Calibri"/>
          <w:bCs/>
          <w:kern w:val="32"/>
        </w:rPr>
        <w:t>ванинституционално</w:t>
      </w:r>
      <w:r>
        <w:rPr>
          <w:rFonts w:cs="Calibri"/>
          <w:bCs/>
          <w:kern w:val="32"/>
          <w:lang w:val="hr-BA"/>
        </w:rPr>
        <w:t xml:space="preserve"> </w:t>
      </w:r>
      <w:r>
        <w:rPr>
          <w:rFonts w:cs="Calibri"/>
          <w:bCs/>
          <w:kern w:val="32"/>
        </w:rPr>
        <w:t>збрињавање</w:t>
      </w:r>
      <w:r>
        <w:rPr>
          <w:rFonts w:cs="Calibri"/>
          <w:bCs/>
          <w:kern w:val="32"/>
          <w:lang w:val="hr-BA"/>
        </w:rPr>
        <w:t xml:space="preserve"> </w:t>
      </w:r>
      <w:r>
        <w:rPr>
          <w:rFonts w:cs="Calibri"/>
          <w:bCs/>
          <w:kern w:val="32"/>
        </w:rPr>
        <w:t>осјетљивих</w:t>
      </w:r>
      <w:r>
        <w:rPr>
          <w:rFonts w:cs="Calibri"/>
          <w:bCs/>
          <w:kern w:val="32"/>
          <w:lang w:val="hr-BA"/>
        </w:rPr>
        <w:t xml:space="preserve"> </w:t>
      </w:r>
      <w:r>
        <w:rPr>
          <w:rFonts w:cs="Calibri"/>
          <w:bCs/>
          <w:kern w:val="32"/>
        </w:rPr>
        <w:t>група</w:t>
      </w:r>
      <w:r>
        <w:rPr>
          <w:rFonts w:cs="Calibri"/>
          <w:bCs/>
          <w:kern w:val="32"/>
          <w:lang w:val="hr-BA"/>
        </w:rPr>
        <w:t>;</w:t>
      </w:r>
    </w:p>
    <w:p>
      <w:pPr>
        <w:pStyle w:val="46"/>
        <w:numPr>
          <w:ilvl w:val="0"/>
          <w:numId w:val="83"/>
        </w:numPr>
        <w:jc w:val="left"/>
        <w:rPr>
          <w:rFonts w:cs="Calibri"/>
          <w:bCs/>
          <w:kern w:val="32"/>
          <w:lang w:val="hr-BA"/>
        </w:rPr>
      </w:pPr>
      <w:r>
        <w:rPr>
          <w:rFonts w:cs="Calibri"/>
          <w:bCs/>
          <w:kern w:val="32"/>
        </w:rPr>
        <w:t>Развој</w:t>
      </w:r>
      <w:r>
        <w:rPr>
          <w:rFonts w:cs="Calibri"/>
          <w:bCs/>
          <w:kern w:val="32"/>
          <w:lang w:val="hr-BA"/>
        </w:rPr>
        <w:t xml:space="preserve"> </w:t>
      </w:r>
      <w:r>
        <w:rPr>
          <w:rFonts w:cs="Calibri"/>
          <w:bCs/>
          <w:kern w:val="32"/>
        </w:rPr>
        <w:t>мреже</w:t>
      </w:r>
      <w:r>
        <w:rPr>
          <w:rFonts w:cs="Calibri"/>
          <w:bCs/>
          <w:kern w:val="32"/>
          <w:lang w:val="hr-BA"/>
        </w:rPr>
        <w:t xml:space="preserve"> </w:t>
      </w:r>
      <w:r>
        <w:rPr>
          <w:rFonts w:cs="Calibri"/>
          <w:bCs/>
          <w:kern w:val="32"/>
        </w:rPr>
        <w:t>ванинституционалне</w:t>
      </w:r>
      <w:r>
        <w:rPr>
          <w:rFonts w:cs="Calibri"/>
          <w:bCs/>
          <w:kern w:val="32"/>
          <w:lang w:val="hr-BA"/>
        </w:rPr>
        <w:t xml:space="preserve"> </w:t>
      </w:r>
      <w:r>
        <w:rPr>
          <w:rFonts w:cs="Calibri"/>
          <w:bCs/>
          <w:kern w:val="32"/>
        </w:rPr>
        <w:t>подршке</w:t>
      </w:r>
      <w:r>
        <w:rPr>
          <w:rFonts w:cs="Calibri"/>
          <w:bCs/>
          <w:kern w:val="32"/>
          <w:lang w:val="hr-BA"/>
        </w:rPr>
        <w:t xml:space="preserve"> </w:t>
      </w:r>
      <w:r>
        <w:rPr>
          <w:rFonts w:cs="Calibri"/>
          <w:bCs/>
          <w:kern w:val="32"/>
        </w:rPr>
        <w:t>за</w:t>
      </w:r>
      <w:r>
        <w:rPr>
          <w:rFonts w:cs="Calibri"/>
          <w:bCs/>
          <w:kern w:val="32"/>
          <w:lang w:val="hr-BA"/>
        </w:rPr>
        <w:t xml:space="preserve"> </w:t>
      </w:r>
      <w:r>
        <w:rPr>
          <w:rFonts w:cs="Calibri"/>
          <w:bCs/>
          <w:kern w:val="32"/>
        </w:rPr>
        <w:t>осјетљиве</w:t>
      </w:r>
      <w:r>
        <w:rPr>
          <w:rFonts w:cs="Calibri"/>
          <w:bCs/>
          <w:kern w:val="32"/>
          <w:lang w:val="hr-BA"/>
        </w:rPr>
        <w:t xml:space="preserve"> </w:t>
      </w:r>
      <w:r>
        <w:rPr>
          <w:rFonts w:cs="Calibri"/>
          <w:bCs/>
          <w:kern w:val="32"/>
        </w:rPr>
        <w:t>групе</w:t>
      </w:r>
      <w:r>
        <w:rPr>
          <w:rFonts w:cs="Calibri"/>
          <w:bCs/>
          <w:kern w:val="32"/>
          <w:lang w:val="hr-BA"/>
        </w:rPr>
        <w:t xml:space="preserve"> (</w:t>
      </w:r>
      <w:r>
        <w:rPr>
          <w:rFonts w:cs="Calibri"/>
          <w:bCs/>
          <w:kern w:val="32"/>
        </w:rPr>
        <w:t>дјецу</w:t>
      </w:r>
      <w:r>
        <w:rPr>
          <w:rFonts w:cs="Calibri"/>
          <w:bCs/>
          <w:kern w:val="32"/>
          <w:lang w:val="hr-BA"/>
        </w:rPr>
        <w:t xml:space="preserve"> </w:t>
      </w:r>
      <w:r>
        <w:rPr>
          <w:rFonts w:cs="Calibri"/>
          <w:bCs/>
          <w:kern w:val="32"/>
        </w:rPr>
        <w:t>и</w:t>
      </w:r>
      <w:r>
        <w:rPr>
          <w:rFonts w:cs="Calibri"/>
          <w:bCs/>
          <w:kern w:val="32"/>
          <w:lang w:val="hr-BA"/>
        </w:rPr>
        <w:t xml:space="preserve"> </w:t>
      </w:r>
      <w:r>
        <w:rPr>
          <w:rFonts w:cs="Calibri"/>
          <w:bCs/>
          <w:kern w:val="32"/>
        </w:rPr>
        <w:t>младе</w:t>
      </w:r>
      <w:r>
        <w:rPr>
          <w:rFonts w:cs="Calibri"/>
          <w:bCs/>
          <w:kern w:val="32"/>
          <w:lang w:val="hr-BA"/>
        </w:rPr>
        <w:t xml:space="preserve"> </w:t>
      </w:r>
      <w:r>
        <w:rPr>
          <w:rFonts w:cs="Calibri"/>
          <w:bCs/>
          <w:kern w:val="32"/>
        </w:rPr>
        <w:t>са</w:t>
      </w:r>
      <w:r>
        <w:rPr>
          <w:rFonts w:cs="Calibri"/>
          <w:bCs/>
          <w:kern w:val="32"/>
          <w:lang w:val="hr-BA"/>
        </w:rPr>
        <w:t xml:space="preserve"> </w:t>
      </w:r>
      <w:r>
        <w:rPr>
          <w:rFonts w:cs="Calibri"/>
          <w:bCs/>
          <w:kern w:val="32"/>
        </w:rPr>
        <w:t>сметњама</w:t>
      </w:r>
      <w:r>
        <w:rPr>
          <w:rFonts w:cs="Calibri"/>
          <w:bCs/>
          <w:kern w:val="32"/>
          <w:lang w:val="hr-BA"/>
        </w:rPr>
        <w:t xml:space="preserve"> </w:t>
      </w:r>
      <w:r>
        <w:rPr>
          <w:rFonts w:cs="Calibri"/>
          <w:bCs/>
          <w:kern w:val="32"/>
        </w:rPr>
        <w:t>у</w:t>
      </w:r>
      <w:r>
        <w:rPr>
          <w:rFonts w:cs="Calibri"/>
          <w:bCs/>
          <w:kern w:val="32"/>
          <w:lang w:val="hr-BA"/>
        </w:rPr>
        <w:t xml:space="preserve"> </w:t>
      </w:r>
      <w:r>
        <w:rPr>
          <w:rFonts w:cs="Calibri"/>
          <w:bCs/>
          <w:kern w:val="32"/>
        </w:rPr>
        <w:t>развоју</w:t>
      </w:r>
      <w:r>
        <w:rPr>
          <w:rFonts w:cs="Calibri"/>
          <w:bCs/>
          <w:kern w:val="32"/>
          <w:lang w:val="hr-BA"/>
        </w:rPr>
        <w:t xml:space="preserve">, </w:t>
      </w:r>
      <w:r>
        <w:rPr>
          <w:rFonts w:cs="Calibri"/>
          <w:bCs/>
          <w:kern w:val="32"/>
        </w:rPr>
        <w:t>особе</w:t>
      </w:r>
      <w:r>
        <w:rPr>
          <w:rFonts w:cs="Calibri"/>
          <w:bCs/>
          <w:kern w:val="32"/>
          <w:lang w:val="hr-BA"/>
        </w:rPr>
        <w:t xml:space="preserve"> </w:t>
      </w:r>
      <w:r>
        <w:rPr>
          <w:rFonts w:cs="Calibri"/>
          <w:bCs/>
          <w:kern w:val="32"/>
        </w:rPr>
        <w:t>са</w:t>
      </w:r>
      <w:r>
        <w:rPr>
          <w:rFonts w:cs="Calibri"/>
          <w:bCs/>
          <w:kern w:val="32"/>
          <w:lang w:val="hr-BA"/>
        </w:rPr>
        <w:t xml:space="preserve"> </w:t>
      </w:r>
      <w:r>
        <w:rPr>
          <w:rFonts w:cs="Calibri"/>
          <w:bCs/>
          <w:kern w:val="32"/>
        </w:rPr>
        <w:t>инвалидитетом</w:t>
      </w:r>
      <w:r>
        <w:rPr>
          <w:rFonts w:cs="Calibri"/>
          <w:bCs/>
          <w:kern w:val="32"/>
          <w:lang w:val="hr-BA"/>
        </w:rPr>
        <w:t xml:space="preserve">, </w:t>
      </w:r>
      <w:r>
        <w:rPr>
          <w:rFonts w:cs="Calibri"/>
          <w:bCs/>
          <w:kern w:val="32"/>
        </w:rPr>
        <w:t>дјецу</w:t>
      </w:r>
      <w:r>
        <w:rPr>
          <w:rFonts w:cs="Calibri"/>
          <w:bCs/>
          <w:kern w:val="32"/>
          <w:lang w:val="hr-BA"/>
        </w:rPr>
        <w:t xml:space="preserve"> </w:t>
      </w:r>
      <w:r>
        <w:rPr>
          <w:rFonts w:cs="Calibri"/>
          <w:bCs/>
          <w:kern w:val="32"/>
        </w:rPr>
        <w:t>без</w:t>
      </w:r>
      <w:r>
        <w:rPr>
          <w:rFonts w:cs="Calibri"/>
          <w:bCs/>
          <w:kern w:val="32"/>
          <w:lang w:val="hr-BA"/>
        </w:rPr>
        <w:t xml:space="preserve"> </w:t>
      </w:r>
      <w:r>
        <w:rPr>
          <w:rFonts w:cs="Calibri"/>
          <w:bCs/>
          <w:kern w:val="32"/>
        </w:rPr>
        <w:t>породичног</w:t>
      </w:r>
      <w:r>
        <w:rPr>
          <w:rFonts w:cs="Calibri"/>
          <w:bCs/>
          <w:kern w:val="32"/>
          <w:lang w:val="hr-BA"/>
        </w:rPr>
        <w:t xml:space="preserve"> </w:t>
      </w:r>
      <w:r>
        <w:rPr>
          <w:rFonts w:cs="Calibri"/>
          <w:bCs/>
          <w:kern w:val="32"/>
        </w:rPr>
        <w:t>старања</w:t>
      </w:r>
      <w:r>
        <w:rPr>
          <w:rFonts w:cs="Calibri"/>
          <w:bCs/>
          <w:kern w:val="32"/>
          <w:lang w:val="hr-BA"/>
        </w:rPr>
        <w:t xml:space="preserve">, </w:t>
      </w:r>
      <w:r>
        <w:rPr>
          <w:rFonts w:cs="Calibri"/>
          <w:bCs/>
          <w:kern w:val="32"/>
        </w:rPr>
        <w:t>васпитно</w:t>
      </w:r>
      <w:r>
        <w:rPr>
          <w:rFonts w:cs="Calibri"/>
          <w:bCs/>
          <w:kern w:val="32"/>
          <w:lang w:val="hr-BA"/>
        </w:rPr>
        <w:t xml:space="preserve"> </w:t>
      </w:r>
      <w:r>
        <w:rPr>
          <w:rFonts w:cs="Calibri"/>
          <w:bCs/>
          <w:kern w:val="32"/>
        </w:rPr>
        <w:t>занемарену</w:t>
      </w:r>
      <w:r>
        <w:rPr>
          <w:rFonts w:cs="Calibri"/>
          <w:bCs/>
          <w:kern w:val="32"/>
          <w:lang w:val="hr-BA"/>
        </w:rPr>
        <w:t xml:space="preserve"> </w:t>
      </w:r>
      <w:r>
        <w:rPr>
          <w:rFonts w:cs="Calibri"/>
          <w:bCs/>
          <w:kern w:val="32"/>
        </w:rPr>
        <w:t>и</w:t>
      </w:r>
      <w:r>
        <w:rPr>
          <w:rFonts w:cs="Calibri"/>
          <w:bCs/>
          <w:kern w:val="32"/>
          <w:lang w:val="hr-BA"/>
        </w:rPr>
        <w:t xml:space="preserve"> </w:t>
      </w:r>
      <w:r>
        <w:rPr>
          <w:rFonts w:cs="Calibri"/>
          <w:bCs/>
          <w:kern w:val="32"/>
        </w:rPr>
        <w:t>запуштену</w:t>
      </w:r>
      <w:r>
        <w:rPr>
          <w:rFonts w:cs="Calibri"/>
          <w:bCs/>
          <w:kern w:val="32"/>
          <w:lang w:val="hr-BA"/>
        </w:rPr>
        <w:t xml:space="preserve"> </w:t>
      </w:r>
      <w:r>
        <w:rPr>
          <w:rFonts w:cs="Calibri"/>
          <w:bCs/>
          <w:kern w:val="32"/>
        </w:rPr>
        <w:t>дјецу</w:t>
      </w:r>
      <w:r>
        <w:rPr>
          <w:rFonts w:cs="Calibri"/>
          <w:bCs/>
          <w:kern w:val="32"/>
          <w:lang w:val="hr-BA"/>
        </w:rPr>
        <w:t>);</w:t>
      </w:r>
    </w:p>
    <w:p>
      <w:pPr>
        <w:pStyle w:val="46"/>
        <w:numPr>
          <w:ilvl w:val="0"/>
          <w:numId w:val="83"/>
        </w:numPr>
        <w:jc w:val="left"/>
        <w:rPr>
          <w:rFonts w:cs="Calibri"/>
          <w:bCs/>
          <w:kern w:val="32"/>
          <w:lang w:val="hr-BA"/>
        </w:rPr>
      </w:pPr>
      <w:r>
        <w:rPr>
          <w:rFonts w:cs="Calibri"/>
          <w:bCs/>
          <w:kern w:val="32"/>
        </w:rPr>
        <w:t>Развој</w:t>
      </w:r>
      <w:r>
        <w:rPr>
          <w:rFonts w:cs="Calibri"/>
          <w:bCs/>
          <w:kern w:val="32"/>
          <w:lang w:val="hr-BA"/>
        </w:rPr>
        <w:t xml:space="preserve"> </w:t>
      </w:r>
      <w:r>
        <w:rPr>
          <w:rFonts w:cs="Calibri"/>
          <w:bCs/>
          <w:kern w:val="32"/>
        </w:rPr>
        <w:t>програма</w:t>
      </w:r>
      <w:r>
        <w:rPr>
          <w:rFonts w:cs="Calibri"/>
          <w:bCs/>
          <w:kern w:val="32"/>
          <w:lang w:val="hr-BA"/>
        </w:rPr>
        <w:t xml:space="preserve"> </w:t>
      </w:r>
      <w:r>
        <w:rPr>
          <w:rFonts w:cs="Calibri"/>
          <w:bCs/>
          <w:kern w:val="32"/>
        </w:rPr>
        <w:t>неформалног</w:t>
      </w:r>
      <w:r>
        <w:rPr>
          <w:rFonts w:cs="Calibri"/>
          <w:bCs/>
          <w:kern w:val="32"/>
          <w:lang w:val="hr-BA"/>
        </w:rPr>
        <w:t xml:space="preserve"> </w:t>
      </w:r>
      <w:r>
        <w:rPr>
          <w:rFonts w:cs="Calibri"/>
          <w:bCs/>
          <w:kern w:val="32"/>
        </w:rPr>
        <w:t>образовања</w:t>
      </w:r>
      <w:r>
        <w:rPr>
          <w:rFonts w:cs="Calibri"/>
          <w:bCs/>
          <w:kern w:val="32"/>
          <w:lang w:val="hr-BA"/>
        </w:rPr>
        <w:t xml:space="preserve">, </w:t>
      </w:r>
      <w:r>
        <w:rPr>
          <w:rFonts w:cs="Calibri"/>
          <w:bCs/>
          <w:kern w:val="32"/>
        </w:rPr>
        <w:t>посебно</w:t>
      </w:r>
      <w:r>
        <w:rPr>
          <w:rFonts w:cs="Calibri"/>
          <w:bCs/>
          <w:kern w:val="32"/>
          <w:lang w:val="hr-BA"/>
        </w:rPr>
        <w:t xml:space="preserve"> </w:t>
      </w:r>
      <w:r>
        <w:rPr>
          <w:rFonts w:cs="Calibri"/>
          <w:bCs/>
          <w:kern w:val="32"/>
        </w:rPr>
        <w:t>за</w:t>
      </w:r>
      <w:r>
        <w:rPr>
          <w:rFonts w:cs="Calibri"/>
          <w:bCs/>
          <w:kern w:val="32"/>
          <w:lang w:val="hr-BA"/>
        </w:rPr>
        <w:t xml:space="preserve"> </w:t>
      </w:r>
      <w:r>
        <w:rPr>
          <w:rFonts w:cs="Calibri"/>
          <w:bCs/>
          <w:kern w:val="32"/>
        </w:rPr>
        <w:t>незапослене</w:t>
      </w:r>
      <w:r>
        <w:rPr>
          <w:rFonts w:cs="Calibri"/>
          <w:bCs/>
          <w:kern w:val="32"/>
          <w:lang w:val="hr-BA"/>
        </w:rPr>
        <w:t xml:space="preserve"> </w:t>
      </w:r>
      <w:r>
        <w:rPr>
          <w:rFonts w:cs="Calibri"/>
          <w:bCs/>
          <w:kern w:val="32"/>
        </w:rPr>
        <w:t>из</w:t>
      </w:r>
      <w:r>
        <w:rPr>
          <w:rFonts w:cs="Calibri"/>
          <w:bCs/>
          <w:kern w:val="32"/>
          <w:lang w:val="hr-BA"/>
        </w:rPr>
        <w:t xml:space="preserve"> </w:t>
      </w:r>
      <w:r>
        <w:rPr>
          <w:rFonts w:cs="Calibri"/>
          <w:bCs/>
          <w:kern w:val="32"/>
        </w:rPr>
        <w:t>тешко</w:t>
      </w:r>
      <w:r>
        <w:rPr>
          <w:rFonts w:cs="Calibri"/>
          <w:bCs/>
          <w:kern w:val="32"/>
          <w:lang w:val="hr-BA"/>
        </w:rPr>
        <w:t xml:space="preserve"> </w:t>
      </w:r>
      <w:r>
        <w:rPr>
          <w:rFonts w:cs="Calibri"/>
          <w:bCs/>
          <w:kern w:val="32"/>
        </w:rPr>
        <w:t>запошљивих</w:t>
      </w:r>
      <w:r>
        <w:rPr>
          <w:rFonts w:cs="Calibri"/>
          <w:bCs/>
          <w:kern w:val="32"/>
          <w:lang w:val="hr-BA"/>
        </w:rPr>
        <w:t xml:space="preserve"> </w:t>
      </w:r>
      <w:r>
        <w:rPr>
          <w:rFonts w:cs="Calibri"/>
          <w:bCs/>
          <w:kern w:val="32"/>
        </w:rPr>
        <w:t>категорија</w:t>
      </w:r>
      <w:r>
        <w:rPr>
          <w:rFonts w:cs="Calibri"/>
          <w:bCs/>
          <w:kern w:val="32"/>
          <w:lang w:val="hr-BA"/>
        </w:rPr>
        <w:t>;</w:t>
      </w:r>
    </w:p>
    <w:p>
      <w:pPr>
        <w:pStyle w:val="46"/>
        <w:numPr>
          <w:ilvl w:val="0"/>
          <w:numId w:val="83"/>
        </w:numPr>
        <w:jc w:val="left"/>
        <w:rPr>
          <w:rFonts w:cs="Calibri"/>
          <w:bCs/>
          <w:kern w:val="32"/>
          <w:lang w:val="hr-BA"/>
        </w:rPr>
      </w:pPr>
      <w:r>
        <w:rPr>
          <w:rFonts w:cs="Calibri"/>
          <w:bCs/>
          <w:kern w:val="32"/>
        </w:rPr>
        <w:t>Реализација</w:t>
      </w:r>
      <w:r>
        <w:rPr>
          <w:rFonts w:cs="Calibri"/>
          <w:bCs/>
          <w:kern w:val="32"/>
          <w:lang w:val="hr-BA"/>
        </w:rPr>
        <w:t xml:space="preserve"> </w:t>
      </w:r>
      <w:r>
        <w:rPr>
          <w:rFonts w:cs="Calibri"/>
          <w:bCs/>
          <w:kern w:val="32"/>
        </w:rPr>
        <w:t>пројеката</w:t>
      </w:r>
      <w:r>
        <w:rPr>
          <w:rFonts w:cs="Calibri"/>
          <w:bCs/>
          <w:kern w:val="32"/>
          <w:lang w:val="hr-BA"/>
        </w:rPr>
        <w:t xml:space="preserve"> </w:t>
      </w:r>
      <w:r>
        <w:rPr>
          <w:rFonts w:cs="Calibri"/>
          <w:bCs/>
          <w:kern w:val="32"/>
        </w:rPr>
        <w:t>од</w:t>
      </w:r>
      <w:r>
        <w:rPr>
          <w:rFonts w:cs="Calibri"/>
          <w:bCs/>
          <w:kern w:val="32"/>
          <w:lang w:val="hr-BA"/>
        </w:rPr>
        <w:t xml:space="preserve"> </w:t>
      </w:r>
      <w:r>
        <w:rPr>
          <w:rFonts w:cs="Calibri"/>
          <w:bCs/>
          <w:kern w:val="32"/>
        </w:rPr>
        <w:t>значаја</w:t>
      </w:r>
      <w:r>
        <w:rPr>
          <w:rFonts w:cs="Calibri"/>
          <w:bCs/>
          <w:kern w:val="32"/>
          <w:lang w:val="hr-BA"/>
        </w:rPr>
        <w:t xml:space="preserve"> </w:t>
      </w:r>
      <w:r>
        <w:rPr>
          <w:rFonts w:cs="Calibri"/>
          <w:bCs/>
          <w:kern w:val="32"/>
        </w:rPr>
        <w:t>за</w:t>
      </w:r>
      <w:r>
        <w:rPr>
          <w:rFonts w:cs="Calibri"/>
          <w:bCs/>
          <w:kern w:val="32"/>
          <w:lang w:val="hr-BA"/>
        </w:rPr>
        <w:t xml:space="preserve"> </w:t>
      </w:r>
      <w:r>
        <w:rPr>
          <w:rFonts w:cs="Calibri"/>
          <w:bCs/>
          <w:kern w:val="32"/>
        </w:rPr>
        <w:t>унапрјеђење</w:t>
      </w:r>
      <w:r>
        <w:rPr>
          <w:rFonts w:cs="Calibri"/>
          <w:bCs/>
          <w:kern w:val="32"/>
          <w:lang w:val="hr-BA"/>
        </w:rPr>
        <w:t xml:space="preserve"> </w:t>
      </w:r>
      <w:r>
        <w:rPr>
          <w:rFonts w:cs="Calibri"/>
          <w:bCs/>
          <w:kern w:val="32"/>
        </w:rPr>
        <w:t>међуопштинске</w:t>
      </w:r>
      <w:r>
        <w:rPr>
          <w:rFonts w:cs="Calibri"/>
          <w:bCs/>
          <w:kern w:val="32"/>
          <w:lang w:val="hr-BA"/>
        </w:rPr>
        <w:t xml:space="preserve"> </w:t>
      </w:r>
      <w:r>
        <w:rPr>
          <w:rFonts w:cs="Calibri"/>
          <w:bCs/>
          <w:kern w:val="32"/>
        </w:rPr>
        <w:t>културне</w:t>
      </w:r>
      <w:r>
        <w:rPr>
          <w:rFonts w:cs="Calibri"/>
          <w:bCs/>
          <w:kern w:val="32"/>
          <w:lang w:val="hr-BA"/>
        </w:rPr>
        <w:t xml:space="preserve"> </w:t>
      </w:r>
      <w:r>
        <w:rPr>
          <w:rFonts w:cs="Calibri"/>
          <w:bCs/>
          <w:kern w:val="32"/>
        </w:rPr>
        <w:t>и</w:t>
      </w:r>
      <w:r>
        <w:rPr>
          <w:rFonts w:cs="Calibri"/>
          <w:bCs/>
          <w:kern w:val="32"/>
          <w:lang w:val="hr-BA"/>
        </w:rPr>
        <w:t xml:space="preserve"> </w:t>
      </w:r>
      <w:r>
        <w:rPr>
          <w:rFonts w:cs="Calibri"/>
          <w:bCs/>
          <w:kern w:val="32"/>
        </w:rPr>
        <w:t>спортске</w:t>
      </w:r>
      <w:r>
        <w:rPr>
          <w:rFonts w:cs="Calibri"/>
          <w:bCs/>
          <w:kern w:val="32"/>
          <w:lang w:val="hr-BA"/>
        </w:rPr>
        <w:t xml:space="preserve"> </w:t>
      </w:r>
      <w:r>
        <w:rPr>
          <w:rFonts w:cs="Calibri"/>
          <w:bCs/>
          <w:kern w:val="32"/>
        </w:rPr>
        <w:t>понуде</w:t>
      </w:r>
      <w:r>
        <w:rPr>
          <w:rFonts w:cs="Calibri"/>
          <w:bCs/>
          <w:kern w:val="32"/>
          <w:lang w:val="hr-BA"/>
        </w:rPr>
        <w:t>;</w:t>
      </w:r>
    </w:p>
    <w:p>
      <w:pPr>
        <w:pStyle w:val="46"/>
        <w:numPr>
          <w:ilvl w:val="0"/>
          <w:numId w:val="83"/>
        </w:numPr>
        <w:jc w:val="left"/>
        <w:rPr>
          <w:rFonts w:cs="Calibri"/>
          <w:bCs/>
          <w:kern w:val="32"/>
          <w:lang w:val="hr-BA"/>
        </w:rPr>
      </w:pPr>
      <w:r>
        <w:rPr>
          <w:rFonts w:cs="Calibri"/>
          <w:bCs/>
          <w:kern w:val="32"/>
        </w:rPr>
        <w:t>Реализација</w:t>
      </w:r>
      <w:r>
        <w:rPr>
          <w:rFonts w:cs="Calibri"/>
          <w:bCs/>
          <w:kern w:val="32"/>
          <w:lang w:val="hr-BA"/>
        </w:rPr>
        <w:t xml:space="preserve"> </w:t>
      </w:r>
      <w:r>
        <w:rPr>
          <w:rFonts w:cs="Calibri"/>
          <w:bCs/>
          <w:kern w:val="32"/>
        </w:rPr>
        <w:t>пројеката</w:t>
      </w:r>
      <w:r>
        <w:rPr>
          <w:rFonts w:cs="Calibri"/>
          <w:bCs/>
          <w:kern w:val="32"/>
          <w:lang w:val="hr-BA"/>
        </w:rPr>
        <w:t xml:space="preserve"> </w:t>
      </w:r>
      <w:r>
        <w:rPr>
          <w:rFonts w:cs="Calibri"/>
          <w:bCs/>
          <w:kern w:val="32"/>
        </w:rPr>
        <w:t>од</w:t>
      </w:r>
      <w:r>
        <w:rPr>
          <w:rFonts w:cs="Calibri"/>
          <w:bCs/>
          <w:kern w:val="32"/>
          <w:lang w:val="hr-BA"/>
        </w:rPr>
        <w:t xml:space="preserve"> </w:t>
      </w:r>
      <w:r>
        <w:rPr>
          <w:rFonts w:cs="Calibri"/>
          <w:bCs/>
          <w:kern w:val="32"/>
        </w:rPr>
        <w:t>значаја</w:t>
      </w:r>
      <w:r>
        <w:rPr>
          <w:rFonts w:cs="Calibri"/>
          <w:bCs/>
          <w:kern w:val="32"/>
          <w:lang w:val="hr-BA"/>
        </w:rPr>
        <w:t xml:space="preserve"> </w:t>
      </w:r>
      <w:r>
        <w:rPr>
          <w:rFonts w:cs="Calibri"/>
          <w:bCs/>
          <w:kern w:val="32"/>
        </w:rPr>
        <w:t>за</w:t>
      </w:r>
      <w:r>
        <w:rPr>
          <w:rFonts w:cs="Calibri"/>
          <w:bCs/>
          <w:kern w:val="32"/>
          <w:lang w:val="hr-BA"/>
        </w:rPr>
        <w:t xml:space="preserve"> </w:t>
      </w:r>
      <w:r>
        <w:rPr>
          <w:rFonts w:cs="Calibri"/>
          <w:bCs/>
          <w:kern w:val="32"/>
        </w:rPr>
        <w:t>повећање</w:t>
      </w:r>
      <w:r>
        <w:rPr>
          <w:rFonts w:cs="Calibri"/>
          <w:bCs/>
          <w:kern w:val="32"/>
          <w:lang w:val="hr-BA"/>
        </w:rPr>
        <w:t xml:space="preserve"> </w:t>
      </w:r>
      <w:r>
        <w:rPr>
          <w:rFonts w:cs="Calibri"/>
          <w:bCs/>
          <w:kern w:val="32"/>
        </w:rPr>
        <w:t>безбједности</w:t>
      </w:r>
      <w:r>
        <w:rPr>
          <w:rFonts w:cs="Calibri"/>
          <w:bCs/>
          <w:kern w:val="32"/>
          <w:lang w:val="hr-BA"/>
        </w:rPr>
        <w:t xml:space="preserve"> </w:t>
      </w:r>
      <w:r>
        <w:rPr>
          <w:rFonts w:cs="Calibri"/>
          <w:bCs/>
          <w:kern w:val="32"/>
        </w:rPr>
        <w:t>грађана</w:t>
      </w:r>
      <w:r>
        <w:rPr>
          <w:rFonts w:cs="Calibri"/>
          <w:bCs/>
          <w:kern w:val="32"/>
          <w:lang w:val="hr-BA"/>
        </w:rPr>
        <w:t>.</w:t>
      </w:r>
    </w:p>
    <w:p>
      <w:pPr>
        <w:pStyle w:val="4"/>
        <w:rPr>
          <w:lang w:val="hr-BA"/>
        </w:rPr>
      </w:pPr>
      <w:bookmarkStart w:id="141" w:name="_Toc461719860"/>
      <w:bookmarkStart w:id="142" w:name="_Toc526761938"/>
      <w:bookmarkStart w:id="143" w:name="_Toc452886796"/>
      <w:bookmarkStart w:id="144" w:name="_Toc473095876"/>
      <w:r>
        <w:rPr>
          <w:lang w:val="hr-BA"/>
        </w:rPr>
        <w:t>V.3.4.</w:t>
      </w:r>
      <w:r>
        <w:rPr>
          <w:lang w:val="hr-BA"/>
        </w:rPr>
        <w:tab/>
      </w:r>
      <w:r>
        <w:t>Програми</w:t>
      </w:r>
      <w:r>
        <w:rPr>
          <w:lang w:val="hr-BA"/>
        </w:rPr>
        <w:t xml:space="preserve">, </w:t>
      </w:r>
      <w:r>
        <w:t>пројекти</w:t>
      </w:r>
      <w:r>
        <w:rPr>
          <w:lang w:val="hr-BA"/>
        </w:rPr>
        <w:t xml:space="preserve"> </w:t>
      </w:r>
      <w:r>
        <w:t>и</w:t>
      </w:r>
      <w:r>
        <w:rPr>
          <w:lang w:val="hr-BA"/>
        </w:rPr>
        <w:t xml:space="preserve"> </w:t>
      </w:r>
      <w:r>
        <w:t>мјере</w:t>
      </w:r>
      <w:bookmarkEnd w:id="141"/>
      <w:bookmarkEnd w:id="142"/>
      <w:bookmarkEnd w:id="143"/>
      <w:bookmarkEnd w:id="144"/>
    </w:p>
    <w:p>
      <w:pPr>
        <w:spacing w:before="120" w:after="120"/>
        <w:jc w:val="both"/>
      </w:pPr>
      <w:r>
        <w:t xml:space="preserve">За реализацију плана друштвеног развоја </w:t>
      </w:r>
      <w:r>
        <w:rPr>
          <w:lang w:val="sr-Cyrl-RS"/>
        </w:rPr>
        <w:t>града Бања Лука</w:t>
      </w:r>
      <w:r>
        <w:t xml:space="preserve"> дефинисан</w:t>
      </w:r>
      <w:r>
        <w:rPr>
          <w:lang w:val="sr-Cyrl-RS"/>
        </w:rPr>
        <w:t>о</w:t>
      </w:r>
      <w:r>
        <w:t xml:space="preserve"> је </w:t>
      </w:r>
      <w:r>
        <w:rPr>
          <w:lang w:val="sr-Cyrl-RS"/>
        </w:rPr>
        <w:t>89</w:t>
      </w:r>
      <w:r>
        <w:t xml:space="preserve"> пројекатa и мјера груписан у </w:t>
      </w:r>
      <w:r>
        <w:rPr>
          <w:lang w:val="sr-Cyrl-RS"/>
        </w:rPr>
        <w:t>20</w:t>
      </w:r>
      <w:r>
        <w:t xml:space="preserve"> програма:</w:t>
      </w:r>
    </w:p>
    <w:tbl>
      <w:tblPr>
        <w:tblStyle w:val="36"/>
        <w:tblW w:w="924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01"/>
        <w:gridCol w:w="4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 w:hRule="atLeast"/>
        </w:trPr>
        <w:tc>
          <w:tcPr>
            <w:tcW w:w="490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pStyle w:val="46"/>
              <w:spacing w:before="0" w:line="240" w:lineRule="auto"/>
              <w:ind w:left="0"/>
              <w:rPr>
                <w:b/>
              </w:rPr>
            </w:pPr>
            <w:r>
              <w:rPr>
                <w:b/>
              </w:rPr>
              <w:t>ПРОГРАМ</w:t>
            </w:r>
          </w:p>
        </w:tc>
        <w:tc>
          <w:tcPr>
            <w:tcW w:w="434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pStyle w:val="46"/>
              <w:spacing w:before="0" w:line="240" w:lineRule="auto"/>
              <w:ind w:left="0"/>
              <w:rPr>
                <w:b/>
              </w:rPr>
            </w:pPr>
            <w:r>
              <w:rPr>
                <w:b/>
              </w:rPr>
              <w:t>МЈЕРА/ПРОЈЕКАТ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r>
              <w:rPr>
                <w:b/>
                <w:sz w:val="20"/>
                <w:szCs w:val="20"/>
              </w:rPr>
              <w:t>ПРОГРАМ</w:t>
            </w:r>
            <w:r>
              <w:rPr>
                <w:b/>
                <w:sz w:val="20"/>
                <w:szCs w:val="20"/>
                <w:lang w:val="hr-BA"/>
              </w:rPr>
              <w:t xml:space="preserve"> </w:t>
            </w:r>
            <w:r>
              <w:rPr>
                <w:b/>
                <w:sz w:val="20"/>
                <w:szCs w:val="20"/>
                <w:lang w:val="sr-Cyrl-RS"/>
              </w:rPr>
              <w:t>2</w:t>
            </w:r>
            <w:r>
              <w:rPr>
                <w:b/>
                <w:sz w:val="20"/>
                <w:szCs w:val="20"/>
                <w:lang w:val="hr-BA"/>
              </w:rPr>
              <w:t>.</w:t>
            </w:r>
            <w:r>
              <w:rPr>
                <w:b/>
                <w:sz w:val="20"/>
                <w:szCs w:val="20"/>
                <w:lang w:val="sr-Cyrl-RS"/>
              </w:rPr>
              <w:t>1</w:t>
            </w:r>
            <w:r>
              <w:rPr>
                <w:b/>
                <w:sz w:val="20"/>
                <w:szCs w:val="20"/>
                <w:lang w:val="hr-BA"/>
              </w:rPr>
              <w:t xml:space="preserve">.1 </w:t>
            </w:r>
            <w:r>
              <w:rPr>
                <w:b/>
                <w:sz w:val="20"/>
                <w:szCs w:val="20"/>
              </w:rPr>
              <w:t>ЕФИКАСНА</w:t>
            </w:r>
            <w:r>
              <w:rPr>
                <w:b/>
                <w:sz w:val="20"/>
                <w:szCs w:val="20"/>
                <w:lang w:val="hr-BA"/>
              </w:rPr>
              <w:t xml:space="preserve"> </w:t>
            </w:r>
            <w:r>
              <w:rPr>
                <w:b/>
                <w:sz w:val="20"/>
                <w:szCs w:val="20"/>
              </w:rPr>
              <w:t>УПРАВА</w:t>
            </w:r>
            <w:r>
              <w:rPr>
                <w:b/>
                <w:sz w:val="20"/>
                <w:szCs w:val="20"/>
                <w:lang w:val="hr-BA"/>
              </w:rPr>
              <w:t xml:space="preserve"> (</w:t>
            </w:r>
            <w:r>
              <w:rPr>
                <w:b/>
                <w:sz w:val="20"/>
                <w:szCs w:val="20"/>
              </w:rPr>
              <w:t>Е</w:t>
            </w:r>
            <w:r>
              <w:rPr>
                <w:b/>
                <w:sz w:val="20"/>
                <w:szCs w:val="20"/>
                <w:lang w:val="hr-BA"/>
              </w:rPr>
              <w:t>-</w:t>
            </w:r>
            <w:r>
              <w:rPr>
                <w:b/>
                <w:sz w:val="20"/>
                <w:szCs w:val="20"/>
              </w:rPr>
              <w:t>УПРАВА</w:t>
            </w:r>
            <w:r>
              <w:rPr>
                <w:b/>
                <w:sz w:val="20"/>
                <w:szCs w:val="20"/>
                <w:lang w:val="hr-BA"/>
              </w:rPr>
              <w:t>)</w:t>
            </w: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lang w:val="sr-Cyrl-CS"/>
              </w:rPr>
            </w:pPr>
            <w:r>
              <w:rPr>
                <w:bCs/>
                <w:sz w:val="20"/>
                <w:lang w:val="sr-Cyrl-CS"/>
              </w:rPr>
              <w:t>П. 2.1.1.1. Јачање интерних ИТ капацитета Градске управе (2018-2022.)</w:t>
            </w:r>
          </w:p>
          <w:p>
            <w:pPr>
              <w:rPr>
                <w:bCs/>
                <w:sz w:val="20"/>
                <w:szCs w:val="20"/>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lang w:val="sr-Cyrl-CS"/>
              </w:rPr>
            </w:pPr>
            <w:r>
              <w:rPr>
                <w:bCs/>
                <w:sz w:val="20"/>
                <w:lang w:val="sr-Cyrl-CS"/>
              </w:rPr>
              <w:t xml:space="preserve">М. </w:t>
            </w:r>
            <w:bookmarkStart w:id="145" w:name="_Hlk523900066"/>
            <w:r>
              <w:rPr>
                <w:bCs/>
                <w:sz w:val="20"/>
                <w:lang w:val="sr-Cyrl-CS"/>
              </w:rPr>
              <w:t xml:space="preserve">2.1.1.2. </w:t>
            </w:r>
            <w:bookmarkEnd w:id="145"/>
            <w:r>
              <w:rPr>
                <w:bCs/>
                <w:sz w:val="20"/>
                <w:lang w:val="sr-Cyrl-CS"/>
              </w:rPr>
              <w:t>Увођење Е-услуга за грађане и привреднике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tcPr>
          <w:p>
            <w:pPr>
              <w:rPr>
                <w:bCs/>
                <w:sz w:val="20"/>
                <w:lang w:val="sr-Cyrl-CS"/>
              </w:rPr>
            </w:pPr>
            <w:r>
              <w:rPr>
                <w:bCs/>
                <w:sz w:val="20"/>
                <w:lang w:val="bs-Latn-BA"/>
              </w:rPr>
              <w:t>П.</w:t>
            </w:r>
            <w:r>
              <w:rPr>
                <w:bCs/>
                <w:sz w:val="20"/>
                <w:lang w:val="sr-Cyrl-CS"/>
              </w:rPr>
              <w:t xml:space="preserve"> </w:t>
            </w:r>
            <w:r>
              <w:rPr>
                <w:bCs/>
                <w:sz w:val="20"/>
                <w:lang w:val="sr-Cyrl-RS"/>
              </w:rPr>
              <w:t>2</w:t>
            </w:r>
            <w:r>
              <w:rPr>
                <w:bCs/>
                <w:sz w:val="20"/>
                <w:lang w:val="bs-Latn-BA"/>
              </w:rPr>
              <w:t>.</w:t>
            </w:r>
            <w:r>
              <w:rPr>
                <w:bCs/>
                <w:sz w:val="20"/>
                <w:lang w:val="sr-Cyrl-RS"/>
              </w:rPr>
              <w:t>1</w:t>
            </w:r>
            <w:r>
              <w:rPr>
                <w:bCs/>
                <w:sz w:val="20"/>
                <w:lang w:val="bs-Latn-BA"/>
              </w:rPr>
              <w:t>.1.3. Увођење новог система за управљање</w:t>
            </w:r>
            <w:r>
              <w:rPr>
                <w:bCs/>
                <w:sz w:val="20"/>
                <w:lang w:val="sr-Cyrl-CS"/>
              </w:rPr>
              <w:t xml:space="preserve"> </w:t>
            </w:r>
            <w:r>
              <w:rPr>
                <w:bCs/>
                <w:sz w:val="20"/>
                <w:lang w:val="sr-Cyrl-RS"/>
              </w:rPr>
              <w:t xml:space="preserve">електронским </w:t>
            </w:r>
            <w:r>
              <w:rPr>
                <w:bCs/>
                <w:sz w:val="20"/>
                <w:lang w:val="bs-Latn-BA"/>
              </w:rPr>
              <w:t xml:space="preserve">документима </w:t>
            </w:r>
          </w:p>
          <w:p>
            <w:pPr>
              <w:rPr>
                <w:bCs/>
                <w:sz w:val="20"/>
                <w:lang w:val="sr-Cyrl-CS"/>
              </w:rPr>
            </w:pPr>
            <w:r>
              <w:rPr>
                <w:bCs/>
                <w:sz w:val="20"/>
                <w:lang w:val="sr-Cyrl-RS"/>
              </w:rPr>
              <w:t>(2020-2022.)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right w:val="single" w:color="000000" w:sz="4" w:space="0"/>
            </w:tcBorders>
          </w:tcPr>
          <w:p>
            <w:pPr>
              <w:rPr>
                <w:bCs/>
                <w:sz w:val="20"/>
                <w:lang w:val="sr-Cyrl-CS"/>
              </w:rPr>
            </w:pPr>
            <w:r>
              <w:rPr>
                <w:bCs/>
                <w:sz w:val="20"/>
                <w:lang w:val="bs-Latn-BA"/>
              </w:rPr>
              <w:t>П.</w:t>
            </w:r>
            <w:r>
              <w:rPr>
                <w:bCs/>
                <w:sz w:val="20"/>
                <w:lang w:val="sr-Cyrl-RS"/>
              </w:rPr>
              <w:t>2</w:t>
            </w:r>
            <w:r>
              <w:rPr>
                <w:bCs/>
                <w:sz w:val="20"/>
                <w:lang w:val="bs-Latn-BA"/>
              </w:rPr>
              <w:t>.</w:t>
            </w:r>
            <w:r>
              <w:rPr>
                <w:bCs/>
                <w:sz w:val="20"/>
                <w:lang w:val="sr-Cyrl-RS"/>
              </w:rPr>
              <w:t>1</w:t>
            </w:r>
            <w:r>
              <w:rPr>
                <w:bCs/>
                <w:sz w:val="20"/>
                <w:lang w:val="bs-Latn-BA"/>
              </w:rPr>
              <w:t>.1.</w:t>
            </w:r>
            <w:r>
              <w:rPr>
                <w:bCs/>
                <w:sz w:val="20"/>
                <w:lang w:val="sr-Cyrl-CS"/>
              </w:rPr>
              <w:t>4</w:t>
            </w:r>
            <w:r>
              <w:rPr>
                <w:bCs/>
                <w:sz w:val="20"/>
                <w:lang w:val="bs-Latn-BA"/>
              </w:rPr>
              <w:t xml:space="preserve">. Дигитализација архиве града </w:t>
            </w:r>
          </w:p>
          <w:p>
            <w:pPr>
              <w:rPr>
                <w:bCs/>
                <w:sz w:val="20"/>
                <w:lang w:val="sr-Cyrl-RS"/>
              </w:rPr>
            </w:pPr>
            <w:r>
              <w:rPr>
                <w:bCs/>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right w:val="single" w:color="000000" w:sz="4" w:space="0"/>
            </w:tcBorders>
          </w:tcPr>
          <w:p>
            <w:pPr>
              <w:rPr>
                <w:bCs/>
                <w:sz w:val="20"/>
                <w:szCs w:val="20"/>
              </w:rPr>
            </w:pPr>
            <w:r>
              <w:rPr>
                <w:bCs/>
                <w:sz w:val="20"/>
                <w:lang w:val="bs-Latn-BA"/>
              </w:rPr>
              <w:t>П.</w:t>
            </w:r>
            <w:r>
              <w:rPr>
                <w:bCs/>
                <w:sz w:val="20"/>
                <w:lang w:val="sr-Cyrl-CS"/>
              </w:rPr>
              <w:t xml:space="preserve"> </w:t>
            </w:r>
            <w:r>
              <w:rPr>
                <w:bCs/>
                <w:sz w:val="20"/>
                <w:lang w:val="sr-Cyrl-RS"/>
              </w:rPr>
              <w:t>2</w:t>
            </w:r>
            <w:r>
              <w:rPr>
                <w:bCs/>
                <w:sz w:val="20"/>
                <w:lang w:val="bs-Latn-BA"/>
              </w:rPr>
              <w:t>.</w:t>
            </w:r>
            <w:r>
              <w:rPr>
                <w:bCs/>
                <w:sz w:val="20"/>
                <w:lang w:val="sr-Cyrl-RS"/>
              </w:rPr>
              <w:t>1</w:t>
            </w:r>
            <w:r>
              <w:rPr>
                <w:bCs/>
                <w:sz w:val="20"/>
                <w:lang w:val="bs-Latn-BA"/>
              </w:rPr>
              <w:t>.1.</w:t>
            </w:r>
            <w:r>
              <w:rPr>
                <w:bCs/>
                <w:sz w:val="20"/>
                <w:lang w:val="sr-Cyrl-CS"/>
              </w:rPr>
              <w:t>5</w:t>
            </w:r>
            <w:r>
              <w:rPr>
                <w:bCs/>
                <w:sz w:val="20"/>
                <w:lang w:val="bs-Latn-BA"/>
              </w:rPr>
              <w:t>.</w:t>
            </w:r>
            <w:r>
              <w:rPr>
                <w:bCs/>
                <w:sz w:val="20"/>
                <w:lang w:val="sr-Cyrl-CS"/>
              </w:rPr>
              <w:t xml:space="preserve"> </w:t>
            </w:r>
            <w:r>
              <w:rPr>
                <w:bCs/>
                <w:sz w:val="20"/>
                <w:lang w:val="bs-Latn-BA"/>
              </w:rPr>
              <w:t xml:space="preserve">Умрежавање мјесних заједница у циљу повећања ефикасности рада </w:t>
            </w:r>
            <w:r>
              <w:rPr>
                <w:bCs/>
                <w:sz w:val="20"/>
                <w:lang w:val="sr-Cyrl-RS"/>
              </w:rPr>
              <w:t>(2019-2022.)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right w:val="single" w:color="000000" w:sz="4" w:space="0"/>
            </w:tcBorders>
          </w:tcPr>
          <w:p>
            <w:pPr>
              <w:rPr>
                <w:i/>
                <w:sz w:val="20"/>
                <w:lang w:val="sr-Cyrl-RS"/>
              </w:rPr>
            </w:pPr>
            <w:r>
              <w:rPr>
                <w:bCs/>
                <w:sz w:val="20"/>
                <w:lang w:val="bs-Latn-BA"/>
              </w:rPr>
              <w:t>П.</w:t>
            </w:r>
            <w:r>
              <w:rPr>
                <w:bCs/>
                <w:sz w:val="20"/>
                <w:lang w:val="sr-Cyrl-CS"/>
              </w:rPr>
              <w:t xml:space="preserve"> </w:t>
            </w:r>
            <w:r>
              <w:rPr>
                <w:bCs/>
                <w:sz w:val="20"/>
                <w:lang w:val="sr-Cyrl-RS"/>
              </w:rPr>
              <w:t>2</w:t>
            </w:r>
            <w:r>
              <w:rPr>
                <w:bCs/>
                <w:sz w:val="20"/>
                <w:lang w:val="bs-Latn-BA"/>
              </w:rPr>
              <w:t>.</w:t>
            </w:r>
            <w:r>
              <w:rPr>
                <w:bCs/>
                <w:sz w:val="20"/>
                <w:lang w:val="sr-Cyrl-RS"/>
              </w:rPr>
              <w:t>1</w:t>
            </w:r>
            <w:r>
              <w:rPr>
                <w:bCs/>
                <w:sz w:val="20"/>
                <w:lang w:val="bs-Latn-BA"/>
              </w:rPr>
              <w:t>.1.</w:t>
            </w:r>
            <w:r>
              <w:rPr>
                <w:bCs/>
                <w:sz w:val="20"/>
                <w:lang w:val="sr-Cyrl-CS"/>
              </w:rPr>
              <w:t>6</w:t>
            </w:r>
            <w:r>
              <w:rPr>
                <w:bCs/>
                <w:sz w:val="20"/>
                <w:lang w:val="bs-Latn-BA"/>
              </w:rPr>
              <w:t xml:space="preserve">. Увођење </w:t>
            </w:r>
            <w:r>
              <w:rPr>
                <w:i/>
                <w:sz w:val="20"/>
                <w:lang w:val="bs-Latn-BA"/>
              </w:rPr>
              <w:t xml:space="preserve">Open </w:t>
            </w:r>
            <w:r>
              <w:rPr>
                <w:i/>
                <w:sz w:val="20"/>
                <w:lang w:val="sr-Latn-RS"/>
              </w:rPr>
              <w:t>d</w:t>
            </w:r>
            <w:r>
              <w:rPr>
                <w:i/>
                <w:sz w:val="20"/>
                <w:lang w:val="bs-Latn-BA"/>
              </w:rPr>
              <w:t>ata/government</w:t>
            </w:r>
            <w:r>
              <w:rPr>
                <w:i/>
                <w:sz w:val="20"/>
                <w:lang w:val="sr-Cyrl-RS"/>
              </w:rPr>
              <w:t xml:space="preserve"> </w:t>
            </w:r>
          </w:p>
          <w:p>
            <w:pPr>
              <w:rPr>
                <w:bCs/>
                <w:sz w:val="20"/>
                <w:lang w:val="sr-Cyrl-RS"/>
              </w:rPr>
            </w:pPr>
            <w:r>
              <w:rPr>
                <w:bCs/>
                <w:sz w:val="20"/>
                <w:lang w:val="sr-Cyrl-RS"/>
              </w:rPr>
              <w:t>(2020-2022.)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right w:val="single" w:color="000000" w:sz="4" w:space="0"/>
            </w:tcBorders>
          </w:tcPr>
          <w:p>
            <w:pPr>
              <w:rPr>
                <w:sz w:val="20"/>
                <w:szCs w:val="20"/>
              </w:rPr>
            </w:pPr>
            <w:r>
              <w:rPr>
                <w:sz w:val="20"/>
                <w:lang w:val="sr-Cyrl-RS"/>
              </w:rPr>
              <w:t>П. 2.1.1.7. Ефикасно управљање имовином града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bottom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right w:val="single" w:color="000000" w:sz="4" w:space="0"/>
            </w:tcBorders>
          </w:tcPr>
          <w:p>
            <w:pPr>
              <w:rPr>
                <w:sz w:val="20"/>
                <w:lang w:val="sr-Cyrl-RS"/>
              </w:rPr>
            </w:pPr>
            <w:r>
              <w:rPr>
                <w:sz w:val="20"/>
                <w:lang w:val="sr-Cyrl-RS"/>
              </w:rPr>
              <w:t xml:space="preserve">П. 2.1.1.8. Увођење система за управљање и надзор јавном расвјетом </w:t>
            </w:r>
          </w:p>
          <w:p>
            <w:pPr>
              <w:rPr>
                <w:sz w:val="20"/>
                <w:lang w:val="sr-Cyrl-RS"/>
              </w:rPr>
            </w:pPr>
            <w:r>
              <w:rPr>
                <w:sz w:val="20"/>
                <w:lang w:val="sr-Cyrl-RS"/>
              </w:rPr>
              <w:t>(2018-2020)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tcBorders>
              <w:left w:val="single" w:color="000000" w:sz="4" w:space="0"/>
              <w:right w:val="single" w:color="000000" w:sz="4" w:space="0"/>
            </w:tcBorders>
            <w:vAlign w:val="center"/>
          </w:tcPr>
          <w:p>
            <w:pPr>
              <w:pStyle w:val="46"/>
              <w:spacing w:before="0" w:line="240" w:lineRule="auto"/>
              <w:ind w:left="0"/>
              <w:jc w:val="left"/>
              <w:rPr>
                <w:b/>
                <w:sz w:val="20"/>
                <w:szCs w:val="20"/>
              </w:rPr>
            </w:pPr>
            <w:r>
              <w:rPr>
                <w:b/>
                <w:sz w:val="20"/>
                <w:szCs w:val="20"/>
              </w:rPr>
              <w:t xml:space="preserve">ПРОГРАМ </w:t>
            </w:r>
            <w:r>
              <w:rPr>
                <w:b/>
                <w:sz w:val="20"/>
                <w:szCs w:val="20"/>
                <w:lang w:val="sr-Cyrl-RS"/>
              </w:rPr>
              <w:t>2</w:t>
            </w:r>
            <w:r>
              <w:rPr>
                <w:b/>
                <w:sz w:val="20"/>
                <w:szCs w:val="20"/>
              </w:rPr>
              <w:t>.</w:t>
            </w:r>
            <w:r>
              <w:rPr>
                <w:b/>
                <w:sz w:val="20"/>
                <w:szCs w:val="20"/>
                <w:lang w:val="sr-Cyrl-RS"/>
              </w:rPr>
              <w:t>1</w:t>
            </w:r>
            <w:r>
              <w:rPr>
                <w:b/>
                <w:sz w:val="20"/>
                <w:szCs w:val="20"/>
              </w:rPr>
              <w:t>.2 ЕФИКАСАН ИНСПЕКЦИЈСКИ НАДЗОР</w:t>
            </w:r>
          </w:p>
        </w:tc>
        <w:tc>
          <w:tcPr>
            <w:tcW w:w="4341" w:type="dxa"/>
            <w:tcBorders>
              <w:top w:val="single" w:color="000000" w:sz="4" w:space="0"/>
              <w:left w:val="single" w:color="000000" w:sz="4" w:space="0"/>
              <w:right w:val="single" w:color="000000" w:sz="4" w:space="0"/>
            </w:tcBorders>
            <w:vAlign w:val="center"/>
          </w:tcPr>
          <w:p>
            <w:pPr>
              <w:rPr>
                <w:bCs/>
                <w:sz w:val="20"/>
                <w:szCs w:val="20"/>
                <w:lang w:val="bs-Latn-BA"/>
              </w:rPr>
            </w:pPr>
            <w:r>
              <w:rPr>
                <w:bCs/>
                <w:sz w:val="20"/>
                <w:szCs w:val="20"/>
              </w:rPr>
              <w:t>П.</w:t>
            </w:r>
            <w:r>
              <w:rPr>
                <w:bCs/>
                <w:sz w:val="20"/>
                <w:szCs w:val="20"/>
                <w:lang w:val="sr-Cyrl-CS"/>
              </w:rPr>
              <w:t xml:space="preserve"> </w:t>
            </w:r>
            <w:r>
              <w:rPr>
                <w:bCs/>
                <w:sz w:val="20"/>
                <w:szCs w:val="20"/>
                <w:lang w:val="sr-Cyrl-RS"/>
              </w:rPr>
              <w:t>2</w:t>
            </w:r>
            <w:r>
              <w:rPr>
                <w:bCs/>
                <w:sz w:val="20"/>
                <w:szCs w:val="20"/>
              </w:rPr>
              <w:t>.</w:t>
            </w:r>
            <w:r>
              <w:rPr>
                <w:bCs/>
                <w:sz w:val="20"/>
                <w:szCs w:val="20"/>
                <w:lang w:val="sr-Cyrl-RS"/>
              </w:rPr>
              <w:t>1</w:t>
            </w:r>
            <w:r>
              <w:rPr>
                <w:bCs/>
                <w:sz w:val="20"/>
                <w:szCs w:val="20"/>
              </w:rPr>
              <w:t>.2.1. Изра</w:t>
            </w:r>
            <w:r>
              <w:rPr>
                <w:bCs/>
                <w:sz w:val="20"/>
                <w:szCs w:val="20"/>
                <w:lang w:val="sr-Cyrl-CS"/>
              </w:rPr>
              <w:t xml:space="preserve">да интероперабилног модела за размјену података </w:t>
            </w:r>
            <w:r>
              <w:rPr>
                <w:bCs/>
                <w:sz w:val="20"/>
                <w:szCs w:val="20"/>
              </w:rPr>
              <w:t xml:space="preserve">за потребе Одјељења за инспекцијске послове </w:t>
            </w:r>
            <w:r>
              <w:rPr>
                <w:bCs/>
                <w:sz w:val="20"/>
                <w:szCs w:val="20"/>
                <w:lang w:val="sr-Cyrl-RS"/>
              </w:rPr>
              <w:t>(2019-2020.)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2.1.3 УНАПРЕЂЕЊЕ ЕФИКАСНОСТИ ФИНАНСИЈСКИХ ПРОЦЕДУРА И МЕХАНИЗАМА</w:t>
            </w: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lang w:val="sr-Cyrl-RS"/>
              </w:rPr>
            </w:pPr>
            <w:r>
              <w:rPr>
                <w:sz w:val="20"/>
                <w:lang w:val="sr-Cyrl-CS"/>
              </w:rPr>
              <w:t>П</w:t>
            </w:r>
            <w:r>
              <w:rPr>
                <w:sz w:val="20"/>
                <w:lang w:val="sr-Cyrl-RS"/>
              </w:rPr>
              <w:t>. 2</w:t>
            </w:r>
            <w:r>
              <w:rPr>
                <w:sz w:val="20"/>
                <w:lang w:val="bs-Latn-BA"/>
              </w:rPr>
              <w:t>.</w:t>
            </w:r>
            <w:r>
              <w:rPr>
                <w:sz w:val="20"/>
                <w:lang w:val="sr-Cyrl-RS"/>
              </w:rPr>
              <w:t>1</w:t>
            </w:r>
            <w:r>
              <w:rPr>
                <w:sz w:val="20"/>
                <w:lang w:val="bs-Latn-BA"/>
              </w:rPr>
              <w:t>.3.1</w:t>
            </w:r>
            <w:r>
              <w:rPr>
                <w:sz w:val="20"/>
                <w:lang w:val="sr-Cyrl-RS"/>
              </w:rPr>
              <w:t>.</w:t>
            </w:r>
            <w:r>
              <w:rPr>
                <w:sz w:val="20"/>
                <w:lang w:val="bs-Latn-BA"/>
              </w:rPr>
              <w:t xml:space="preserve"> Укључивање ГУ на тржиште хартија од вриједности</w:t>
            </w:r>
            <w:r>
              <w:rPr>
                <w:sz w:val="20"/>
                <w:lang w:val="sr-Cyrl-R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rPr>
            </w:pPr>
            <w:r>
              <w:rPr>
                <w:sz w:val="20"/>
                <w:lang w:val="sr-Cyrl-RS"/>
              </w:rPr>
              <w:t>П. 2</w:t>
            </w:r>
            <w:r>
              <w:rPr>
                <w:sz w:val="20"/>
                <w:lang w:val="bs-Latn-BA"/>
              </w:rPr>
              <w:t>.</w:t>
            </w:r>
            <w:r>
              <w:rPr>
                <w:sz w:val="20"/>
                <w:lang w:val="sr-Cyrl-RS"/>
              </w:rPr>
              <w:t>1</w:t>
            </w:r>
            <w:r>
              <w:rPr>
                <w:sz w:val="20"/>
                <w:lang w:val="bs-Latn-BA"/>
              </w:rPr>
              <w:t>.3.2</w:t>
            </w:r>
            <w:r>
              <w:rPr>
                <w:sz w:val="20"/>
                <w:lang w:val="sr-Cyrl-RS"/>
              </w:rPr>
              <w:t>.</w:t>
            </w:r>
            <w:r>
              <w:rPr>
                <w:sz w:val="20"/>
                <w:lang w:val="bs-Latn-BA"/>
              </w:rPr>
              <w:t xml:space="preserve"> Увођење система активног интегрисаног финансијског планирања (буџетирања)  и унапређење извршавања планираног буџета</w:t>
            </w:r>
            <w:r>
              <w:rPr>
                <w:sz w:val="20"/>
                <w:lang w:val="sr-Cyrl-R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lang w:val="sr-Cyrl-RS"/>
              </w:rPr>
              <w:t>П. 2</w:t>
            </w:r>
            <w:r>
              <w:rPr>
                <w:sz w:val="20"/>
                <w:lang w:val="bs-Latn-BA"/>
              </w:rPr>
              <w:t>.</w:t>
            </w:r>
            <w:r>
              <w:rPr>
                <w:sz w:val="20"/>
                <w:lang w:val="sr-Cyrl-RS"/>
              </w:rPr>
              <w:t>1</w:t>
            </w:r>
            <w:r>
              <w:rPr>
                <w:sz w:val="20"/>
                <w:lang w:val="bs-Latn-BA"/>
              </w:rPr>
              <w:t>.3.3</w:t>
            </w:r>
            <w:r>
              <w:rPr>
                <w:sz w:val="20"/>
                <w:lang w:val="sr-Cyrl-RS"/>
              </w:rPr>
              <w:t>.</w:t>
            </w:r>
            <w:r>
              <w:rPr>
                <w:sz w:val="20"/>
                <w:lang w:val="bs-Latn-BA"/>
              </w:rPr>
              <w:t xml:space="preserve"> Увођење јединственог система фактурисања и праћења наплате прихода по актима надлежних организационих јединица Градске управе</w:t>
            </w:r>
            <w:r>
              <w:rPr>
                <w:sz w:val="20"/>
                <w:lang w:val="sr-Cyrl-RS"/>
              </w:rPr>
              <w:t xml:space="preserve"> (2018-2020.)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BA"/>
              </w:rPr>
            </w:pPr>
            <w:r>
              <w:rPr>
                <w:bCs/>
                <w:sz w:val="20"/>
                <w:lang w:val="sr-Cyrl-BA"/>
              </w:rPr>
              <w:t xml:space="preserve">М. 2.1.3.4. Планирање средстава за подршку пројектима који су одобрени од домаћих и међународних организација/институција </w:t>
            </w:r>
          </w:p>
          <w:p>
            <w:pPr>
              <w:rPr>
                <w:bCs/>
                <w:sz w:val="20"/>
                <w:szCs w:val="20"/>
                <w:lang w:val="sr-Cyrl-BA"/>
              </w:rPr>
            </w:pPr>
            <w:r>
              <w:rPr>
                <w:bCs/>
                <w:sz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sr-Cyrl-BA"/>
              </w:rPr>
            </w:pPr>
            <w:r>
              <w:rPr>
                <w:sz w:val="20"/>
                <w:lang w:val="sr-Cyrl-RS"/>
              </w:rPr>
              <w:t>П. 2.1.3.5. Ширење обухвата пореских обвезника пореза на непокретности и јачање сарадње са Пореском управом РС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4901" w:type="dxa"/>
            <w:vMerge w:val="restart"/>
            <w:tcBorders>
              <w:left w:val="single" w:color="000000" w:sz="4" w:space="0"/>
              <w:right w:val="single" w:color="000000" w:sz="4" w:space="0"/>
            </w:tcBorders>
            <w:vAlign w:val="center"/>
          </w:tcPr>
          <w:p>
            <w:pPr>
              <w:rPr>
                <w:b/>
                <w:sz w:val="20"/>
                <w:szCs w:val="20"/>
              </w:rPr>
            </w:pPr>
            <w:r>
              <w:rPr>
                <w:b/>
                <w:sz w:val="20"/>
                <w:szCs w:val="20"/>
              </w:rPr>
              <w:t xml:space="preserve">ПРОГРАМ </w:t>
            </w:r>
            <w:r>
              <w:rPr>
                <w:b/>
                <w:sz w:val="20"/>
                <w:szCs w:val="20"/>
                <w:lang w:val="sr-Cyrl-RS"/>
              </w:rPr>
              <w:t>2</w:t>
            </w:r>
            <w:r>
              <w:rPr>
                <w:b/>
                <w:sz w:val="20"/>
                <w:szCs w:val="20"/>
              </w:rPr>
              <w:t>.</w:t>
            </w:r>
            <w:r>
              <w:rPr>
                <w:b/>
                <w:sz w:val="20"/>
                <w:szCs w:val="20"/>
                <w:lang w:val="sr-Cyrl-RS"/>
              </w:rPr>
              <w:t>1</w:t>
            </w:r>
            <w:r>
              <w:rPr>
                <w:b/>
                <w:sz w:val="20"/>
                <w:szCs w:val="20"/>
              </w:rPr>
              <w:t>.4 ЕФИКАСНО</w:t>
            </w:r>
            <w:r>
              <w:rPr>
                <w:b/>
                <w:sz w:val="20"/>
                <w:szCs w:val="20"/>
                <w:lang w:val="sr-Cyrl-CS"/>
              </w:rPr>
              <w:t xml:space="preserve"> </w:t>
            </w:r>
            <w:r>
              <w:rPr>
                <w:b/>
                <w:sz w:val="20"/>
                <w:szCs w:val="20"/>
              </w:rPr>
              <w:t xml:space="preserve"> ПРОСТОРНО И УРБАНИСТИЧКО ПЛАНИРАЊЕ</w:t>
            </w:r>
            <w:r>
              <w:rPr>
                <w:rFonts w:ascii="Times New Roman" w:hAnsi="Times New Roman"/>
                <w:sz w:val="20"/>
                <w:szCs w:val="20"/>
              </w:rPr>
              <w:t xml:space="preserve"> </w:t>
            </w:r>
          </w:p>
        </w:tc>
        <w:tc>
          <w:tcPr>
            <w:tcW w:w="4341" w:type="dxa"/>
            <w:tcBorders>
              <w:top w:val="single" w:color="000000" w:sz="4" w:space="0"/>
              <w:left w:val="single" w:color="000000" w:sz="4" w:space="0"/>
              <w:bottom w:val="single" w:color="000000" w:sz="4" w:space="0"/>
              <w:right w:val="single" w:color="000000" w:sz="4" w:space="0"/>
            </w:tcBorders>
          </w:tcPr>
          <w:p>
            <w:pPr>
              <w:rPr>
                <w:color w:val="FF0000"/>
                <w:sz w:val="20"/>
                <w:szCs w:val="20"/>
                <w:lang w:val="sr-Cyrl-BA"/>
              </w:rPr>
            </w:pPr>
            <w:r>
              <w:rPr>
                <w:sz w:val="20"/>
                <w:lang w:val="sr-Cyrl-BA"/>
              </w:rPr>
              <w:t>П. 2.1.4.1 Израда Урбанистичког плана града за период од 20 година (2018-2020.)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bs-Latn-BA"/>
              </w:rPr>
            </w:pPr>
            <w:r>
              <w:rPr>
                <w:sz w:val="20"/>
                <w:lang w:val="bs-Latn-BA"/>
              </w:rPr>
              <w:t>П</w:t>
            </w:r>
            <w:r>
              <w:rPr>
                <w:sz w:val="20"/>
                <w:lang w:val="sr-Cyrl-RS"/>
              </w:rPr>
              <w:t>.</w:t>
            </w:r>
            <w:r>
              <w:rPr>
                <w:sz w:val="20"/>
                <w:lang w:val="bs-Latn-BA"/>
              </w:rPr>
              <w:t xml:space="preserve"> </w:t>
            </w:r>
            <w:r>
              <w:rPr>
                <w:sz w:val="20"/>
                <w:lang w:val="sr-Cyrl-RS"/>
              </w:rPr>
              <w:t>2</w:t>
            </w:r>
            <w:r>
              <w:rPr>
                <w:sz w:val="20"/>
                <w:lang w:val="bs-Latn-BA"/>
              </w:rPr>
              <w:t>.</w:t>
            </w:r>
            <w:r>
              <w:rPr>
                <w:sz w:val="20"/>
                <w:lang w:val="sr-Cyrl-RS"/>
              </w:rPr>
              <w:t>1</w:t>
            </w:r>
            <w:r>
              <w:rPr>
                <w:sz w:val="20"/>
                <w:lang w:val="bs-Latn-BA"/>
              </w:rPr>
              <w:t>.4.</w:t>
            </w:r>
            <w:r>
              <w:rPr>
                <w:sz w:val="20"/>
                <w:lang w:val="sr-Cyrl-RS"/>
              </w:rPr>
              <w:t>2</w:t>
            </w:r>
            <w:r>
              <w:rPr>
                <w:sz w:val="20"/>
                <w:lang w:val="bs-Latn-BA"/>
              </w:rPr>
              <w:t xml:space="preserve"> </w:t>
            </w:r>
            <w:r>
              <w:rPr>
                <w:sz w:val="20"/>
                <w:lang w:val="sr-Cyrl-RS"/>
              </w:rPr>
              <w:t xml:space="preserve">Израда </w:t>
            </w:r>
            <w:r>
              <w:rPr>
                <w:sz w:val="20"/>
                <w:lang w:val="bs-Latn-BA"/>
              </w:rPr>
              <w:t>Студиј</w:t>
            </w:r>
            <w:r>
              <w:rPr>
                <w:sz w:val="20"/>
                <w:lang w:val="sr-Cyrl-RS"/>
              </w:rPr>
              <w:t>е</w:t>
            </w:r>
            <w:r>
              <w:rPr>
                <w:sz w:val="20"/>
                <w:lang w:val="bs-Latn-BA"/>
              </w:rPr>
              <w:t xml:space="preserve"> о намјени зона/дистрикта у граду </w:t>
            </w:r>
            <w:r>
              <w:rPr>
                <w:sz w:val="20"/>
                <w:lang w:val="sr-Cyrl-BA"/>
              </w:rPr>
              <w:t>(2020-2021.)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rPr>
            </w:pPr>
            <w:r>
              <w:rPr>
                <w:sz w:val="20"/>
                <w:lang w:val="sr-Cyrl-RS"/>
              </w:rPr>
              <w:t>М. 2</w:t>
            </w:r>
            <w:r>
              <w:rPr>
                <w:sz w:val="20"/>
                <w:lang w:val="bs-Latn-BA"/>
              </w:rPr>
              <w:t>.</w:t>
            </w:r>
            <w:r>
              <w:rPr>
                <w:sz w:val="20"/>
                <w:lang w:val="sr-Cyrl-RS"/>
              </w:rPr>
              <w:t>1</w:t>
            </w:r>
            <w:r>
              <w:rPr>
                <w:sz w:val="20"/>
                <w:lang w:val="bs-Latn-BA"/>
              </w:rPr>
              <w:t>.4.</w:t>
            </w:r>
            <w:r>
              <w:rPr>
                <w:sz w:val="20"/>
                <w:lang w:val="sr-Cyrl-RS"/>
              </w:rPr>
              <w:t xml:space="preserve">3 </w:t>
            </w:r>
            <w:r>
              <w:rPr>
                <w:sz w:val="20"/>
                <w:lang w:val="bs-Latn-BA"/>
              </w:rPr>
              <w:t>Израда регулационих планова</w:t>
            </w:r>
            <w:r>
              <w:rPr>
                <w:sz w:val="20"/>
                <w:lang w:val="sr-Cyrl-RS"/>
              </w:rPr>
              <w:t xml:space="preserve"> </w:t>
            </w:r>
          </w:p>
          <w:p>
            <w:pPr>
              <w:rPr>
                <w:sz w:val="20"/>
                <w:szCs w:val="20"/>
                <w:lang w:val="sr-Cyrl-RS"/>
              </w:rPr>
            </w:pPr>
            <w:r>
              <w:rPr>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lang w:val="sr-Cyrl-RS"/>
              </w:rPr>
            </w:pPr>
            <w:r>
              <w:rPr>
                <w:bCs/>
                <w:sz w:val="20"/>
                <w:lang w:val="bs-Latn-BA"/>
              </w:rPr>
              <w:t>П.</w:t>
            </w:r>
            <w:r>
              <w:rPr>
                <w:bCs/>
                <w:sz w:val="20"/>
                <w:lang w:val="sr-Cyrl-RS"/>
              </w:rPr>
              <w:t xml:space="preserve"> 2</w:t>
            </w:r>
            <w:r>
              <w:rPr>
                <w:bCs/>
                <w:sz w:val="20"/>
                <w:lang w:val="bs-Latn-BA"/>
              </w:rPr>
              <w:t>.</w:t>
            </w:r>
            <w:r>
              <w:rPr>
                <w:bCs/>
                <w:sz w:val="20"/>
                <w:lang w:val="sr-Cyrl-RS"/>
              </w:rPr>
              <w:t>1</w:t>
            </w:r>
            <w:r>
              <w:rPr>
                <w:bCs/>
                <w:sz w:val="20"/>
                <w:lang w:val="bs-Latn-BA"/>
              </w:rPr>
              <w:t>.4.</w:t>
            </w:r>
            <w:r>
              <w:rPr>
                <w:bCs/>
                <w:sz w:val="20"/>
                <w:lang w:val="sr-Cyrl-RS"/>
              </w:rPr>
              <w:t>4</w:t>
            </w:r>
            <w:r>
              <w:rPr>
                <w:bCs/>
                <w:sz w:val="20"/>
                <w:lang w:val="bs-Latn-BA"/>
              </w:rPr>
              <w:t xml:space="preserve"> </w:t>
            </w:r>
            <w:r>
              <w:rPr>
                <w:bCs/>
                <w:sz w:val="20"/>
                <w:lang w:val="sr-Cyrl-RS"/>
              </w:rPr>
              <w:t>Развој</w:t>
            </w:r>
            <w:r>
              <w:rPr>
                <w:bCs/>
                <w:sz w:val="20"/>
                <w:lang w:val="bs-Latn-BA"/>
              </w:rPr>
              <w:t xml:space="preserve"> и примјена ГИС технологија у оквиру </w:t>
            </w:r>
            <w:r>
              <w:rPr>
                <w:bCs/>
                <w:sz w:val="20"/>
                <w:lang w:val="sr-Cyrl-RS"/>
              </w:rPr>
              <w:t>Градске управе</w:t>
            </w:r>
            <w:r>
              <w:rPr>
                <w:bCs/>
                <w:sz w:val="20"/>
                <w:lang w:val="bs-Latn-BA"/>
              </w:rPr>
              <w:t xml:space="preserve"> </w:t>
            </w:r>
            <w:r>
              <w:rPr>
                <w:bCs/>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lang w:val="sr-Cyrl-RS"/>
              </w:rPr>
              <w:t>М. 2</w:t>
            </w:r>
            <w:r>
              <w:rPr>
                <w:sz w:val="20"/>
                <w:lang w:val="bs-Latn-BA"/>
              </w:rPr>
              <w:t>.</w:t>
            </w:r>
            <w:r>
              <w:rPr>
                <w:sz w:val="20"/>
                <w:lang w:val="sr-Cyrl-RS"/>
              </w:rPr>
              <w:t>1</w:t>
            </w:r>
            <w:r>
              <w:rPr>
                <w:sz w:val="20"/>
                <w:lang w:val="bs-Latn-BA"/>
              </w:rPr>
              <w:t>.4.</w:t>
            </w:r>
            <w:r>
              <w:rPr>
                <w:sz w:val="20"/>
                <w:lang w:val="sr-Cyrl-RS"/>
              </w:rPr>
              <w:t>5</w:t>
            </w:r>
            <w:r>
              <w:rPr>
                <w:sz w:val="20"/>
                <w:lang w:val="bs-Latn-BA"/>
              </w:rPr>
              <w:t xml:space="preserve"> Легализација нелегално изграђених објеката</w:t>
            </w:r>
            <w:r>
              <w:rPr>
                <w:sz w:val="20"/>
                <w:lang w:val="sr-Cyrl-R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2.2.1  ПАМЕТНА РЈЕШЕЊА ЗА ГРАЂАНЕ</w:t>
            </w: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lang w:val="sr-Cyrl-RS"/>
              </w:rPr>
            </w:pPr>
            <w:r>
              <w:rPr>
                <w:sz w:val="20"/>
                <w:lang w:val="bs-Latn-BA"/>
              </w:rPr>
              <w:t>П.2.</w:t>
            </w:r>
            <w:r>
              <w:rPr>
                <w:sz w:val="20"/>
                <w:lang w:val="sr-Cyrl-RS"/>
              </w:rPr>
              <w:t>2</w:t>
            </w:r>
            <w:r>
              <w:rPr>
                <w:sz w:val="20"/>
                <w:lang w:val="bs-Latn-BA"/>
              </w:rPr>
              <w:t>.1.1. Увођење приступних тачака за бесплатан бежични интернет у  град Бања Лука</w:t>
            </w:r>
            <w:r>
              <w:rPr>
                <w:sz w:val="20"/>
                <w:lang w:val="sr-Cyrl-RS"/>
              </w:rPr>
              <w:t xml:space="preserve"> (2020-2022.)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sr-Cyrl-R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spacing w:before="120" w:after="120"/>
              <w:rPr>
                <w:rFonts w:cs="Calibri"/>
                <w:sz w:val="20"/>
                <w:szCs w:val="20"/>
                <w:lang w:val="sr-Cyrl-RS"/>
              </w:rPr>
            </w:pPr>
            <w:r>
              <w:rPr>
                <w:rFonts w:cs="Calibri"/>
                <w:sz w:val="20"/>
                <w:lang w:val="sr-Cyrl-RS"/>
              </w:rPr>
              <w:t xml:space="preserve">П. 2.2.1.2. </w:t>
            </w:r>
            <w:r>
              <w:rPr>
                <w:rFonts w:cs="Calibri"/>
                <w:sz w:val="20"/>
                <w:lang w:val="bs-Latn-BA"/>
              </w:rPr>
              <w:t>Едукативни програми за грађане за коришћење иновативних технологија</w:t>
            </w:r>
            <w:r>
              <w:rPr>
                <w:rFonts w:cs="Calibri"/>
                <w:sz w:val="20"/>
                <w:lang w:val="sr-Cyrl-R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sr-Cyrl-R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spacing w:before="120" w:after="120"/>
              <w:rPr>
                <w:rFonts w:cs="Calibri"/>
                <w:sz w:val="20"/>
                <w:szCs w:val="20"/>
                <w:lang w:val="sr-Cyrl-RS"/>
              </w:rPr>
            </w:pPr>
            <w:r>
              <w:rPr>
                <w:rFonts w:cs="Calibri"/>
                <w:sz w:val="20"/>
                <w:lang w:val="sr-Cyrl-RS"/>
              </w:rPr>
              <w:t>П.</w:t>
            </w:r>
            <w:bookmarkStart w:id="146" w:name="_Hlk523901836"/>
            <w:r>
              <w:rPr>
                <w:rFonts w:cs="Calibri"/>
                <w:sz w:val="20"/>
                <w:lang w:val="sr-Cyrl-RS"/>
              </w:rPr>
              <w:t xml:space="preserve">2.2.1.3. </w:t>
            </w:r>
            <w:bookmarkEnd w:id="146"/>
            <w:r>
              <w:rPr>
                <w:rFonts w:cs="Calibri"/>
                <w:sz w:val="20"/>
                <w:lang w:val="sr-Cyrl-RS"/>
              </w:rPr>
              <w:t>Промоција Града путем друштвених мрежа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sr-Cyrl-R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lang w:val="sr-Cyrl-RS"/>
              </w:rPr>
            </w:pPr>
            <w:r>
              <w:rPr>
                <w:bCs/>
                <w:sz w:val="20"/>
                <w:lang w:val="bs-Latn-BA"/>
              </w:rPr>
              <w:t>П.</w:t>
            </w:r>
            <w:r>
              <w:rPr>
                <w:bCs/>
                <w:sz w:val="20"/>
                <w:lang w:val="sr-Cyrl-CS"/>
              </w:rPr>
              <w:t xml:space="preserve"> </w:t>
            </w:r>
            <w:r>
              <w:rPr>
                <w:bCs/>
                <w:sz w:val="20"/>
                <w:lang w:val="bs-Latn-BA"/>
              </w:rPr>
              <w:t>2.</w:t>
            </w:r>
            <w:r>
              <w:rPr>
                <w:bCs/>
                <w:sz w:val="20"/>
                <w:lang w:val="sr-Cyrl-CS"/>
              </w:rPr>
              <w:t>2</w:t>
            </w:r>
            <w:r>
              <w:rPr>
                <w:bCs/>
                <w:sz w:val="20"/>
                <w:lang w:val="bs-Latn-BA"/>
              </w:rPr>
              <w:t>.1.</w:t>
            </w:r>
            <w:r>
              <w:rPr>
                <w:bCs/>
                <w:sz w:val="20"/>
                <w:lang w:val="sr-Cyrl-RS"/>
              </w:rPr>
              <w:t>4</w:t>
            </w:r>
            <w:r>
              <w:rPr>
                <w:bCs/>
                <w:sz w:val="20"/>
                <w:lang w:val="bs-Latn-BA"/>
              </w:rPr>
              <w:t xml:space="preserve">. </w:t>
            </w:r>
            <w:r>
              <w:rPr>
                <w:i/>
                <w:sz w:val="20"/>
                <w:lang w:val="bs-Latn-BA"/>
              </w:rPr>
              <w:t>Културни зид</w:t>
            </w:r>
            <w:r>
              <w:rPr>
                <w:sz w:val="20"/>
                <w:lang w:val="bs-Latn-BA"/>
              </w:rPr>
              <w:t xml:space="preserve"> -  веб платформа са детаљним информацијама о свим догађајима, програмима и пројектима који се одвијају на територији Града </w:t>
            </w:r>
            <w:r>
              <w:rPr>
                <w:sz w:val="20"/>
                <w:lang w:val="sr-Cyrl-RS"/>
              </w:rPr>
              <w:t>(2019-2020)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hr-BA"/>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bs-Latn-BA"/>
              </w:rPr>
            </w:pPr>
            <w:r>
              <w:rPr>
                <w:bCs/>
                <w:sz w:val="20"/>
                <w:lang w:val="bs-Latn-BA"/>
              </w:rPr>
              <w:t>М</w:t>
            </w:r>
            <w:r>
              <w:rPr>
                <w:bCs/>
                <w:sz w:val="20"/>
                <w:lang w:val="sr-Cyrl-CS"/>
              </w:rPr>
              <w:t>.</w:t>
            </w:r>
            <w:r>
              <w:rPr>
                <w:bCs/>
                <w:sz w:val="20"/>
                <w:lang w:val="bs-Latn-BA"/>
              </w:rPr>
              <w:t xml:space="preserve"> 2.</w:t>
            </w:r>
            <w:r>
              <w:rPr>
                <w:bCs/>
                <w:sz w:val="20"/>
                <w:lang w:val="sr-Cyrl-CS"/>
              </w:rPr>
              <w:t>2</w:t>
            </w:r>
            <w:r>
              <w:rPr>
                <w:bCs/>
                <w:sz w:val="20"/>
                <w:lang w:val="bs-Latn-BA"/>
              </w:rPr>
              <w:t>.</w:t>
            </w:r>
            <w:r>
              <w:rPr>
                <w:bCs/>
                <w:sz w:val="20"/>
                <w:lang w:val="sr-Cyrl-CS"/>
              </w:rPr>
              <w:t>1.5</w:t>
            </w:r>
            <w:r>
              <w:rPr>
                <w:bCs/>
                <w:sz w:val="20"/>
                <w:lang w:val="bs-Latn-BA"/>
              </w:rPr>
              <w:t>. Примјена и даљ</w:t>
            </w:r>
            <w:r>
              <w:rPr>
                <w:bCs/>
                <w:sz w:val="20"/>
                <w:lang w:val="sr-Cyrl-CS"/>
              </w:rPr>
              <w:t xml:space="preserve">а надоградња система „Грађанска патрола“ </w:t>
            </w:r>
            <w:r>
              <w:rPr>
                <w:bCs/>
                <w:i/>
                <w:sz w:val="20"/>
                <w:lang w:val="sr-Cyrl-CS"/>
              </w:rPr>
              <w:t xml:space="preserve"> </w:t>
            </w:r>
            <w:r>
              <w:rPr>
                <w:bCs/>
                <w:sz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hr-BA"/>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sr-Cyrl-CS"/>
              </w:rPr>
            </w:pPr>
            <w:r>
              <w:rPr>
                <w:bCs/>
                <w:sz w:val="20"/>
                <w:lang w:val="sr-Cyrl-CS"/>
              </w:rPr>
              <w:t>М. 2.2.1.6. Развој и унапређење „Интерактивне мапе реализованих пројеката“</w:t>
            </w:r>
            <w:r>
              <w:rPr>
                <w:bCs/>
                <w:i/>
                <w:sz w:val="20"/>
                <w:lang w:val="sr-Cyrl-CS"/>
              </w:rPr>
              <w:t xml:space="preserve"> </w:t>
            </w:r>
            <w:r>
              <w:rPr>
                <w:bCs/>
                <w:sz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rPr>
            </w:pPr>
            <w:r>
              <w:rPr>
                <w:b/>
                <w:sz w:val="20"/>
                <w:szCs w:val="20"/>
              </w:rPr>
              <w:t>ПРОГРАМ 2.</w:t>
            </w:r>
            <w:r>
              <w:rPr>
                <w:b/>
                <w:sz w:val="20"/>
                <w:szCs w:val="20"/>
                <w:lang w:val="sr-Cyrl-RS"/>
              </w:rPr>
              <w:t>2</w:t>
            </w:r>
            <w:r>
              <w:rPr>
                <w:b/>
                <w:sz w:val="20"/>
                <w:szCs w:val="20"/>
              </w:rPr>
              <w:t>.</w:t>
            </w:r>
            <w:r>
              <w:rPr>
                <w:b/>
                <w:sz w:val="20"/>
                <w:szCs w:val="20"/>
                <w:lang w:val="sr-Latn-RS"/>
              </w:rPr>
              <w:t>2</w:t>
            </w:r>
            <w:r>
              <w:rPr>
                <w:b/>
                <w:sz w:val="20"/>
                <w:szCs w:val="20"/>
              </w:rPr>
              <w:t xml:space="preserve"> МОДЕРНИЗАЦИЈА </w:t>
            </w:r>
            <w:r>
              <w:rPr>
                <w:b/>
                <w:sz w:val="20"/>
                <w:szCs w:val="20"/>
                <w:lang w:val="sr-Cyrl-CS"/>
              </w:rPr>
              <w:t>САОБРАЋАЈНОГ СИСТЕМА</w:t>
            </w:r>
            <w:r>
              <w:rPr>
                <w:sz w:val="20"/>
                <w:szCs w:val="20"/>
              </w:rPr>
              <w:t xml:space="preserve">  </w:t>
            </w: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bs-Cyrl-BA"/>
              </w:rPr>
            </w:pPr>
            <w:r>
              <w:rPr>
                <w:bCs/>
                <w:sz w:val="20"/>
                <w:lang w:val="bs-Cyrl-BA"/>
              </w:rPr>
              <w:t>М. 2.2.2.1. Унапређење јавног путничког саобраћаја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sr-Cyrl-RS"/>
              </w:rPr>
            </w:pPr>
            <w:r>
              <w:rPr>
                <w:bCs/>
                <w:sz w:val="20"/>
                <w:lang w:val="bs-Latn-BA"/>
              </w:rPr>
              <w:t>П.</w:t>
            </w:r>
            <w:r>
              <w:rPr>
                <w:bCs/>
                <w:sz w:val="20"/>
                <w:lang w:val="sr-Cyrl-CS"/>
              </w:rPr>
              <w:t xml:space="preserve"> </w:t>
            </w:r>
            <w:r>
              <w:rPr>
                <w:bCs/>
                <w:sz w:val="20"/>
                <w:lang w:val="bs-Latn-BA"/>
              </w:rPr>
              <w:t>2.</w:t>
            </w:r>
            <w:r>
              <w:rPr>
                <w:bCs/>
                <w:sz w:val="20"/>
                <w:lang w:val="sr-Cyrl-RS"/>
              </w:rPr>
              <w:t>2</w:t>
            </w:r>
            <w:r>
              <w:rPr>
                <w:bCs/>
                <w:sz w:val="20"/>
                <w:lang w:val="bs-Latn-BA"/>
              </w:rPr>
              <w:t>.</w:t>
            </w:r>
            <w:r>
              <w:rPr>
                <w:bCs/>
                <w:sz w:val="20"/>
                <w:lang w:val="sr-Latn-RS"/>
              </w:rPr>
              <w:t>2</w:t>
            </w:r>
            <w:r>
              <w:rPr>
                <w:bCs/>
                <w:sz w:val="20"/>
                <w:lang w:val="bs-Latn-BA"/>
              </w:rPr>
              <w:t>.</w:t>
            </w:r>
            <w:r>
              <w:rPr>
                <w:bCs/>
                <w:sz w:val="20"/>
                <w:lang w:val="sr-Latn-RS"/>
              </w:rPr>
              <w:t>2</w:t>
            </w:r>
            <w:r>
              <w:rPr>
                <w:bCs/>
                <w:sz w:val="20"/>
                <w:lang w:val="bs-Latn-BA"/>
              </w:rPr>
              <w:t xml:space="preserve">. Уведен систем за показивање заузетости паркиралишта </w:t>
            </w:r>
            <w:r>
              <w:rPr>
                <w:bCs/>
                <w:sz w:val="20"/>
                <w:lang w:val="sr-Cyrl-RS"/>
              </w:rPr>
              <w:t xml:space="preserve"> (20</w:t>
            </w:r>
            <w:r>
              <w:rPr>
                <w:bCs/>
                <w:sz w:val="20"/>
              </w:rPr>
              <w:t>19</w:t>
            </w:r>
            <w:r>
              <w:rPr>
                <w:bCs/>
                <w:sz w:val="20"/>
                <w:lang w:val="sr-Cyrl-RS"/>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sr-Cyrl-RS"/>
              </w:rPr>
            </w:pPr>
            <w:r>
              <w:rPr>
                <w:bCs/>
                <w:sz w:val="20"/>
                <w:lang w:val="bs-Latn-BA"/>
              </w:rPr>
              <w:t>П.</w:t>
            </w:r>
            <w:r>
              <w:rPr>
                <w:bCs/>
                <w:sz w:val="20"/>
                <w:lang w:val="sr-Cyrl-CS"/>
              </w:rPr>
              <w:t xml:space="preserve"> </w:t>
            </w:r>
            <w:r>
              <w:rPr>
                <w:bCs/>
                <w:sz w:val="20"/>
                <w:lang w:val="bs-Latn-BA"/>
              </w:rPr>
              <w:t>2.</w:t>
            </w:r>
            <w:r>
              <w:rPr>
                <w:bCs/>
                <w:sz w:val="20"/>
                <w:lang w:val="sr-Cyrl-RS"/>
              </w:rPr>
              <w:t>2</w:t>
            </w:r>
            <w:r>
              <w:rPr>
                <w:bCs/>
                <w:sz w:val="20"/>
                <w:lang w:val="bs-Latn-BA"/>
              </w:rPr>
              <w:t>.</w:t>
            </w:r>
            <w:r>
              <w:rPr>
                <w:bCs/>
                <w:sz w:val="20"/>
                <w:lang w:val="sr-Latn-RS"/>
              </w:rPr>
              <w:t>2</w:t>
            </w:r>
            <w:r>
              <w:rPr>
                <w:bCs/>
                <w:sz w:val="20"/>
                <w:lang w:val="bs-Latn-BA"/>
              </w:rPr>
              <w:t>.</w:t>
            </w:r>
            <w:r>
              <w:rPr>
                <w:bCs/>
                <w:sz w:val="20"/>
                <w:lang w:val="sr-Cyrl-CS"/>
              </w:rPr>
              <w:t>3</w:t>
            </w:r>
            <w:r>
              <w:rPr>
                <w:bCs/>
                <w:sz w:val="20"/>
                <w:lang w:val="bs-Latn-BA"/>
              </w:rPr>
              <w:t xml:space="preserve">. Постављени јавни пуњачи за електрична возила </w:t>
            </w:r>
            <w:r>
              <w:rPr>
                <w:bCs/>
                <w:sz w:val="20"/>
                <w:lang w:val="sr-Cyrl-RS"/>
              </w:rPr>
              <w:t>(2018-202</w:t>
            </w:r>
            <w:r>
              <w:rPr>
                <w:bCs/>
                <w:sz w:val="20"/>
                <w:lang w:val="bs-Latn-BA"/>
              </w:rPr>
              <w:t>1</w:t>
            </w:r>
            <w:r>
              <w:rPr>
                <w:bCs/>
                <w:sz w:val="20"/>
                <w:lang w:val="sr-Cyrl-R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lang w:val="sr-Cyrl-RS"/>
              </w:rPr>
            </w:pPr>
            <w:r>
              <w:rPr>
                <w:bCs/>
                <w:sz w:val="20"/>
                <w:lang w:val="bs-Latn-BA"/>
              </w:rPr>
              <w:t>П</w:t>
            </w:r>
            <w:r>
              <w:rPr>
                <w:bCs/>
                <w:sz w:val="20"/>
                <w:lang w:val="sr-Cyrl-CS"/>
              </w:rPr>
              <w:t xml:space="preserve">. </w:t>
            </w:r>
            <w:r>
              <w:rPr>
                <w:bCs/>
                <w:sz w:val="20"/>
                <w:lang w:val="sr-Latn-RS"/>
              </w:rPr>
              <w:t>2</w:t>
            </w:r>
            <w:r>
              <w:rPr>
                <w:bCs/>
                <w:sz w:val="20"/>
                <w:lang w:val="bs-Latn-BA"/>
              </w:rPr>
              <w:t>.</w:t>
            </w:r>
            <w:r>
              <w:rPr>
                <w:bCs/>
                <w:sz w:val="20"/>
                <w:lang w:val="sr-Cyrl-RS"/>
              </w:rPr>
              <w:t>2</w:t>
            </w:r>
            <w:r>
              <w:rPr>
                <w:bCs/>
                <w:sz w:val="20"/>
                <w:lang w:val="bs-Latn-BA"/>
              </w:rPr>
              <w:t>.2.</w:t>
            </w:r>
            <w:r>
              <w:rPr>
                <w:bCs/>
                <w:sz w:val="20"/>
                <w:lang w:val="sr-Cyrl-CS"/>
              </w:rPr>
              <w:t>4</w:t>
            </w:r>
            <w:r>
              <w:rPr>
                <w:bCs/>
                <w:sz w:val="20"/>
                <w:lang w:val="bs-Latn-BA"/>
              </w:rPr>
              <w:t xml:space="preserve">.  Изградња стајалишта за јавни правоз путника са дисплејима </w:t>
            </w:r>
            <w:r>
              <w:rPr>
                <w:rFonts w:eastAsia="Times New Roman"/>
                <w:sz w:val="20"/>
                <w:lang w:val="sr-Cyrl-RS" w:eastAsia="sr-Latn-CS"/>
              </w:rPr>
              <w:t>(2018-2020.)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bookmarkStart w:id="147" w:name="_Hlk526755507"/>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lang w:val="sr-Cyrl-RS"/>
              </w:rPr>
              <w:t xml:space="preserve">П. </w:t>
            </w:r>
            <w:r>
              <w:rPr>
                <w:bCs/>
                <w:sz w:val="20"/>
                <w:lang w:val="bs-Latn-BA"/>
              </w:rPr>
              <w:t>2.</w:t>
            </w:r>
            <w:r>
              <w:rPr>
                <w:bCs/>
                <w:sz w:val="20"/>
                <w:lang w:val="sr-Cyrl-RS"/>
              </w:rPr>
              <w:t>2</w:t>
            </w:r>
            <w:r>
              <w:rPr>
                <w:bCs/>
                <w:sz w:val="20"/>
                <w:lang w:val="bs-Latn-BA"/>
              </w:rPr>
              <w:t>.</w:t>
            </w:r>
            <w:r>
              <w:rPr>
                <w:bCs/>
                <w:sz w:val="20"/>
                <w:lang w:val="sr-Latn-RS"/>
              </w:rPr>
              <w:t>2</w:t>
            </w:r>
            <w:r>
              <w:rPr>
                <w:bCs/>
                <w:sz w:val="20"/>
                <w:lang w:val="bs-Latn-BA"/>
              </w:rPr>
              <w:t>.</w:t>
            </w:r>
            <w:r>
              <w:rPr>
                <w:bCs/>
                <w:sz w:val="20"/>
                <w:lang w:val="sr-Cyrl-CS"/>
              </w:rPr>
              <w:t>5</w:t>
            </w:r>
            <w:r>
              <w:rPr>
                <w:bCs/>
                <w:sz w:val="20"/>
                <w:lang w:val="sr-Cyrl-RS"/>
              </w:rPr>
              <w:t>.</w:t>
            </w:r>
            <w:r>
              <w:rPr>
                <w:bCs/>
                <w:sz w:val="20"/>
                <w:lang w:val="bs-Latn-BA"/>
              </w:rPr>
              <w:t xml:space="preserve"> Увођење електронског система за издавање и наплату аутобуских карата</w:t>
            </w:r>
            <w:r>
              <w:rPr>
                <w:bCs/>
                <w:sz w:val="20"/>
                <w:lang w:val="sr-Cyrl-RS"/>
              </w:rPr>
              <w:t xml:space="preserve">  (2022.)</w:t>
            </w:r>
          </w:p>
        </w:tc>
      </w:tr>
      <w:bookmarkEnd w:id="147"/>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bs-Latn-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bs-Latn-BA"/>
              </w:rPr>
            </w:pPr>
            <w:r>
              <w:rPr>
                <w:bCs/>
                <w:sz w:val="20"/>
                <w:lang w:val="sr-Cyrl-RS"/>
              </w:rPr>
              <w:t xml:space="preserve">П. </w:t>
            </w:r>
            <w:r>
              <w:rPr>
                <w:bCs/>
                <w:sz w:val="20"/>
                <w:lang w:val="bs-Latn-BA"/>
              </w:rPr>
              <w:t>2.</w:t>
            </w:r>
            <w:r>
              <w:rPr>
                <w:bCs/>
                <w:sz w:val="20"/>
                <w:lang w:val="sr-Cyrl-RS"/>
              </w:rPr>
              <w:t>2</w:t>
            </w:r>
            <w:r>
              <w:rPr>
                <w:bCs/>
                <w:sz w:val="20"/>
                <w:lang w:val="bs-Latn-BA"/>
              </w:rPr>
              <w:t>.</w:t>
            </w:r>
            <w:r>
              <w:rPr>
                <w:bCs/>
                <w:sz w:val="20"/>
                <w:lang w:val="sr-Latn-RS"/>
              </w:rPr>
              <w:t>2</w:t>
            </w:r>
            <w:r>
              <w:rPr>
                <w:bCs/>
                <w:sz w:val="20"/>
                <w:lang w:val="bs-Latn-BA"/>
              </w:rPr>
              <w:t xml:space="preserve">.6. Увођење  </w:t>
            </w:r>
            <w:r>
              <w:rPr>
                <w:i/>
                <w:sz w:val="20"/>
                <w:lang w:val="sr-Cyrl-CS"/>
              </w:rPr>
              <w:t>Bike Sharing</w:t>
            </w:r>
            <w:r>
              <w:rPr>
                <w:sz w:val="20"/>
                <w:lang w:val="sr-Cyrl-CS"/>
              </w:rPr>
              <w:t xml:space="preserve"> система на подручју цијелог града (2018-2021.)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bs-Latn-BA"/>
              </w:rPr>
            </w:pPr>
            <w:r>
              <w:rPr>
                <w:b/>
                <w:sz w:val="20"/>
                <w:szCs w:val="20"/>
                <w:lang w:val="sr-Cyrl-CS"/>
              </w:rPr>
              <w:t>ПРОГРАМ 2.</w:t>
            </w:r>
            <w:r>
              <w:rPr>
                <w:b/>
                <w:sz w:val="20"/>
                <w:szCs w:val="20"/>
                <w:lang w:val="bs-Latn-BA"/>
              </w:rPr>
              <w:t>2.</w:t>
            </w:r>
            <w:r>
              <w:rPr>
                <w:b/>
                <w:sz w:val="20"/>
                <w:szCs w:val="20"/>
                <w:lang w:val="sr-Cyrl-RS"/>
              </w:rPr>
              <w:t>3.</w:t>
            </w:r>
            <w:r>
              <w:rPr>
                <w:b/>
                <w:sz w:val="20"/>
                <w:szCs w:val="20"/>
                <w:lang w:val="bs-Latn-BA"/>
              </w:rPr>
              <w:t xml:space="preserve">  </w:t>
            </w:r>
            <w:r>
              <w:rPr>
                <w:b/>
                <w:sz w:val="20"/>
                <w:szCs w:val="20"/>
              </w:rPr>
              <w:t>УВОЂЕЊЕ</w:t>
            </w:r>
            <w:r>
              <w:rPr>
                <w:b/>
                <w:sz w:val="20"/>
                <w:szCs w:val="20"/>
                <w:lang w:val="bs-Latn-BA"/>
              </w:rPr>
              <w:t xml:space="preserve"> </w:t>
            </w:r>
            <w:r>
              <w:rPr>
                <w:b/>
                <w:sz w:val="20"/>
                <w:szCs w:val="20"/>
                <w:lang w:val="sr-Cyrl-RS"/>
              </w:rPr>
              <w:t>Е-УСЛУГА ЗА ГРАЂАНЕ И ПРИВАТНИ  СЕКТОР</w:t>
            </w: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CS"/>
              </w:rPr>
            </w:pPr>
            <w:r>
              <w:rPr>
                <w:sz w:val="20"/>
                <w:lang w:val="sr-Cyrl-CS"/>
              </w:rPr>
              <w:t>П.</w:t>
            </w:r>
            <w:bookmarkStart w:id="148" w:name="_Hlk523902080"/>
            <w:r>
              <w:rPr>
                <w:sz w:val="20"/>
                <w:lang w:val="sr-Cyrl-CS"/>
              </w:rPr>
              <w:t xml:space="preserve"> 2.2.3.1. </w:t>
            </w:r>
            <w:bookmarkEnd w:id="148"/>
            <w:r>
              <w:rPr>
                <w:sz w:val="20"/>
                <w:lang w:val="sr-Cyrl-CS"/>
              </w:rPr>
              <w:t>Увођење једношалтерског система издавања грађевинских дозвола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bs-Latn-BA"/>
              </w:rPr>
            </w:pPr>
          </w:p>
        </w:tc>
        <w:tc>
          <w:tcPr>
            <w:tcW w:w="4341" w:type="dxa"/>
            <w:tcBorders>
              <w:top w:val="single" w:color="000000" w:sz="4" w:space="0"/>
              <w:left w:val="single" w:color="000000" w:sz="4" w:space="0"/>
              <w:bottom w:val="single" w:color="000000" w:sz="4" w:space="0"/>
              <w:right w:val="single" w:color="000000" w:sz="4" w:space="0"/>
            </w:tcBorders>
          </w:tcPr>
          <w:p>
            <w:pPr>
              <w:spacing w:after="120"/>
              <w:rPr>
                <w:rFonts w:cs="Calibri"/>
                <w:color w:val="000000"/>
                <w:sz w:val="20"/>
                <w:lang w:val="sr-Cyrl-CS"/>
              </w:rPr>
            </w:pPr>
            <w:r>
              <w:rPr>
                <w:rFonts w:cs="Calibri"/>
                <w:color w:val="000000"/>
                <w:sz w:val="20"/>
                <w:lang w:val="sr-Cyrl-CS"/>
              </w:rPr>
              <w:t xml:space="preserve">П. 2.2.3.2. Увођење и развој Е-регистра </w:t>
            </w:r>
          </w:p>
          <w:p>
            <w:pPr>
              <w:spacing w:after="120"/>
              <w:rPr>
                <w:rFonts w:cs="Calibri"/>
                <w:color w:val="000000"/>
                <w:sz w:val="20"/>
                <w:lang w:val="sr-Cyrl-CS"/>
              </w:rPr>
            </w:pPr>
            <w:r>
              <w:rPr>
                <w:rFonts w:cs="Calibri"/>
                <w:color w:val="000000"/>
                <w:sz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bs-Latn-BA"/>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bs-Latn-BA"/>
              </w:rPr>
            </w:pPr>
            <w:r>
              <w:rPr>
                <w:bCs/>
                <w:sz w:val="20"/>
                <w:lang w:val="sr-Cyrl-CS"/>
              </w:rPr>
              <w:t>П. 2.2.</w:t>
            </w:r>
            <w:r>
              <w:rPr>
                <w:bCs/>
                <w:sz w:val="20"/>
                <w:lang w:val="en-US"/>
              </w:rPr>
              <w:t>3</w:t>
            </w:r>
            <w:r>
              <w:rPr>
                <w:bCs/>
                <w:sz w:val="20"/>
                <w:lang w:val="sr-Cyrl-CS"/>
              </w:rPr>
              <w:t>.3. Изградња кабловске канализације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CS"/>
              </w:rPr>
            </w:pPr>
            <w:r>
              <w:rPr>
                <w:b/>
                <w:sz w:val="20"/>
                <w:szCs w:val="20"/>
                <w:lang w:val="sr-Cyrl-RS"/>
              </w:rPr>
              <w:t>ПРОГРАМ 4.1.1. УНАПРЕЂЕЊЕ ОБРАЗОВНЕ ИНФРАСТРУКТУРЕ И ОБЕЗБЈЕЂИВАЊЕ ДОСТПУНОСТИ ОБРАЗОВАЊА</w:t>
            </w:r>
          </w:p>
        </w:tc>
        <w:tc>
          <w:tcPr>
            <w:tcW w:w="4341" w:type="dxa"/>
            <w:tcBorders>
              <w:top w:val="single" w:color="000000" w:sz="4" w:space="0"/>
              <w:left w:val="single" w:color="000000" w:sz="4" w:space="0"/>
              <w:bottom w:val="single" w:color="000000" w:sz="4" w:space="0"/>
              <w:right w:val="single" w:color="000000" w:sz="4" w:space="0"/>
            </w:tcBorders>
          </w:tcPr>
          <w:p>
            <w:pPr>
              <w:rPr>
                <w:rFonts w:cs="Calibri"/>
                <w:sz w:val="20"/>
                <w:lang w:val="sr-Cyrl-RS"/>
              </w:rPr>
            </w:pPr>
            <w:r>
              <w:rPr>
                <w:rFonts w:cs="Calibri"/>
                <w:sz w:val="20"/>
                <w:lang w:val="sr-Cyrl-RS"/>
              </w:rPr>
              <w:t>П. 4.1.1.1.</w:t>
            </w:r>
            <w:r>
              <w:rPr>
                <w:rFonts w:cs="Calibri"/>
                <w:sz w:val="20"/>
              </w:rPr>
              <w:t xml:space="preserve"> </w:t>
            </w:r>
            <w:r>
              <w:rPr>
                <w:sz w:val="20"/>
                <w:lang w:val="bs-Latn-BA"/>
              </w:rPr>
              <w:t xml:space="preserve">Реконструкција и адаптација постојећих и изградња нових објеката предшколских установа </w:t>
            </w:r>
            <w:r>
              <w:rPr>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C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CS"/>
              </w:rPr>
            </w:pPr>
            <w:r>
              <w:rPr>
                <w:sz w:val="20"/>
                <w:lang w:val="sr-Cyrl-RS"/>
              </w:rPr>
              <w:t>П. 4.1.1.2. Успостављање и реализација п</w:t>
            </w:r>
            <w:r>
              <w:rPr>
                <w:sz w:val="20"/>
                <w:lang w:val="bs-Latn-BA"/>
              </w:rPr>
              <w:t>рограм</w:t>
            </w:r>
            <w:r>
              <w:rPr>
                <w:sz w:val="20"/>
                <w:lang w:val="sr-Cyrl-RS"/>
              </w:rPr>
              <w:t>а</w:t>
            </w:r>
            <w:r>
              <w:rPr>
                <w:sz w:val="20"/>
                <w:lang w:val="bs-Latn-BA"/>
              </w:rPr>
              <w:t xml:space="preserve"> </w:t>
            </w:r>
            <w:r>
              <w:rPr>
                <w:sz w:val="20"/>
                <w:lang w:val="sr-Cyrl-CS"/>
              </w:rPr>
              <w:t>продуженог боравка</w:t>
            </w:r>
            <w:r>
              <w:rPr>
                <w:sz w:val="20"/>
                <w:lang w:val="bs-Latn-BA"/>
              </w:rPr>
              <w:t xml:space="preserve"> у школ</w:t>
            </w:r>
            <w:r>
              <w:rPr>
                <w:sz w:val="20"/>
                <w:lang w:val="sr-Cyrl-CS"/>
              </w:rPr>
              <w:t>ама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sz w:val="20"/>
                <w:lang w:val="sr-Cyrl-RS"/>
              </w:rPr>
            </w:pPr>
            <w:r>
              <w:rPr>
                <w:rFonts w:cs="Calibri"/>
                <w:sz w:val="20"/>
                <w:lang w:val="sr-Cyrl-RS"/>
              </w:rPr>
              <w:t>П. 4.1.1.3. Унапређени капацитет</w:t>
            </w:r>
            <w:r>
              <w:rPr>
                <w:rFonts w:cs="Calibri"/>
                <w:sz w:val="20"/>
                <w:lang w:val="sr-Cyrl-CS"/>
              </w:rPr>
              <w:t>и</w:t>
            </w:r>
            <w:r>
              <w:rPr>
                <w:rFonts w:cs="Calibri"/>
                <w:sz w:val="20"/>
                <w:lang w:val="sr-Cyrl-RS"/>
              </w:rPr>
              <w:t xml:space="preserve"> основних школа у градском, приградском и руралном подручју </w:t>
            </w:r>
            <w:r>
              <w:rPr>
                <w:sz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sz w:val="20"/>
                <w:lang w:val="sr-Cyrl-RS"/>
              </w:rPr>
            </w:pPr>
            <w:r>
              <w:rPr>
                <w:rFonts w:cs="Calibri"/>
                <w:sz w:val="20"/>
                <w:lang w:val="sr-Cyrl-RS"/>
              </w:rPr>
              <w:t xml:space="preserve">П. 4.1.1.4. Унапређени инфраструктурни капацитети средњих школа у складу са потребама заједнице и прописаним стандардима </w:t>
            </w:r>
            <w:r>
              <w:rPr>
                <w:sz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sz w:val="20"/>
                <w:lang w:val="sr-Cyrl-RS"/>
              </w:rPr>
            </w:pPr>
            <w:r>
              <w:rPr>
                <w:rFonts w:cs="Calibri"/>
                <w:sz w:val="20"/>
                <w:lang w:val="sr-Cyrl-RS"/>
              </w:rPr>
              <w:t>П. 4.1.1.</w:t>
            </w:r>
            <w:r>
              <w:rPr>
                <w:rFonts w:cs="Calibri"/>
                <w:sz w:val="20"/>
                <w:lang w:val="bs-Latn-BA"/>
              </w:rPr>
              <w:t>5</w:t>
            </w:r>
            <w:r>
              <w:rPr>
                <w:rFonts w:cs="Calibri"/>
                <w:sz w:val="20"/>
                <w:lang w:val="sr-Cyrl-RS"/>
              </w:rPr>
              <w:t xml:space="preserve">. Опремање образовних установа у складу са прописаним стандардима  </w:t>
            </w:r>
          </w:p>
          <w:p>
            <w:pPr>
              <w:rPr>
                <w:rFonts w:cs="Calibri"/>
                <w:sz w:val="20"/>
                <w:lang w:val="sr-Cyrl-RS"/>
              </w:rPr>
            </w:pPr>
            <w:r>
              <w:rPr>
                <w:rFonts w:cs="Calibri"/>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r>
              <w:rPr>
                <w:rFonts w:cs="Calibri"/>
                <w:b/>
                <w:sz w:val="20"/>
                <w:szCs w:val="20"/>
                <w:lang w:val="sr-Cyrl-RS"/>
              </w:rPr>
              <w:t>ПРОГРАМ 4.1.2.</w:t>
            </w:r>
            <w:r>
              <w:rPr>
                <w:sz w:val="20"/>
                <w:szCs w:val="20"/>
                <w:lang w:val="sr-Cyrl-RS"/>
              </w:rPr>
              <w:t xml:space="preserve"> </w:t>
            </w:r>
            <w:r>
              <w:rPr>
                <w:rFonts w:cs="Calibri"/>
                <w:b/>
                <w:sz w:val="20"/>
                <w:szCs w:val="20"/>
                <w:lang w:val="sr-Cyrl-RS" w:eastAsia="zh-CN"/>
              </w:rPr>
              <w:t>УНАПРЕЂЕЊЕ ПРИСТУПА ПРОЦЕСУ ОБРАЗОВАЊА И ВАСПИТАЊА</w:t>
            </w:r>
          </w:p>
        </w:tc>
        <w:tc>
          <w:tcPr>
            <w:tcW w:w="4341" w:type="dxa"/>
            <w:tcBorders>
              <w:top w:val="single" w:color="000000" w:sz="4" w:space="0"/>
              <w:left w:val="single" w:color="000000" w:sz="4" w:space="0"/>
              <w:bottom w:val="single" w:color="000000" w:sz="4" w:space="0"/>
              <w:right w:val="single" w:color="000000" w:sz="4" w:space="0"/>
            </w:tcBorders>
          </w:tcPr>
          <w:p>
            <w:pPr>
              <w:rPr>
                <w:sz w:val="20"/>
                <w:lang w:eastAsia="sr-Latn-CS"/>
              </w:rPr>
            </w:pPr>
            <w:r>
              <w:rPr>
                <w:sz w:val="20"/>
                <w:lang w:eastAsia="sr-Latn-CS"/>
              </w:rPr>
              <w:t>П.</w:t>
            </w:r>
            <w:r>
              <w:rPr>
                <w:sz w:val="20"/>
                <w:lang w:val="sr-Cyrl-CS" w:eastAsia="sr-Latn-CS"/>
              </w:rPr>
              <w:t xml:space="preserve"> </w:t>
            </w:r>
            <w:r>
              <w:rPr>
                <w:sz w:val="20"/>
                <w:lang w:eastAsia="sr-Latn-CS"/>
              </w:rPr>
              <w:t>4.1.2.1. Јачање васпитне функције школе</w:t>
            </w:r>
            <w:r>
              <w:rPr>
                <w:sz w:val="20"/>
                <w:lang w:val="sr-Cyrl-RS" w:eastAsia="sr-Latn-C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eastAsia="sr-Latn-CS"/>
              </w:rPr>
            </w:pPr>
            <w:r>
              <w:rPr>
                <w:sz w:val="20"/>
                <w:lang w:eastAsia="sr-Latn-CS"/>
              </w:rPr>
              <w:t xml:space="preserve">М. 4.1.2.2 Стипендирање ученика и студената </w:t>
            </w:r>
            <w:r>
              <w:rPr>
                <w:sz w:val="20"/>
                <w:lang w:val="sr-Cyrl-RS" w:eastAsia="sr-Latn-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lang w:val="sr-Cyrl-RS"/>
              </w:rPr>
              <w:t xml:space="preserve">П. 4.1.2.3. Реализација програма </w:t>
            </w:r>
            <w:r>
              <w:rPr>
                <w:sz w:val="20"/>
                <w:lang w:val="bs-Latn-BA"/>
              </w:rPr>
              <w:t>сарадњ</w:t>
            </w:r>
            <w:r>
              <w:rPr>
                <w:sz w:val="20"/>
                <w:lang w:val="sr-Cyrl-RS"/>
              </w:rPr>
              <w:t>е</w:t>
            </w:r>
            <w:r>
              <w:rPr>
                <w:sz w:val="20"/>
                <w:lang w:val="bs-Latn-BA"/>
              </w:rPr>
              <w:t xml:space="preserve"> школ</w:t>
            </w:r>
            <w:r>
              <w:rPr>
                <w:sz w:val="20"/>
                <w:lang w:val="sr-Cyrl-RS"/>
              </w:rPr>
              <w:t>а, универзитета</w:t>
            </w:r>
            <w:r>
              <w:rPr>
                <w:sz w:val="20"/>
                <w:lang w:val="bs-Latn-BA"/>
              </w:rPr>
              <w:t xml:space="preserve"> и локалне заједнице кроз подстицање </w:t>
            </w:r>
            <w:r>
              <w:rPr>
                <w:sz w:val="20"/>
                <w:lang w:val="sr-Cyrl-RS"/>
              </w:rPr>
              <w:t xml:space="preserve">за </w:t>
            </w:r>
            <w:r>
              <w:rPr>
                <w:sz w:val="20"/>
                <w:lang w:val="bs-Latn-BA"/>
              </w:rPr>
              <w:t>учествовање у волонтерским акцијама</w:t>
            </w:r>
            <w:r>
              <w:rPr>
                <w:sz w:val="20"/>
                <w:lang w:val="sr-Cyrl-R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lang w:val="sr-Cyrl-RS"/>
              </w:rPr>
              <w:t>П. 4.1.2.4. Реализација пројеката по принципу „паметног образовања“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rPr>
            </w:pPr>
            <w:r>
              <w:rPr>
                <w:rFonts w:cs="Calibri"/>
                <w:b/>
                <w:sz w:val="20"/>
                <w:szCs w:val="20"/>
                <w:lang w:val="sr-Cyrl-RS"/>
              </w:rPr>
              <w:t xml:space="preserve">ПРОГРАМ 4.1.3. </w:t>
            </w:r>
            <w:r>
              <w:rPr>
                <w:b/>
                <w:sz w:val="20"/>
                <w:szCs w:val="20"/>
                <w:lang w:val="bs-Cyrl-BA"/>
              </w:rPr>
              <w:t>ПОДРШКА ИНКЛУЗИВНОМ ОБРАЗОВАЊУ</w:t>
            </w: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CS" w:eastAsia="sr-Latn-CS"/>
              </w:rPr>
            </w:pPr>
            <w:r>
              <w:rPr>
                <w:sz w:val="20"/>
                <w:lang w:eastAsia="sr-Latn-CS"/>
              </w:rPr>
              <w:t xml:space="preserve">П. 4.1.3.1. Отклањање баријера и прилагођавање окружења потребама  ученика са сметњама у развоју </w:t>
            </w:r>
            <w:r>
              <w:rPr>
                <w:sz w:val="20"/>
                <w:lang w:val="sr-Cyrl-RS" w:eastAsia="sr-Latn-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Latn-R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lang w:val="sr-Cyrl-RS"/>
              </w:rPr>
              <w:t>П. 4.1.3.2. Подршка јачању капацитета људских ресурса од значаја за унапређење социјалне инклузије ОСИ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r>
              <w:rPr>
                <w:b/>
                <w:sz w:val="20"/>
                <w:szCs w:val="20"/>
              </w:rPr>
              <w:t>ПРОГРАМ</w:t>
            </w:r>
            <w:r>
              <w:rPr>
                <w:b/>
                <w:sz w:val="20"/>
                <w:szCs w:val="20"/>
                <w:lang w:val="hr-BA"/>
              </w:rPr>
              <w:t xml:space="preserve"> 4.2.1.  </w:t>
            </w:r>
            <w:r>
              <w:rPr>
                <w:b/>
                <w:sz w:val="20"/>
                <w:szCs w:val="20"/>
              </w:rPr>
              <w:t>УНАПРЕЂЕЊЕ</w:t>
            </w:r>
            <w:r>
              <w:rPr>
                <w:b/>
                <w:sz w:val="20"/>
                <w:szCs w:val="20"/>
                <w:lang w:val="hr-BA"/>
              </w:rPr>
              <w:t xml:space="preserve"> </w:t>
            </w:r>
            <w:r>
              <w:rPr>
                <w:b/>
                <w:sz w:val="20"/>
                <w:szCs w:val="20"/>
              </w:rPr>
              <w:t>ИНФРАСТРУКТУРНИХ</w:t>
            </w:r>
            <w:r>
              <w:rPr>
                <w:b/>
                <w:sz w:val="20"/>
                <w:szCs w:val="20"/>
                <w:lang w:val="hr-BA"/>
              </w:rPr>
              <w:t xml:space="preserve"> </w:t>
            </w:r>
            <w:r>
              <w:rPr>
                <w:b/>
                <w:sz w:val="20"/>
                <w:szCs w:val="20"/>
              </w:rPr>
              <w:t>КАПАЦИТЕТА</w:t>
            </w:r>
            <w:r>
              <w:rPr>
                <w:b/>
                <w:sz w:val="20"/>
                <w:szCs w:val="20"/>
                <w:lang w:val="hr-BA"/>
              </w:rPr>
              <w:t xml:space="preserve"> </w:t>
            </w:r>
            <w:r>
              <w:rPr>
                <w:b/>
                <w:sz w:val="20"/>
                <w:szCs w:val="20"/>
              </w:rPr>
              <w:t>ОД</w:t>
            </w:r>
            <w:r>
              <w:rPr>
                <w:b/>
                <w:sz w:val="20"/>
                <w:szCs w:val="20"/>
                <w:lang w:val="hr-BA"/>
              </w:rPr>
              <w:t xml:space="preserve"> </w:t>
            </w:r>
            <w:r>
              <w:rPr>
                <w:b/>
                <w:sz w:val="20"/>
                <w:szCs w:val="20"/>
              </w:rPr>
              <w:t>ЗНАЧАЈА</w:t>
            </w:r>
            <w:r>
              <w:rPr>
                <w:b/>
                <w:sz w:val="20"/>
                <w:szCs w:val="20"/>
                <w:lang w:val="hr-BA"/>
              </w:rPr>
              <w:t xml:space="preserve"> </w:t>
            </w:r>
            <w:r>
              <w:rPr>
                <w:b/>
                <w:sz w:val="20"/>
                <w:szCs w:val="20"/>
              </w:rPr>
              <w:t>ЗА</w:t>
            </w:r>
            <w:r>
              <w:rPr>
                <w:b/>
                <w:sz w:val="20"/>
                <w:szCs w:val="20"/>
                <w:lang w:val="hr-BA"/>
              </w:rPr>
              <w:t xml:space="preserve"> </w:t>
            </w:r>
            <w:r>
              <w:rPr>
                <w:b/>
                <w:sz w:val="20"/>
                <w:szCs w:val="20"/>
              </w:rPr>
              <w:t>СОЦИЈАЛНУ</w:t>
            </w:r>
            <w:r>
              <w:rPr>
                <w:b/>
                <w:sz w:val="20"/>
                <w:szCs w:val="20"/>
                <w:lang w:val="hr-BA"/>
              </w:rPr>
              <w:t xml:space="preserve"> </w:t>
            </w:r>
            <w:r>
              <w:rPr>
                <w:b/>
                <w:sz w:val="20"/>
                <w:szCs w:val="20"/>
              </w:rPr>
              <w:t>И</w:t>
            </w:r>
            <w:r>
              <w:rPr>
                <w:b/>
                <w:sz w:val="20"/>
                <w:szCs w:val="20"/>
                <w:lang w:val="hr-BA"/>
              </w:rPr>
              <w:t xml:space="preserve"> </w:t>
            </w:r>
            <w:r>
              <w:rPr>
                <w:b/>
                <w:sz w:val="20"/>
                <w:szCs w:val="20"/>
              </w:rPr>
              <w:t>ЗДРАВСТВЕНУ</w:t>
            </w:r>
            <w:r>
              <w:rPr>
                <w:b/>
                <w:sz w:val="20"/>
                <w:szCs w:val="20"/>
                <w:lang w:val="hr-BA"/>
              </w:rPr>
              <w:t xml:space="preserve"> </w:t>
            </w:r>
            <w:r>
              <w:rPr>
                <w:b/>
                <w:sz w:val="20"/>
                <w:szCs w:val="20"/>
              </w:rPr>
              <w:t>ЗАШТИТУ</w:t>
            </w: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lang w:val="bs-Latn-BA"/>
              </w:rPr>
            </w:pPr>
            <w:r>
              <w:rPr>
                <w:rFonts w:cs="Calibri"/>
                <w:bCs/>
                <w:sz w:val="20"/>
                <w:lang w:val="bs-Latn-BA"/>
              </w:rPr>
              <w:t>П. 4.2.1.1. Унапређе</w:t>
            </w:r>
            <w:r>
              <w:rPr>
                <w:rFonts w:cs="Calibri"/>
                <w:bCs/>
                <w:sz w:val="20"/>
                <w:lang w:val="sr-Cyrl-CS"/>
              </w:rPr>
              <w:t xml:space="preserve">ни </w:t>
            </w:r>
            <w:r>
              <w:rPr>
                <w:rFonts w:cs="Calibri"/>
                <w:bCs/>
                <w:sz w:val="20"/>
                <w:lang w:val="bs-Latn-BA"/>
              </w:rPr>
              <w:t>инфраструктурни капацитет</w:t>
            </w:r>
            <w:r>
              <w:rPr>
                <w:rFonts w:cs="Calibri"/>
                <w:bCs/>
                <w:sz w:val="20"/>
                <w:lang w:val="sr-Cyrl-CS"/>
              </w:rPr>
              <w:t>и</w:t>
            </w:r>
            <w:r>
              <w:rPr>
                <w:rFonts w:cs="Calibri"/>
                <w:bCs/>
                <w:sz w:val="20"/>
                <w:lang w:val="bs-Latn-BA"/>
              </w:rPr>
              <w:t xml:space="preserve"> од значаја за пружање ванинституционалих  услуга социјалне заштитите</w:t>
            </w:r>
            <w:r>
              <w:rPr>
                <w:rFonts w:cs="Calibri"/>
                <w:bCs/>
                <w:sz w:val="20"/>
                <w:lang w:val="sr-Cyrl-RS"/>
              </w:rPr>
              <w:t xml:space="preserve"> (2018-2022.)</w:t>
            </w:r>
            <w:r>
              <w:rPr>
                <w:rFonts w:cs="Calibri"/>
                <w:bCs/>
                <w:sz w:val="20"/>
                <w:lang w:val="bs-Latn-B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sz w:val="20"/>
                <w:szCs w:val="20"/>
              </w:rPr>
            </w:pPr>
            <w:r>
              <w:rPr>
                <w:rFonts w:cs="Calibri"/>
                <w:sz w:val="20"/>
                <w:lang w:val="bs-Latn-BA"/>
              </w:rPr>
              <w:t>П. 4.2.1.2. Унапређе</w:t>
            </w:r>
            <w:r>
              <w:rPr>
                <w:rFonts w:cs="Calibri"/>
                <w:sz w:val="20"/>
                <w:lang w:val="sr-Cyrl-CS"/>
              </w:rPr>
              <w:t>на</w:t>
            </w:r>
            <w:r>
              <w:rPr>
                <w:rFonts w:cs="Calibri"/>
                <w:sz w:val="20"/>
                <w:lang w:val="bs-Latn-BA"/>
              </w:rPr>
              <w:t xml:space="preserve"> </w:t>
            </w:r>
            <w:r>
              <w:rPr>
                <w:rFonts w:cs="Calibri"/>
                <w:sz w:val="20"/>
                <w:lang w:val="sr-Cyrl-CS"/>
              </w:rPr>
              <w:t xml:space="preserve"> доступност примарне здравствене заштите и </w:t>
            </w:r>
            <w:r>
              <w:rPr>
                <w:rFonts w:cs="Calibri"/>
                <w:sz w:val="20"/>
                <w:lang w:val="bs-Latn-BA"/>
              </w:rPr>
              <w:t>инфраструктурних капацитета за пружање услуга здравствене заштите</w:t>
            </w:r>
            <w:r>
              <w:rPr>
                <w:rFonts w:cs="Calibri"/>
                <w:sz w:val="20"/>
                <w:lang w:val="sr-Cyrl-RS"/>
              </w:rPr>
              <w:t xml:space="preserve"> (201</w:t>
            </w:r>
            <w:r>
              <w:rPr>
                <w:rFonts w:cs="Calibri"/>
                <w:sz w:val="20"/>
              </w:rPr>
              <w:t>9</w:t>
            </w:r>
            <w:r>
              <w:rPr>
                <w:rFonts w:cs="Calibri"/>
                <w:sz w:val="20"/>
                <w:lang w:val="sr-Cyrl-RS"/>
              </w:rPr>
              <w:t>.-2022.)</w:t>
            </w:r>
            <w:r>
              <w:rPr>
                <w:rFonts w:cs="Calibri"/>
                <w:sz w:val="20"/>
                <w:lang w:val="bs-Latn-B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sz w:val="20"/>
                <w:lang w:val="sr-Cyrl-CS"/>
              </w:rPr>
            </w:pPr>
            <w:r>
              <w:rPr>
                <w:rFonts w:cs="Calibri"/>
                <w:sz w:val="20"/>
                <w:lang w:val="bs-Latn-BA"/>
              </w:rPr>
              <w:t>П. 4.2.1.3</w:t>
            </w:r>
            <w:r>
              <w:rPr>
                <w:rFonts w:cs="Calibri"/>
                <w:sz w:val="20"/>
                <w:lang w:val="sr-Cyrl-RS"/>
              </w:rPr>
              <w:t xml:space="preserve">. </w:t>
            </w:r>
            <w:r>
              <w:rPr>
                <w:rFonts w:cs="Calibri"/>
                <w:sz w:val="20"/>
                <w:lang w:val="bs-Latn-BA"/>
              </w:rPr>
              <w:t xml:space="preserve">Опремање Дома здравља у складу са стандардима пружања здравствених услуга </w:t>
            </w:r>
          </w:p>
          <w:p>
            <w:pPr>
              <w:rPr>
                <w:rFonts w:cs="Calibri"/>
                <w:sz w:val="20"/>
                <w:lang w:val="sr-Cyrl-RS"/>
              </w:rPr>
            </w:pPr>
            <w:r>
              <w:rPr>
                <w:rFonts w:cs="Calibri"/>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lang w:val="bs-Latn-BA"/>
              </w:rPr>
            </w:pPr>
            <w:r>
              <w:rPr>
                <w:rFonts w:cs="Calibri"/>
                <w:bCs/>
                <w:sz w:val="20"/>
                <w:lang w:val="bs-Latn-BA"/>
              </w:rPr>
              <w:t>П</w:t>
            </w:r>
            <w:r>
              <w:rPr>
                <w:rFonts w:cs="Calibri"/>
                <w:bCs/>
                <w:sz w:val="20"/>
                <w:lang w:val="sr-Cyrl-CS"/>
              </w:rPr>
              <w:t>.</w:t>
            </w:r>
            <w:r>
              <w:rPr>
                <w:rFonts w:cs="Calibri"/>
                <w:bCs/>
                <w:sz w:val="20"/>
                <w:lang w:val="bs-Latn-BA"/>
              </w:rPr>
              <w:t xml:space="preserve"> 4.2.1.4. Изградња инфраструктуре у циљу побољшања доступности јавних услуга особама са отежаним кретањем </w:t>
            </w:r>
            <w:r>
              <w:rPr>
                <w:rFonts w:cs="Calibri"/>
                <w:bCs/>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bs-Latn-BA"/>
              </w:rPr>
            </w:pPr>
            <w:r>
              <w:rPr>
                <w:rFonts w:cs="Calibri"/>
                <w:bCs/>
                <w:sz w:val="20"/>
                <w:lang w:val="bs-Latn-BA"/>
              </w:rPr>
              <w:t>П.</w:t>
            </w:r>
            <w:r>
              <w:rPr>
                <w:rFonts w:cs="Calibri"/>
                <w:bCs/>
                <w:sz w:val="20"/>
                <w:lang w:val="sr-Cyrl-RS"/>
              </w:rPr>
              <w:t xml:space="preserve"> </w:t>
            </w:r>
            <w:r>
              <w:rPr>
                <w:rFonts w:cs="Calibri"/>
                <w:bCs/>
                <w:sz w:val="20"/>
                <w:lang w:val="bs-Latn-BA"/>
              </w:rPr>
              <w:t xml:space="preserve">4.2.1.5. </w:t>
            </w:r>
            <w:r>
              <w:rPr>
                <w:rFonts w:cs="Calibri"/>
                <w:sz w:val="20"/>
                <w:lang w:val="bs-Latn-BA"/>
              </w:rPr>
              <w:t xml:space="preserve"> </w:t>
            </w:r>
            <w:r>
              <w:rPr>
                <w:rFonts w:cs="Calibri"/>
                <w:sz w:val="20"/>
                <w:lang w:val="sr-Cyrl-RS"/>
              </w:rPr>
              <w:t xml:space="preserve">Успостављање инфраструктурних капацитета за реализацију политике непрофитног социјалног становања града Бања Луке </w:t>
            </w:r>
            <w:r>
              <w:rPr>
                <w:rFonts w:cs="Calibri"/>
                <w:bCs/>
                <w:sz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Latn-RS"/>
              </w:rPr>
            </w:pPr>
            <w:r>
              <w:rPr>
                <w:rFonts w:cs="Calibri"/>
                <w:bCs/>
                <w:sz w:val="20"/>
                <w:lang w:val="bs-Latn-BA"/>
              </w:rPr>
              <w:t>П.</w:t>
            </w:r>
            <w:r>
              <w:rPr>
                <w:rFonts w:cs="Calibri"/>
                <w:bCs/>
                <w:sz w:val="20"/>
                <w:lang w:val="sr-Cyrl-RS"/>
              </w:rPr>
              <w:t xml:space="preserve"> </w:t>
            </w:r>
            <w:r>
              <w:rPr>
                <w:rFonts w:cs="Calibri"/>
                <w:bCs/>
                <w:sz w:val="20"/>
                <w:lang w:val="bs-Latn-BA"/>
              </w:rPr>
              <w:t>4.2.1.</w:t>
            </w:r>
            <w:r>
              <w:rPr>
                <w:rFonts w:cs="Calibri"/>
                <w:bCs/>
                <w:sz w:val="20"/>
                <w:lang w:val="sr-Latn-RS"/>
              </w:rPr>
              <w:t>6</w:t>
            </w:r>
            <w:r>
              <w:rPr>
                <w:rFonts w:cs="Calibri"/>
                <w:bCs/>
                <w:sz w:val="20"/>
                <w:lang w:val="bs-Latn-BA"/>
              </w:rPr>
              <w:t>.  Стамбен</w:t>
            </w:r>
            <w:r>
              <w:rPr>
                <w:rFonts w:cs="Calibri"/>
                <w:bCs/>
                <w:sz w:val="20"/>
                <w:lang w:val="sr-Cyrl-CS"/>
              </w:rPr>
              <w:t>о збрињавање борачких категорија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rFonts w:ascii="Times New Roman" w:hAnsi="Times New Roman"/>
                <w:sz w:val="20"/>
                <w:szCs w:val="20"/>
              </w:rPr>
            </w:pPr>
            <w:r>
              <w:rPr>
                <w:b/>
                <w:bCs/>
                <w:sz w:val="20"/>
                <w:szCs w:val="20"/>
              </w:rPr>
              <w:t>ПРОГРАМ 4.2.2.</w:t>
            </w:r>
            <w:r>
              <w:rPr>
                <w:rFonts w:cs="Calibri"/>
                <w:bCs/>
                <w:sz w:val="20"/>
                <w:szCs w:val="20"/>
                <w:lang w:val="sr-Cyrl-RS"/>
              </w:rPr>
              <w:t xml:space="preserve"> </w:t>
            </w:r>
            <w:r>
              <w:rPr>
                <w:b/>
                <w:sz w:val="20"/>
                <w:szCs w:val="20"/>
              </w:rPr>
              <w:t>ИНСТИТУЦИОНАЛНА И ВАН</w:t>
            </w:r>
            <w:r>
              <w:rPr>
                <w:b/>
                <w:sz w:val="20"/>
                <w:szCs w:val="20"/>
                <w:lang w:val="sr-Cyrl-CS"/>
              </w:rPr>
              <w:t>ИН</w:t>
            </w:r>
            <w:r>
              <w:rPr>
                <w:b/>
                <w:sz w:val="20"/>
                <w:szCs w:val="20"/>
              </w:rPr>
              <w:t xml:space="preserve">СТИТУЦИОНАЛНА ПОДРШКА СОЦИЈАЛНОЈ ИНКЛУЗИЈИ РАЊИВИХ И МАРГИНАЛИЗОВАНИХ ГРУПА  </w:t>
            </w: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Cyrl-RS"/>
              </w:rPr>
            </w:pPr>
            <w:r>
              <w:rPr>
                <w:rFonts w:cs="Calibri"/>
                <w:bCs/>
                <w:sz w:val="20"/>
                <w:lang w:val="bs-Latn-BA"/>
              </w:rPr>
              <w:t>М. 4.2.2.1.  Унапређење с</w:t>
            </w:r>
            <w:r>
              <w:rPr>
                <w:rFonts w:cs="Calibri"/>
                <w:bCs/>
                <w:sz w:val="20"/>
                <w:lang w:val="sr-Cyrl-RS"/>
              </w:rPr>
              <w:t xml:space="preserve">оцијалних </w:t>
            </w:r>
            <w:r>
              <w:rPr>
                <w:rFonts w:cs="Calibri"/>
                <w:bCs/>
                <w:sz w:val="20"/>
                <w:lang w:val="bs-Latn-BA"/>
              </w:rPr>
              <w:t>услуг</w:t>
            </w:r>
            <w:r>
              <w:rPr>
                <w:rFonts w:cs="Calibri"/>
                <w:bCs/>
                <w:sz w:val="20"/>
                <w:lang w:val="sr-Cyrl-RS"/>
              </w:rPr>
              <w:t>а</w:t>
            </w:r>
            <w:r>
              <w:rPr>
                <w:rFonts w:cs="Calibri"/>
                <w:bCs/>
                <w:sz w:val="20"/>
                <w:lang w:val="bs-Latn-BA"/>
              </w:rPr>
              <w:t xml:space="preserve"> за старе </w:t>
            </w:r>
            <w:r>
              <w:rPr>
                <w:rFonts w:cs="Calibri"/>
                <w:bCs/>
                <w:sz w:val="20"/>
                <w:lang w:val="sr-Cyrl-R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Cyrl-RS"/>
              </w:rPr>
            </w:pPr>
            <w:r>
              <w:rPr>
                <w:rFonts w:cs="Calibri"/>
                <w:bCs/>
                <w:sz w:val="20"/>
                <w:lang w:val="sr-Cyrl-CS"/>
              </w:rPr>
              <w:t>П</w:t>
            </w:r>
            <w:r>
              <w:rPr>
                <w:rFonts w:cs="Calibri"/>
                <w:bCs/>
                <w:sz w:val="20"/>
                <w:lang w:val="bs-Latn-BA"/>
              </w:rPr>
              <w:t>. 4.2.2.</w:t>
            </w:r>
            <w:r>
              <w:rPr>
                <w:rFonts w:cs="Calibri"/>
                <w:bCs/>
                <w:sz w:val="20"/>
                <w:lang w:val="sr-Cyrl-CS"/>
              </w:rPr>
              <w:t>2</w:t>
            </w:r>
            <w:r>
              <w:rPr>
                <w:rFonts w:cs="Calibri"/>
                <w:bCs/>
                <w:sz w:val="20"/>
                <w:lang w:val="bs-Latn-BA"/>
              </w:rPr>
              <w:t xml:space="preserve">. </w:t>
            </w:r>
            <w:r>
              <w:rPr>
                <w:rFonts w:cs="Calibri"/>
                <w:sz w:val="20"/>
                <w:lang w:val="bs-Latn-BA"/>
              </w:rPr>
              <w:t xml:space="preserve"> </w:t>
            </w:r>
            <w:r>
              <w:rPr>
                <w:rFonts w:cs="Calibri"/>
                <w:sz w:val="20"/>
                <w:lang w:val="sr-Cyrl-RS"/>
              </w:rPr>
              <w:t xml:space="preserve">Успостављање социјалних услуга за </w:t>
            </w:r>
            <w:r>
              <w:rPr>
                <w:rFonts w:cs="Calibri"/>
                <w:sz w:val="20"/>
                <w:lang w:val="bs-Latn-BA"/>
              </w:rPr>
              <w:t>дјецу и младе са сметњама у развоју и њихове родитеље</w:t>
            </w:r>
            <w:r>
              <w:rPr>
                <w:rFonts w:cs="Calibri"/>
                <w:sz w:val="20"/>
                <w:lang w:val="sr-Cyrl-R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Cyrl-RS"/>
              </w:rPr>
            </w:pPr>
            <w:r>
              <w:rPr>
                <w:rFonts w:cs="Calibri"/>
                <w:bCs/>
                <w:sz w:val="20"/>
                <w:lang w:val="bs-Latn-BA"/>
              </w:rPr>
              <w:t>М.</w:t>
            </w:r>
            <w:r>
              <w:rPr>
                <w:rFonts w:cs="Calibri"/>
                <w:bCs/>
                <w:sz w:val="20"/>
                <w:lang w:val="sr-Cyrl-CS"/>
              </w:rPr>
              <w:t xml:space="preserve"> </w:t>
            </w:r>
            <w:r>
              <w:rPr>
                <w:rFonts w:cs="Calibri"/>
                <w:bCs/>
                <w:sz w:val="20"/>
                <w:lang w:val="bs-Latn-BA"/>
              </w:rPr>
              <w:t>4.2.2.</w:t>
            </w:r>
            <w:r>
              <w:rPr>
                <w:rFonts w:cs="Calibri"/>
                <w:bCs/>
                <w:sz w:val="20"/>
                <w:lang w:val="sr-Cyrl-CS"/>
              </w:rPr>
              <w:t>3</w:t>
            </w:r>
            <w:r>
              <w:rPr>
                <w:rFonts w:cs="Calibri"/>
                <w:bCs/>
                <w:sz w:val="20"/>
                <w:lang w:val="bs-Latn-BA"/>
              </w:rPr>
              <w:t>. У</w:t>
            </w:r>
            <w:r>
              <w:rPr>
                <w:rFonts w:cs="Calibri"/>
                <w:bCs/>
                <w:sz w:val="20"/>
                <w:lang w:val="sr-Cyrl-RS"/>
              </w:rPr>
              <w:t>спостављање социјалних услуга за</w:t>
            </w:r>
            <w:r>
              <w:rPr>
                <w:rFonts w:cs="Calibri"/>
                <w:bCs/>
                <w:sz w:val="20"/>
                <w:lang w:val="bs-Latn-BA"/>
              </w:rPr>
              <w:t xml:space="preserve"> лица са оштећењем у интелектуалном функционисању и вишеструким сметњама</w:t>
            </w:r>
            <w:r>
              <w:rPr>
                <w:rFonts w:cs="Calibri"/>
                <w:bCs/>
                <w:sz w:val="20"/>
                <w:lang w:val="sr-Cyrl-RS"/>
              </w:rPr>
              <w:t xml:space="preserve">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Cyrl-RS"/>
              </w:rPr>
            </w:pPr>
            <w:r>
              <w:rPr>
                <w:rFonts w:cs="Calibri"/>
                <w:bCs/>
                <w:sz w:val="20"/>
                <w:lang w:val="bs-Latn-BA"/>
              </w:rPr>
              <w:t>М. 4.2.2.</w:t>
            </w:r>
            <w:r>
              <w:rPr>
                <w:rFonts w:cs="Calibri"/>
                <w:bCs/>
                <w:sz w:val="20"/>
                <w:lang w:val="sr-Cyrl-CS"/>
              </w:rPr>
              <w:t>4</w:t>
            </w:r>
            <w:r>
              <w:rPr>
                <w:rFonts w:cs="Calibri"/>
                <w:bCs/>
                <w:sz w:val="20"/>
                <w:lang w:val="bs-Latn-BA"/>
              </w:rPr>
              <w:t xml:space="preserve">. Развој хранитељства кроз промоцију </w:t>
            </w:r>
            <w:r>
              <w:rPr>
                <w:rFonts w:cs="Calibri"/>
                <w:bCs/>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lang w:val="sr-Cyrl-BA"/>
              </w:rPr>
            </w:pPr>
            <w:r>
              <w:rPr>
                <w:rFonts w:cs="Calibri"/>
                <w:bCs/>
                <w:sz w:val="20"/>
                <w:lang w:val="bs-Latn-BA"/>
              </w:rPr>
              <w:t>П. 4.2.2.</w:t>
            </w:r>
            <w:r>
              <w:rPr>
                <w:rFonts w:cs="Calibri"/>
                <w:bCs/>
                <w:sz w:val="20"/>
                <w:lang w:val="sr-Cyrl-CS"/>
              </w:rPr>
              <w:t>5</w:t>
            </w:r>
            <w:r>
              <w:rPr>
                <w:rFonts w:cs="Calibri"/>
                <w:bCs/>
                <w:sz w:val="20"/>
                <w:lang w:val="bs-Latn-BA"/>
              </w:rPr>
              <w:t>.</w:t>
            </w:r>
            <w:r>
              <w:rPr>
                <w:rFonts w:cs="Calibri"/>
                <w:bCs/>
                <w:sz w:val="20"/>
                <w:lang w:val="sr-Cyrl-BA"/>
              </w:rPr>
              <w:t xml:space="preserve"> Развој услуге дневног збрињавања за одрасла лица са сметњама у развоју </w:t>
            </w:r>
          </w:p>
          <w:p>
            <w:pPr>
              <w:rPr>
                <w:rFonts w:cs="Calibri"/>
                <w:bCs/>
                <w:sz w:val="20"/>
                <w:szCs w:val="20"/>
                <w:lang w:val="sr-Cyrl-BA"/>
              </w:rPr>
            </w:pPr>
            <w:r>
              <w:rPr>
                <w:rFonts w:cs="Calibri"/>
                <w:bCs/>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Cyrl-BA"/>
              </w:rPr>
            </w:pPr>
            <w:r>
              <w:rPr>
                <w:rFonts w:cs="Calibri"/>
                <w:bCs/>
                <w:sz w:val="20"/>
                <w:lang w:val="sr-Cyrl-CS"/>
              </w:rPr>
              <w:t>М</w:t>
            </w:r>
            <w:r>
              <w:rPr>
                <w:rFonts w:cs="Calibri"/>
                <w:bCs/>
                <w:sz w:val="20"/>
                <w:lang w:val="bs-Latn-BA"/>
              </w:rPr>
              <w:t>.</w:t>
            </w:r>
            <w:r>
              <w:rPr>
                <w:rFonts w:cs="Calibri"/>
                <w:bCs/>
                <w:sz w:val="20"/>
                <w:lang w:val="sr-Cyrl-CS"/>
              </w:rPr>
              <w:t xml:space="preserve"> </w:t>
            </w:r>
            <w:r>
              <w:rPr>
                <w:rFonts w:cs="Calibri"/>
                <w:bCs/>
                <w:sz w:val="20"/>
                <w:lang w:val="bs-Latn-BA"/>
              </w:rPr>
              <w:t>4.2.2.</w:t>
            </w:r>
            <w:r>
              <w:rPr>
                <w:rFonts w:cs="Calibri"/>
                <w:bCs/>
                <w:sz w:val="20"/>
                <w:lang w:val="sr-Cyrl-CS"/>
              </w:rPr>
              <w:t>6</w:t>
            </w:r>
            <w:r>
              <w:rPr>
                <w:rFonts w:cs="Calibri"/>
                <w:bCs/>
                <w:sz w:val="20"/>
                <w:lang w:val="bs-Latn-BA"/>
              </w:rPr>
              <w:t>.</w:t>
            </w:r>
            <w:r>
              <w:rPr>
                <w:rFonts w:cs="Calibri"/>
                <w:bCs/>
                <w:sz w:val="20"/>
                <w:lang w:val="sr-Cyrl-BA"/>
              </w:rPr>
              <w:t xml:space="preserve"> Развој превентивних програма за дјецу у ризику и њихове родитеље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lang w:val="sr-Cyrl-RS"/>
              </w:rPr>
            </w:pPr>
            <w:r>
              <w:rPr>
                <w:rFonts w:cs="Calibri"/>
                <w:bCs/>
                <w:sz w:val="20"/>
                <w:lang w:val="sr-Cyrl-RS"/>
              </w:rPr>
              <w:t>М</w:t>
            </w:r>
            <w:r>
              <w:rPr>
                <w:rFonts w:cs="Calibri"/>
                <w:bCs/>
                <w:sz w:val="20"/>
                <w:lang w:val="bs-Latn-BA"/>
              </w:rPr>
              <w:t>.</w:t>
            </w:r>
            <w:r>
              <w:rPr>
                <w:rFonts w:cs="Calibri"/>
                <w:bCs/>
                <w:sz w:val="20"/>
                <w:lang w:val="sr-Cyrl-CS"/>
              </w:rPr>
              <w:t xml:space="preserve"> </w:t>
            </w:r>
            <w:r>
              <w:rPr>
                <w:rFonts w:cs="Calibri"/>
                <w:bCs/>
                <w:sz w:val="20"/>
                <w:lang w:val="bs-Latn-BA"/>
              </w:rPr>
              <w:t>4.2.</w:t>
            </w:r>
            <w:r>
              <w:rPr>
                <w:rFonts w:cs="Calibri"/>
                <w:bCs/>
                <w:sz w:val="20"/>
                <w:lang w:val="sr-Cyrl-CS"/>
              </w:rPr>
              <w:t>2</w:t>
            </w:r>
            <w:r>
              <w:rPr>
                <w:rFonts w:cs="Calibri"/>
                <w:bCs/>
                <w:sz w:val="20"/>
                <w:lang w:val="bs-Latn-BA"/>
              </w:rPr>
              <w:t>.</w:t>
            </w:r>
            <w:r>
              <w:rPr>
                <w:rFonts w:cs="Calibri"/>
                <w:bCs/>
                <w:sz w:val="20"/>
                <w:lang w:val="sr-Cyrl-CS"/>
              </w:rPr>
              <w:t>7</w:t>
            </w:r>
            <w:r>
              <w:rPr>
                <w:rFonts w:cs="Calibri"/>
                <w:bCs/>
                <w:sz w:val="20"/>
                <w:lang w:val="sr-Cyrl-RS"/>
              </w:rPr>
              <w:t>.</w:t>
            </w:r>
            <w:r>
              <w:rPr>
                <w:rFonts w:cs="Calibri"/>
                <w:bCs/>
                <w:sz w:val="20"/>
                <w:lang w:val="bs-Latn-BA"/>
              </w:rPr>
              <w:t xml:space="preserve">  С</w:t>
            </w:r>
            <w:r>
              <w:rPr>
                <w:rFonts w:cs="Calibri"/>
                <w:bCs/>
                <w:sz w:val="20"/>
                <w:lang w:val="sr-Cyrl-RS"/>
              </w:rPr>
              <w:t xml:space="preserve">оцијална заштита борачких категорија </w:t>
            </w:r>
            <w:r>
              <w:rPr>
                <w:rFonts w:cs="Calibri"/>
                <w:bCs/>
                <w:sz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Cyrl-BA"/>
              </w:rPr>
            </w:pPr>
            <w:r>
              <w:rPr>
                <w:rFonts w:cs="Calibri"/>
                <w:bCs/>
                <w:sz w:val="20"/>
                <w:lang w:val="sr-Cyrl-BA"/>
              </w:rPr>
              <w:t>М. 4.2.2.8. Унапређење партнерства и развој сектора цивилног друштва</w:t>
            </w:r>
            <w:r>
              <w:rPr>
                <w:rFonts w:cs="Calibri"/>
                <w:bCs/>
                <w:sz w:val="20"/>
                <w:szCs w:val="20"/>
                <w:lang w:val="sr-Cyrl-BA"/>
              </w:rPr>
              <w:t xml:space="preserve"> </w:t>
            </w:r>
          </w:p>
          <w:p>
            <w:pPr>
              <w:rPr>
                <w:rFonts w:cs="Calibri"/>
                <w:bCs/>
                <w:sz w:val="20"/>
                <w:szCs w:val="20"/>
                <w:lang w:val="sr-Cyrl-BA"/>
              </w:rPr>
            </w:pPr>
            <w:r>
              <w:rPr>
                <w:rFonts w:cs="Calibri"/>
                <w:bCs/>
                <w:sz w:val="20"/>
                <w:lang w:val="sr-Cyrl-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bCs/>
                <w:sz w:val="20"/>
                <w:szCs w:val="20"/>
                <w:lang w:val="sr-Cyrl-BA"/>
              </w:rPr>
            </w:pPr>
            <w:r>
              <w:rPr>
                <w:rFonts w:cs="Calibri"/>
                <w:bCs/>
                <w:sz w:val="20"/>
                <w:lang w:val="sr-Cyrl-BA"/>
              </w:rPr>
              <w:t>П. 4.2.2.9. Социјални рад у заједници</w:t>
            </w:r>
            <w:r>
              <w:rPr>
                <w:rFonts w:cs="Calibri"/>
                <w:bCs/>
                <w:sz w:val="20"/>
                <w:szCs w:val="20"/>
                <w:lang w:val="sr-Cyrl-BA"/>
              </w:rPr>
              <w:t xml:space="preserve"> </w:t>
            </w:r>
          </w:p>
          <w:p>
            <w:pPr>
              <w:rPr>
                <w:rFonts w:cs="Calibri"/>
                <w:bCs/>
                <w:sz w:val="20"/>
                <w:szCs w:val="20"/>
                <w:lang w:val="sr-Cyrl-BA"/>
              </w:rPr>
            </w:pPr>
            <w:r>
              <w:rPr>
                <w:rFonts w:cs="Calibri"/>
                <w:bCs/>
                <w:sz w:val="20"/>
                <w:lang w:val="sr-Cyrl-BA"/>
              </w:rPr>
              <w:t>(2019-2022.)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bCs/>
                <w:sz w:val="20"/>
                <w:szCs w:val="20"/>
              </w:rPr>
            </w:pPr>
            <w:r>
              <w:rPr>
                <w:b/>
                <w:sz w:val="20"/>
                <w:szCs w:val="20"/>
              </w:rPr>
              <w:t>ПРОГРАМ 4.3.1. ЈАЧАЊЕ ИНСТИТУЦИОНАЛ</w:t>
            </w:r>
            <w:r>
              <w:rPr>
                <w:b/>
                <w:sz w:val="20"/>
                <w:szCs w:val="20"/>
                <w:lang w:val="sr-Cyrl-CS"/>
              </w:rPr>
              <w:t>Н</w:t>
            </w:r>
            <w:r>
              <w:rPr>
                <w:b/>
                <w:sz w:val="20"/>
                <w:szCs w:val="20"/>
              </w:rPr>
              <w:t xml:space="preserve">ИХ </w:t>
            </w:r>
            <w:r>
              <w:rPr>
                <w:b/>
                <w:sz w:val="20"/>
                <w:szCs w:val="20"/>
                <w:lang w:val="sr-Cyrl-CS"/>
              </w:rPr>
              <w:t xml:space="preserve"> </w:t>
            </w:r>
            <w:r>
              <w:rPr>
                <w:b/>
                <w:sz w:val="20"/>
                <w:szCs w:val="20"/>
              </w:rPr>
              <w:t xml:space="preserve">КАПАЦИТЕТА </w:t>
            </w:r>
            <w:r>
              <w:rPr>
                <w:b/>
                <w:sz w:val="20"/>
                <w:szCs w:val="20"/>
                <w:lang w:val="sr-Cyrl-RS"/>
              </w:rPr>
              <w:t>ОД ЗНАЧАЈА ЗА РЕАЛИЗАЦИЈУ  КУЛТУРНЕ ПОЛИТИКЕ ГРАДА БАЊА ЛУКЕ</w:t>
            </w: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sz w:val="20"/>
                <w:lang w:val="sr-Cyrl-RS" w:eastAsia="sr-Latn-CS"/>
              </w:rPr>
              <w:t>П. 4.3.1.1. Унапређени организациони капацитети од значаја за културну политику Града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rFonts w:cs="Calibri"/>
                <w:sz w:val="20"/>
                <w:szCs w:val="20"/>
                <w:lang w:val="sr-Cyrl-RS"/>
              </w:rPr>
            </w:pPr>
            <w:r>
              <w:rPr>
                <w:sz w:val="20"/>
                <w:lang w:val="sr-Cyrl-RS" w:eastAsia="sr-Latn-CS"/>
              </w:rPr>
              <w:t>П. 4.3.1.2. Јачање људских ресурса  од значаја за културну политику Града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CS"/>
              </w:rPr>
            </w:pPr>
            <w:r>
              <w:rPr>
                <w:bCs/>
                <w:sz w:val="20"/>
                <w:lang w:val="sr-Cyrl-CS"/>
              </w:rPr>
              <w:t>П. 4.3.1.3. Развој умјетничке сцене</w:t>
            </w:r>
          </w:p>
          <w:p>
            <w:pPr>
              <w:rPr>
                <w:rFonts w:cs="Calibri"/>
                <w:sz w:val="20"/>
                <w:szCs w:val="20"/>
                <w:lang w:val="sr-Cyrl-RS"/>
              </w:rPr>
            </w:pPr>
            <w:r>
              <w:rPr>
                <w:bCs/>
                <w:sz w:val="20"/>
                <w:lang w:val="sr-Cyrl-C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CS"/>
              </w:rPr>
            </w:pPr>
            <w:r>
              <w:rPr>
                <w:bCs/>
                <w:sz w:val="20"/>
                <w:lang w:val="sr-Cyrl-CS"/>
              </w:rPr>
              <w:t xml:space="preserve">П. </w:t>
            </w:r>
            <w:r>
              <w:rPr>
                <w:bCs/>
                <w:sz w:val="20"/>
                <w:lang w:val="bs-Latn-BA"/>
              </w:rPr>
              <w:t>4.3.1.</w:t>
            </w:r>
            <w:r>
              <w:rPr>
                <w:bCs/>
                <w:sz w:val="20"/>
                <w:lang w:val="sr-Cyrl-RS"/>
              </w:rPr>
              <w:t>4</w:t>
            </w:r>
            <w:r>
              <w:rPr>
                <w:bCs/>
                <w:sz w:val="20"/>
                <w:lang w:val="bs-Latn-BA"/>
              </w:rPr>
              <w:t xml:space="preserve">. Кандидатура </w:t>
            </w:r>
            <w:r>
              <w:rPr>
                <w:bCs/>
                <w:sz w:val="20"/>
                <w:lang w:val="sr-Cyrl-CS"/>
              </w:rPr>
              <w:t xml:space="preserve">Града </w:t>
            </w:r>
            <w:r>
              <w:rPr>
                <w:bCs/>
                <w:sz w:val="20"/>
                <w:lang w:val="bs-Latn-BA"/>
              </w:rPr>
              <w:t xml:space="preserve">за </w:t>
            </w:r>
            <w:r>
              <w:rPr>
                <w:bCs/>
                <w:sz w:val="20"/>
                <w:lang w:val="sr-Cyrl-CS"/>
              </w:rPr>
              <w:t>Европску п</w:t>
            </w:r>
            <w:r>
              <w:rPr>
                <w:bCs/>
                <w:sz w:val="20"/>
                <w:lang w:val="bs-Latn-BA"/>
              </w:rPr>
              <w:t xml:space="preserve">ријестоницу </w:t>
            </w:r>
            <w:r>
              <w:rPr>
                <w:bCs/>
                <w:sz w:val="20"/>
                <w:lang w:val="sr-Cyrl-CS"/>
              </w:rPr>
              <w:t>културе</w:t>
            </w:r>
            <w:r>
              <w:rPr>
                <w:bCs/>
                <w:sz w:val="20"/>
                <w:lang w:val="bs-Latn-BA"/>
              </w:rPr>
              <w:t xml:space="preserve"> 2024.</w:t>
            </w:r>
            <w:r>
              <w:rPr>
                <w:bCs/>
                <w:sz w:val="20"/>
                <w:lang w:val="sr-Cyrl-CS"/>
              </w:rPr>
              <w:t xml:space="preserve">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bCs/>
                <w:sz w:val="20"/>
                <w:szCs w:val="20"/>
              </w:rPr>
            </w:pPr>
            <w:r>
              <w:rPr>
                <w:b/>
                <w:sz w:val="20"/>
                <w:szCs w:val="20"/>
              </w:rPr>
              <w:t>ПРОГРАМ 4.3.2. УНАПРЕЂЕЊЕ ИНФРАСТРУКТУРЕ ОД ЗНАЧАЈА ЗА КУЛТУРУ, УМ</w:t>
            </w:r>
            <w:r>
              <w:rPr>
                <w:b/>
                <w:sz w:val="20"/>
                <w:szCs w:val="20"/>
                <w:lang w:val="sr-Cyrl-CS"/>
              </w:rPr>
              <w:t>Ј</w:t>
            </w:r>
            <w:r>
              <w:rPr>
                <w:b/>
                <w:sz w:val="20"/>
                <w:szCs w:val="20"/>
              </w:rPr>
              <w:t>ЕТНОСТ И ЗАШТИТУ ИСТОРИЈСКОГ НАСЉЕЂА</w:t>
            </w: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sz w:val="20"/>
                <w:lang w:val="sr-Cyrl-CS"/>
              </w:rPr>
              <w:t xml:space="preserve">П. </w:t>
            </w:r>
            <w:r>
              <w:rPr>
                <w:sz w:val="20"/>
                <w:lang w:val="bs-Latn-BA"/>
              </w:rPr>
              <w:t>4.3.2.1. Ревитализa</w:t>
            </w:r>
            <w:r>
              <w:rPr>
                <w:sz w:val="20"/>
                <w:lang w:val="sr-Cyrl-BA"/>
              </w:rPr>
              <w:t xml:space="preserve">ција </w:t>
            </w:r>
            <w:r>
              <w:rPr>
                <w:sz w:val="20"/>
                <w:lang w:val="bs-Latn-BA"/>
              </w:rPr>
              <w:t>Културн</w:t>
            </w:r>
            <w:r>
              <w:rPr>
                <w:sz w:val="20"/>
                <w:lang w:val="sr-Cyrl-BA"/>
              </w:rPr>
              <w:t xml:space="preserve">ог </w:t>
            </w:r>
            <w:r>
              <w:rPr>
                <w:sz w:val="20"/>
                <w:lang w:val="bs-Latn-BA"/>
              </w:rPr>
              <w:t>центр</w:t>
            </w:r>
            <w:r>
              <w:rPr>
                <w:sz w:val="20"/>
                <w:lang w:val="sr-Cyrl-RS"/>
              </w:rPr>
              <w:t>а</w:t>
            </w:r>
            <w:r>
              <w:rPr>
                <w:sz w:val="20"/>
                <w:lang w:val="bs-Latn-BA"/>
              </w:rPr>
              <w:t xml:space="preserve"> ”Бански двор”</w:t>
            </w:r>
            <w:r>
              <w:rPr>
                <w:sz w:val="20"/>
                <w:lang w:val="sr-Cyrl-RS"/>
              </w:rPr>
              <w:t xml:space="preserve"> (2018-2019)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CS"/>
              </w:rPr>
            </w:pPr>
            <w:r>
              <w:rPr>
                <w:sz w:val="20"/>
                <w:lang w:val="sr-Cyrl-CS"/>
              </w:rPr>
              <w:t>П. 4.3.2.2. Ревитализација и реконструкција тврђаве „Кастел“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CS"/>
              </w:rPr>
            </w:pPr>
            <w:r>
              <w:rPr>
                <w:sz w:val="20"/>
                <w:lang w:val="sr-Cyrl-CS"/>
              </w:rPr>
              <w:t xml:space="preserve">П. 4.3.2.3. </w:t>
            </w:r>
            <w:r>
              <w:rPr>
                <w:sz w:val="20"/>
                <w:lang w:val="sr-Cyrl-RS"/>
              </w:rPr>
              <w:t xml:space="preserve"> Израда Програма </w:t>
            </w:r>
            <w:r>
              <w:rPr>
                <w:bCs/>
                <w:sz w:val="20"/>
                <w:lang w:val="sr-Cyrl-RS"/>
              </w:rPr>
              <w:t>ревитализације  културног наслијеђа и тврђава на територији Града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CS"/>
              </w:rPr>
            </w:pPr>
            <w:r>
              <w:rPr>
                <w:bCs/>
                <w:sz w:val="20"/>
                <w:lang w:val="sr-Cyrl-CS"/>
              </w:rPr>
              <w:t xml:space="preserve">П. 4.3.2.4. Успостављање </w:t>
            </w:r>
            <w:r>
              <w:rPr>
                <w:sz w:val="20"/>
                <w:lang w:val="bs-Latn-BA"/>
              </w:rPr>
              <w:t xml:space="preserve"> </w:t>
            </w:r>
            <w:r>
              <w:rPr>
                <w:bCs/>
                <w:sz w:val="20"/>
                <w:lang w:val="sr-Cyrl-CS"/>
              </w:rPr>
              <w:t>зона за умјетност у јавном простору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szCs w:val="20"/>
                <w:lang w:val="sr-Cyrl-CS"/>
              </w:rPr>
            </w:pPr>
            <w:r>
              <w:rPr>
                <w:sz w:val="20"/>
                <w:lang w:val="sr-Cyrl-RS"/>
              </w:rPr>
              <w:t>П. 4.3.2.5. Изградња и реконструкција објеката друштвених садржаја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bCs/>
                <w:sz w:val="20"/>
                <w:szCs w:val="20"/>
              </w:rPr>
            </w:pPr>
            <w:r>
              <w:rPr>
                <w:b/>
                <w:sz w:val="20"/>
                <w:szCs w:val="20"/>
              </w:rPr>
              <w:t>ПРОГРАМ 4.3.3.  РЕАЛИЗАЦИЈА КУЛТУРНИХ САДРЖАЈА У СКЛАДУ СА СТРАТЕГИЈОМ КУЛТУРЕ ГРАДА</w:t>
            </w: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rPr>
            </w:pPr>
            <w:r>
              <w:rPr>
                <w:sz w:val="20"/>
                <w:lang w:val="sr-Cyrl-CS"/>
              </w:rPr>
              <w:t xml:space="preserve">М. </w:t>
            </w:r>
            <w:r>
              <w:rPr>
                <w:sz w:val="20"/>
                <w:lang w:val="bs-Latn-BA"/>
              </w:rPr>
              <w:t xml:space="preserve">4.3.3.1. </w:t>
            </w:r>
            <w:r>
              <w:rPr>
                <w:sz w:val="20"/>
                <w:lang w:val="sr-Cyrl-RS"/>
              </w:rPr>
              <w:t xml:space="preserve">Успостављање и развој партнерства </w:t>
            </w:r>
            <w:r>
              <w:rPr>
                <w:sz w:val="20"/>
                <w:lang w:val="bs-Latn-BA"/>
              </w:rPr>
              <w:t xml:space="preserve">јавног, приватног и сектора </w:t>
            </w:r>
            <w:r>
              <w:rPr>
                <w:sz w:val="20"/>
                <w:lang w:val="sr-Cyrl-CS"/>
              </w:rPr>
              <w:t xml:space="preserve">цивилног </w:t>
            </w:r>
            <w:r>
              <w:rPr>
                <w:sz w:val="20"/>
                <w:lang w:val="bs-Latn-BA"/>
              </w:rPr>
              <w:t>друштва</w:t>
            </w:r>
            <w:r>
              <w:rPr>
                <w:sz w:val="20"/>
                <w:lang w:val="sr-Cyrl-RS"/>
              </w:rPr>
              <w:t xml:space="preserve"> од значаја за реализацију културне политике</w:t>
            </w:r>
          </w:p>
          <w:p>
            <w:pPr>
              <w:rPr>
                <w:sz w:val="20"/>
                <w:szCs w:val="20"/>
                <w:lang w:val="bs-Latn-BA"/>
              </w:rPr>
            </w:pPr>
            <w:r>
              <w:rPr>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CS"/>
              </w:rPr>
            </w:pPr>
            <w:r>
              <w:rPr>
                <w:sz w:val="20"/>
                <w:lang w:val="sr-Cyrl-CS"/>
              </w:rPr>
              <w:t xml:space="preserve">М. </w:t>
            </w:r>
            <w:r>
              <w:rPr>
                <w:sz w:val="20"/>
                <w:lang w:val="bs-Latn-BA"/>
              </w:rPr>
              <w:t xml:space="preserve">4.3.3.2. Реализација пројеката међународне културне размене </w:t>
            </w:r>
            <w:r>
              <w:rPr>
                <w:sz w:val="20"/>
                <w:lang w:val="sr-Cyrl-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bCs/>
                <w:sz w:val="20"/>
                <w:szCs w:val="20"/>
              </w:rPr>
            </w:pPr>
            <w:r>
              <w:rPr>
                <w:b/>
                <w:sz w:val="20"/>
                <w:szCs w:val="20"/>
              </w:rPr>
              <w:t>ПРОГРАМ 4.4.</w:t>
            </w:r>
            <w:r>
              <w:rPr>
                <w:b/>
                <w:sz w:val="20"/>
                <w:szCs w:val="20"/>
                <w:lang w:val="sr-Cyrl-RS"/>
              </w:rPr>
              <w:t xml:space="preserve">1. </w:t>
            </w:r>
            <w:r>
              <w:rPr>
                <w:b/>
                <w:sz w:val="20"/>
                <w:szCs w:val="20"/>
              </w:rPr>
              <w:t xml:space="preserve"> ЈАЧАЊЕ ИНСТИТУЦИОНАЛ</w:t>
            </w:r>
            <w:r>
              <w:rPr>
                <w:b/>
                <w:sz w:val="20"/>
                <w:szCs w:val="20"/>
                <w:lang w:val="sr-Cyrl-CS"/>
              </w:rPr>
              <w:t>Н</w:t>
            </w:r>
            <w:r>
              <w:rPr>
                <w:b/>
                <w:sz w:val="20"/>
                <w:szCs w:val="20"/>
              </w:rPr>
              <w:t xml:space="preserve">ИХ КАПАЦИТЕТА </w:t>
            </w:r>
            <w:r>
              <w:rPr>
                <w:b/>
                <w:sz w:val="20"/>
                <w:szCs w:val="20"/>
                <w:lang w:val="sr-Cyrl-RS"/>
              </w:rPr>
              <w:t>ОД ЗНАЧАЈА ЗА РЕАЛИЗАЦИЈУ  ПОЛИТИКЕ РАЗВОЈА СПОРТА ГРАДА БАЊА ЛУКЕ</w:t>
            </w: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szCs w:val="20"/>
                <w:lang w:val="sr-Cyrl-RS"/>
              </w:rPr>
            </w:pPr>
            <w:r>
              <w:rPr>
                <w:sz w:val="20"/>
                <w:lang w:val="sr-Cyrl-RS"/>
              </w:rPr>
              <w:t>П. 4.4.1.1. Развој и унапређење вредновања спортских резултата  (2018-2019.)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szCs w:val="20"/>
                <w:lang w:val="sr-Cyrl-RS"/>
              </w:rPr>
            </w:pPr>
            <w:r>
              <w:rPr>
                <w:sz w:val="20"/>
                <w:lang w:val="sr-Cyrl-RS"/>
              </w:rPr>
              <w:t>М. 4.4.1.2. Финансирање спорта у складу са важећим правним оквиром</w:t>
            </w:r>
            <w:r>
              <w:rPr>
                <w:sz w:val="20"/>
                <w:lang w:val="sr-Latn-RS"/>
              </w:rPr>
              <w:t xml:space="preserve"> </w:t>
            </w:r>
            <w:r>
              <w:rPr>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szCs w:val="20"/>
                <w:lang w:val="sr-Cyrl-RS"/>
              </w:rPr>
            </w:pPr>
            <w:r>
              <w:rPr>
                <w:sz w:val="20"/>
                <w:lang w:val="sr-Cyrl-RS"/>
              </w:rPr>
              <w:t>П. 4.4.1.3. Континуирана едукација у спорту на територији града Бања Лука (2020-2022.)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szCs w:val="20"/>
                <w:lang w:val="sr-Cyrl-RS"/>
              </w:rPr>
            </w:pPr>
            <w:r>
              <w:rPr>
                <w:sz w:val="20"/>
                <w:lang w:val="sr-Cyrl-RS"/>
              </w:rPr>
              <w:t>П. 4.4.1.4. Успостављање информационог система у спорту (2021-2022.)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rFonts w:ascii="Times New Roman" w:hAnsi="Times New Roman"/>
                <w:sz w:val="20"/>
                <w:szCs w:val="20"/>
              </w:rPr>
            </w:pPr>
            <w:r>
              <w:rPr>
                <w:b/>
                <w:sz w:val="20"/>
                <w:szCs w:val="20"/>
              </w:rPr>
              <w:t>ПРОГРАМ 4.4.</w:t>
            </w:r>
            <w:r>
              <w:rPr>
                <w:b/>
                <w:sz w:val="20"/>
                <w:szCs w:val="20"/>
                <w:lang w:val="sr-Cyrl-RS"/>
              </w:rPr>
              <w:t>2</w:t>
            </w:r>
            <w:r>
              <w:rPr>
                <w:b/>
                <w:sz w:val="20"/>
                <w:szCs w:val="20"/>
              </w:rPr>
              <w:t xml:space="preserve">. </w:t>
            </w:r>
            <w:r>
              <w:rPr>
                <w:b/>
                <w:sz w:val="20"/>
                <w:szCs w:val="20"/>
                <w:lang w:val="sr-Latn-RS"/>
              </w:rPr>
              <w:t xml:space="preserve"> </w:t>
            </w:r>
            <w:r>
              <w:rPr>
                <w:b/>
                <w:sz w:val="20"/>
                <w:szCs w:val="20"/>
              </w:rPr>
              <w:t xml:space="preserve">УНАПРЕЂЕЊЕ СПОРТСКЕ </w:t>
            </w:r>
            <w:r>
              <w:rPr>
                <w:b/>
                <w:sz w:val="20"/>
                <w:szCs w:val="20"/>
                <w:lang w:val="sr-Cyrl-CS"/>
              </w:rPr>
              <w:t xml:space="preserve">И РЕКРЕАТИВНЕ </w:t>
            </w:r>
            <w:r>
              <w:rPr>
                <w:b/>
                <w:sz w:val="20"/>
                <w:szCs w:val="20"/>
              </w:rPr>
              <w:t xml:space="preserve">ИНФРАСТРУКТУРЕ </w:t>
            </w:r>
            <w:r>
              <w:rPr>
                <w:b/>
                <w:sz w:val="20"/>
                <w:szCs w:val="20"/>
                <w:lang w:val="sr-Cyrl-RS"/>
              </w:rPr>
              <w:t xml:space="preserve"> </w:t>
            </w:r>
            <w:r>
              <w:rPr>
                <w:rFonts w:ascii="Times New Roman" w:hAnsi="Times New Roman"/>
                <w:sz w:val="20"/>
                <w:szCs w:val="20"/>
              </w:rPr>
              <w:t xml:space="preserve"> </w:t>
            </w: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rPr>
            </w:pPr>
            <w:r>
              <w:rPr>
                <w:sz w:val="20"/>
                <w:lang w:val="bs-Latn-BA"/>
              </w:rPr>
              <w:t>П.</w:t>
            </w:r>
            <w:r>
              <w:rPr>
                <w:sz w:val="20"/>
                <w:lang w:val="sr-Cyrl-CS"/>
              </w:rPr>
              <w:t xml:space="preserve"> </w:t>
            </w:r>
            <w:bookmarkStart w:id="149" w:name="_Hlk523898792"/>
            <w:r>
              <w:rPr>
                <w:sz w:val="20"/>
                <w:lang w:val="bs-Latn-BA"/>
              </w:rPr>
              <w:t>4.4.</w:t>
            </w:r>
            <w:r>
              <w:rPr>
                <w:sz w:val="20"/>
                <w:lang w:val="sr-Cyrl-RS"/>
              </w:rPr>
              <w:t>2</w:t>
            </w:r>
            <w:r>
              <w:rPr>
                <w:sz w:val="20"/>
                <w:lang w:val="bs-Latn-BA"/>
              </w:rPr>
              <w:t>.</w:t>
            </w:r>
            <w:r>
              <w:rPr>
                <w:sz w:val="20"/>
                <w:lang w:val="sr-Cyrl-RS"/>
              </w:rPr>
              <w:t>1</w:t>
            </w:r>
            <w:r>
              <w:rPr>
                <w:sz w:val="20"/>
                <w:lang w:val="bs-Latn-BA"/>
              </w:rPr>
              <w:t xml:space="preserve">. </w:t>
            </w:r>
            <w:bookmarkEnd w:id="149"/>
            <w:r>
              <w:rPr>
                <w:sz w:val="20"/>
                <w:lang w:val="bs-Latn-BA"/>
              </w:rPr>
              <w:t>Изградња</w:t>
            </w:r>
            <w:r>
              <w:rPr>
                <w:sz w:val="20"/>
                <w:lang w:val="sr-Cyrl-CS"/>
              </w:rPr>
              <w:t xml:space="preserve">, реконструкција и опремање </w:t>
            </w:r>
            <w:r>
              <w:rPr>
                <w:sz w:val="20"/>
                <w:lang w:val="bs-Latn-BA"/>
              </w:rPr>
              <w:t xml:space="preserve"> </w:t>
            </w:r>
            <w:r>
              <w:rPr>
                <w:sz w:val="20"/>
                <w:lang w:val="sr-Cyrl-RS"/>
              </w:rPr>
              <w:t xml:space="preserve">отворених и затворених </w:t>
            </w:r>
            <w:r>
              <w:rPr>
                <w:sz w:val="20"/>
                <w:lang w:val="bs-Latn-BA"/>
              </w:rPr>
              <w:t>спортс</w:t>
            </w:r>
            <w:r>
              <w:rPr>
                <w:sz w:val="20"/>
                <w:lang w:val="sr-Cyrl-CS"/>
              </w:rPr>
              <w:t>к</w:t>
            </w:r>
            <w:r>
              <w:rPr>
                <w:sz w:val="20"/>
                <w:lang w:val="bs-Latn-BA"/>
              </w:rPr>
              <w:t>их</w:t>
            </w:r>
            <w:r>
              <w:rPr>
                <w:sz w:val="20"/>
                <w:lang w:val="sr-Cyrl-RS"/>
              </w:rPr>
              <w:t xml:space="preserve"> објеката (</w:t>
            </w:r>
            <w:r>
              <w:rPr>
                <w:sz w:val="20"/>
                <w:lang w:val="bs-Latn-BA"/>
              </w:rPr>
              <w:t>дворан</w:t>
            </w:r>
            <w:r>
              <w:rPr>
                <w:sz w:val="20"/>
                <w:lang w:val="sr-Cyrl-RS"/>
              </w:rPr>
              <w:t>е</w:t>
            </w:r>
            <w:r>
              <w:rPr>
                <w:sz w:val="20"/>
                <w:lang w:val="bs-Latn-BA"/>
              </w:rPr>
              <w:t xml:space="preserve"> и</w:t>
            </w:r>
            <w:r>
              <w:rPr>
                <w:sz w:val="20"/>
                <w:lang w:val="sr-Cyrl-RS"/>
              </w:rPr>
              <w:t xml:space="preserve"> спортски терени) </w:t>
            </w:r>
          </w:p>
          <w:p>
            <w:pPr>
              <w:rPr>
                <w:sz w:val="20"/>
                <w:lang w:val="sr-Cyrl-RS"/>
              </w:rPr>
            </w:pPr>
            <w:r>
              <w:rPr>
                <w:sz w:val="20"/>
                <w:lang w:val="sr-Cyrl-R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pStyle w:val="54"/>
              <w:rPr>
                <w:sz w:val="20"/>
                <w:szCs w:val="20"/>
                <w:lang w:val="sr-Cyrl-RS" w:eastAsia="sr-Latn-CS"/>
              </w:rPr>
            </w:pPr>
            <w:r>
              <w:rPr>
                <w:sz w:val="20"/>
                <w:lang w:eastAsia="sr-Latn-CS"/>
              </w:rPr>
              <w:t>П.4.4.</w:t>
            </w:r>
            <w:r>
              <w:rPr>
                <w:sz w:val="20"/>
                <w:lang w:val="sr-Cyrl-RS" w:eastAsia="sr-Latn-CS"/>
              </w:rPr>
              <w:t>2</w:t>
            </w:r>
            <w:r>
              <w:rPr>
                <w:sz w:val="20"/>
                <w:lang w:eastAsia="sr-Latn-CS"/>
              </w:rPr>
              <w:t>.</w:t>
            </w:r>
            <w:r>
              <w:rPr>
                <w:sz w:val="20"/>
                <w:lang w:val="sr-Cyrl-RS" w:eastAsia="sr-Latn-CS"/>
              </w:rPr>
              <w:t>2</w:t>
            </w:r>
            <w:r>
              <w:rPr>
                <w:sz w:val="20"/>
                <w:lang w:eastAsia="sr-Latn-CS"/>
              </w:rPr>
              <w:t>. Унапре</w:t>
            </w:r>
            <w:r>
              <w:rPr>
                <w:sz w:val="20"/>
                <w:lang w:val="sr-Cyrl-RS" w:eastAsia="sr-Latn-CS"/>
              </w:rPr>
              <w:t>ђе</w:t>
            </w:r>
            <w:r>
              <w:rPr>
                <w:sz w:val="20"/>
                <w:lang w:val="sr-Cyrl-CS" w:eastAsia="sr-Latn-CS"/>
              </w:rPr>
              <w:t>ње</w:t>
            </w:r>
            <w:r>
              <w:rPr>
                <w:sz w:val="20"/>
                <w:lang w:eastAsia="sr-Latn-CS"/>
              </w:rPr>
              <w:t xml:space="preserve"> јавн</w:t>
            </w:r>
            <w:r>
              <w:rPr>
                <w:sz w:val="20"/>
                <w:lang w:val="sr-Cyrl-CS" w:eastAsia="sr-Latn-CS"/>
              </w:rPr>
              <w:t>а</w:t>
            </w:r>
            <w:r>
              <w:rPr>
                <w:sz w:val="20"/>
                <w:lang w:eastAsia="sr-Latn-CS"/>
              </w:rPr>
              <w:t xml:space="preserve"> инфраструктуре за рекареативн</w:t>
            </w:r>
            <w:r>
              <w:rPr>
                <w:sz w:val="20"/>
                <w:lang w:val="sr-Cyrl-CS" w:eastAsia="sr-Latn-CS"/>
              </w:rPr>
              <w:t>е</w:t>
            </w:r>
            <w:r>
              <w:rPr>
                <w:sz w:val="20"/>
                <w:lang w:eastAsia="sr-Latn-CS"/>
              </w:rPr>
              <w:t xml:space="preserve"> садржаје </w:t>
            </w:r>
            <w:r>
              <w:rPr>
                <w:sz w:val="20"/>
                <w:lang w:val="sr-Cyrl-RS" w:eastAsia="sr-Latn-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lang w:val="sr-Cyrl-RS" w:eastAsia="sr-Latn-CS"/>
              </w:rPr>
            </w:pPr>
            <w:r>
              <w:rPr>
                <w:sz w:val="20"/>
                <w:lang w:val="sr-Cyrl-RS" w:eastAsia="sr-Latn-CS"/>
              </w:rPr>
              <w:t xml:space="preserve">П. 4.4.2.3. Изградња дјечијих игралишта </w:t>
            </w:r>
          </w:p>
          <w:p>
            <w:pPr>
              <w:pStyle w:val="54"/>
              <w:rPr>
                <w:sz w:val="20"/>
                <w:szCs w:val="20"/>
                <w:lang w:val="sr-Latn-RS" w:eastAsia="sr-Latn-CS"/>
              </w:rPr>
            </w:pPr>
            <w:r>
              <w:rPr>
                <w:sz w:val="20"/>
                <w:lang w:val="sr-Cyrl-RS" w:eastAsia="sr-Latn-CS"/>
              </w:rPr>
              <w:t xml:space="preserve">(2018-2022.)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vAlign w:val="center"/>
          </w:tcPr>
          <w:p>
            <w:pPr>
              <w:tabs>
                <w:tab w:val="left" w:pos="902"/>
              </w:tabs>
              <w:rPr>
                <w:sz w:val="20"/>
                <w:szCs w:val="20"/>
                <w:lang w:val="sr-Cyrl-RS"/>
              </w:rPr>
            </w:pPr>
            <w:r>
              <w:rPr>
                <w:sz w:val="20"/>
                <w:lang w:val="sr-Cyrl-RS"/>
              </w:rPr>
              <w:t>М. 4.4.2.4. Уређење излетничко-рекреативних површина у граду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bCs/>
                <w:sz w:val="20"/>
                <w:szCs w:val="20"/>
              </w:rPr>
            </w:pPr>
            <w:r>
              <w:rPr>
                <w:b/>
                <w:sz w:val="20"/>
                <w:szCs w:val="20"/>
              </w:rPr>
              <w:t>ПРОГРАМ 4.4.</w:t>
            </w:r>
            <w:r>
              <w:rPr>
                <w:b/>
                <w:sz w:val="20"/>
                <w:szCs w:val="20"/>
                <w:lang w:val="sr-Cyrl-CS"/>
              </w:rPr>
              <w:t>3</w:t>
            </w:r>
            <w:r>
              <w:rPr>
                <w:b/>
                <w:sz w:val="20"/>
                <w:szCs w:val="20"/>
              </w:rPr>
              <w:t>.</w:t>
            </w:r>
            <w:r>
              <w:rPr>
                <w:b/>
                <w:sz w:val="20"/>
                <w:szCs w:val="20"/>
                <w:lang w:val="sr-Latn-RS"/>
              </w:rPr>
              <w:t xml:space="preserve"> </w:t>
            </w:r>
            <w:r>
              <w:rPr>
                <w:sz w:val="20"/>
                <w:szCs w:val="20"/>
                <w:lang w:val="sr-Cyrl-RS"/>
              </w:rPr>
              <w:t xml:space="preserve"> </w:t>
            </w:r>
            <w:r>
              <w:rPr>
                <w:b/>
                <w:sz w:val="20"/>
                <w:szCs w:val="20"/>
                <w:lang w:val="sr-Cyrl-RS"/>
              </w:rPr>
              <w:t>РЕАЛИЗАЦИЈА СПОРТСКИХ САДРЖАЈА У СКЛАДУ СА ПРОГРАМОМ РАЗВОЈА СПОРТА ГРАДА БАЊА ЛУКА</w:t>
            </w: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lang w:val="sr-Cyrl-RS"/>
              </w:rPr>
            </w:pPr>
            <w:r>
              <w:rPr>
                <w:sz w:val="20"/>
                <w:lang w:val="sr-Cyrl-RS"/>
              </w:rPr>
              <w:t>П</w:t>
            </w:r>
            <w:r>
              <w:rPr>
                <w:sz w:val="20"/>
                <w:lang w:val="bs-Latn-BA"/>
              </w:rPr>
              <w:t>. 4.4.</w:t>
            </w:r>
            <w:r>
              <w:rPr>
                <w:sz w:val="20"/>
                <w:lang w:val="sr-Cyrl-CS"/>
              </w:rPr>
              <w:t>3</w:t>
            </w:r>
            <w:r>
              <w:rPr>
                <w:sz w:val="20"/>
                <w:lang w:val="bs-Latn-BA"/>
              </w:rPr>
              <w:t xml:space="preserve">.1. </w:t>
            </w:r>
            <w:r>
              <w:rPr>
                <w:sz w:val="20"/>
                <w:lang w:val="sr-Cyrl-RS"/>
              </w:rPr>
              <w:t>Спорт доступан дјеци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lang w:val="sr-Cyrl-RS"/>
              </w:rPr>
            </w:pPr>
            <w:r>
              <w:rPr>
                <w:sz w:val="20"/>
                <w:lang w:val="sr-Cyrl-RS"/>
              </w:rPr>
              <w:t>М. 4.4.3.2. Мале олимпијске игре у Републици  Српској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szCs w:val="20"/>
                <w:lang w:val="sr-Cyrl-RS"/>
              </w:rPr>
            </w:pPr>
            <w:r>
              <w:rPr>
                <w:sz w:val="20"/>
                <w:lang w:val="sr-Cyrl-RS"/>
              </w:rPr>
              <w:t>П. 4.4.3.3. Европски град спорта – Развој спорта кроз школске спортске секције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tabs>
                <w:tab w:val="left" w:pos="902"/>
              </w:tabs>
              <w:rPr>
                <w:sz w:val="20"/>
                <w:szCs w:val="20"/>
                <w:lang w:val="sr-Cyrl-RS"/>
              </w:rPr>
            </w:pPr>
            <w:r>
              <w:rPr>
                <w:sz w:val="20"/>
                <w:lang w:val="sr-Cyrl-RS"/>
              </w:rPr>
              <w:t>П.4.4.3.4. Развој и унапређење спортске рекреације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bCs/>
                <w:sz w:val="20"/>
                <w:szCs w:val="20"/>
              </w:rPr>
            </w:pPr>
            <w:r>
              <w:rPr>
                <w:b/>
                <w:sz w:val="20"/>
                <w:szCs w:val="20"/>
              </w:rPr>
              <w:t>ПРОГРАМ 4.5.</w:t>
            </w:r>
            <w:r>
              <w:rPr>
                <w:b/>
                <w:sz w:val="20"/>
                <w:szCs w:val="20"/>
                <w:lang w:val="sr-Latn-RS"/>
              </w:rPr>
              <w:t>1</w:t>
            </w:r>
            <w:r>
              <w:rPr>
                <w:b/>
                <w:sz w:val="20"/>
                <w:szCs w:val="20"/>
              </w:rPr>
              <w:t>. УНАПРЕЂЕЊЕ БЕЗБ</w:t>
            </w:r>
            <w:r>
              <w:rPr>
                <w:b/>
                <w:sz w:val="20"/>
                <w:szCs w:val="20"/>
                <w:lang w:val="sr-Cyrl-RS"/>
              </w:rPr>
              <w:t>Ј</w:t>
            </w:r>
            <w:r>
              <w:rPr>
                <w:b/>
                <w:sz w:val="20"/>
                <w:szCs w:val="20"/>
              </w:rPr>
              <w:t>ЕДНОСТИ ГРАЂАНА</w:t>
            </w:r>
          </w:p>
        </w:tc>
        <w:tc>
          <w:tcPr>
            <w:tcW w:w="4341" w:type="dxa"/>
            <w:tcBorders>
              <w:top w:val="single" w:color="000000" w:sz="4" w:space="0"/>
              <w:left w:val="single" w:color="000000" w:sz="4" w:space="0"/>
              <w:bottom w:val="single" w:color="000000" w:sz="4" w:space="0"/>
              <w:right w:val="single" w:color="000000" w:sz="4" w:space="0"/>
            </w:tcBorders>
          </w:tcPr>
          <w:p>
            <w:pPr>
              <w:spacing w:after="120"/>
              <w:rPr>
                <w:bCs/>
                <w:sz w:val="20"/>
                <w:lang w:val="sr-Cyrl-RS"/>
              </w:rPr>
            </w:pPr>
            <w:r>
              <w:rPr>
                <w:bCs/>
                <w:sz w:val="20"/>
                <w:lang w:val="sr-Cyrl-RS"/>
              </w:rPr>
              <w:t xml:space="preserve">П. 4.5.1.1. </w:t>
            </w:r>
            <w:r>
              <w:rPr>
                <w:bCs/>
                <w:sz w:val="20"/>
                <w:lang w:val="bs-Latn-BA"/>
              </w:rPr>
              <w:t xml:space="preserve"> </w:t>
            </w:r>
            <w:r>
              <w:rPr>
                <w:bCs/>
                <w:sz w:val="20"/>
                <w:lang w:val="sr-Cyrl-RS"/>
              </w:rPr>
              <w:t xml:space="preserve">Успостављање институционалних капацитета за активно укључивање представника јавног, приватног и сектора цивилног друштва у питањима од значаја за унапријеђење безбједности у граду </w:t>
            </w:r>
          </w:p>
          <w:p>
            <w:pPr>
              <w:spacing w:after="120"/>
              <w:rPr>
                <w:bCs/>
                <w:sz w:val="20"/>
                <w:szCs w:val="20"/>
                <w:lang w:val="sr-Cyrl-RS"/>
              </w:rPr>
            </w:pPr>
            <w:r>
              <w:rPr>
                <w:bCs/>
                <w:sz w:val="20"/>
                <w:lang w:val="sr-Cyrl-RS"/>
              </w:rPr>
              <w:t>(2018-2020.)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lang w:val="sr-Cyrl-RS"/>
              </w:rPr>
              <w:t>М.4.5.1.2. Рад Савјета за безбједност саобраћаја града Бања Лука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sz w:val="20"/>
                <w:szCs w:val="20"/>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lang w:val="sr-Cyrl-RS"/>
              </w:rPr>
              <w:t>П. 4.5.1.3. Развој и промоција безбједног и здравог живота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bCs/>
                <w:sz w:val="20"/>
                <w:szCs w:val="20"/>
              </w:rPr>
            </w:pPr>
            <w:r>
              <w:rPr>
                <w:b/>
                <w:sz w:val="20"/>
                <w:szCs w:val="20"/>
                <w:lang w:val="sr-Cyrl-RS"/>
              </w:rPr>
              <w:t>ПРОГРАМ 4.5.2. РАЗВОЈ КОМУНАЛНЕ ИНФРАСТРУКТУРЕ У ЦИЉУ ПОВЕЋАЊА БЕЗБЈЕДНОСТИ ГРАЂАНА</w:t>
            </w:r>
          </w:p>
        </w:tc>
        <w:tc>
          <w:tcPr>
            <w:tcW w:w="4341" w:type="dxa"/>
            <w:tcBorders>
              <w:top w:val="single" w:color="000000" w:sz="4" w:space="0"/>
              <w:left w:val="single" w:color="000000" w:sz="4" w:space="0"/>
              <w:bottom w:val="single" w:color="000000" w:sz="4" w:space="0"/>
              <w:right w:val="single" w:color="000000" w:sz="4" w:space="0"/>
            </w:tcBorders>
          </w:tcPr>
          <w:p>
            <w:pPr>
              <w:spacing w:after="120"/>
              <w:rPr>
                <w:bCs/>
                <w:sz w:val="20"/>
                <w:lang w:val="sr-Cyrl-RS"/>
              </w:rPr>
            </w:pPr>
            <w:r>
              <w:rPr>
                <w:bCs/>
                <w:sz w:val="20"/>
                <w:lang w:val="sr-Cyrl-RS"/>
              </w:rPr>
              <w:t>П. 4.5.2.1. Постављање видео надзора на јавним мјестима (2018-2021.)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bCs/>
                <w:sz w:val="20"/>
                <w:szCs w:val="20"/>
                <w:lang w:val="sr-Cyrl-RS"/>
              </w:rPr>
            </w:pPr>
            <w:r>
              <w:rPr>
                <w:sz w:val="20"/>
                <w:lang w:val="sr-Cyrl-RS"/>
              </w:rPr>
              <w:t>П. 4.5.2.</w:t>
            </w:r>
            <w:r>
              <w:rPr>
                <w:sz w:val="20"/>
              </w:rPr>
              <w:t>2</w:t>
            </w:r>
            <w:r>
              <w:rPr>
                <w:sz w:val="20"/>
                <w:lang w:val="sr-Cyrl-RS"/>
              </w:rPr>
              <w:t>. Успостављање прихватилишта и карантина и опремање зоосанитарне службе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rPr>
                <w:b/>
                <w:bCs/>
              </w:rPr>
            </w:pPr>
          </w:p>
        </w:tc>
        <w:tc>
          <w:tcPr>
            <w:tcW w:w="4341" w:type="dxa"/>
            <w:tcBorders>
              <w:top w:val="single" w:color="000000" w:sz="4" w:space="0"/>
              <w:left w:val="single" w:color="000000" w:sz="4" w:space="0"/>
              <w:bottom w:val="single" w:color="000000" w:sz="4" w:space="0"/>
              <w:right w:val="single" w:color="000000" w:sz="4" w:space="0"/>
            </w:tcBorders>
            <w:vAlign w:val="center"/>
          </w:tcPr>
          <w:p>
            <w:pPr>
              <w:rPr>
                <w:sz w:val="20"/>
                <w:lang w:val="sr-Cyrl-RS"/>
              </w:rPr>
            </w:pPr>
            <w:r>
              <w:rPr>
                <w:sz w:val="20"/>
                <w:lang w:val="sr-Cyrl-RS"/>
              </w:rPr>
              <w:t>П. 4.5.2.</w:t>
            </w:r>
            <w:r>
              <w:rPr>
                <w:sz w:val="20"/>
              </w:rPr>
              <w:t>3</w:t>
            </w:r>
            <w:r>
              <w:rPr>
                <w:sz w:val="20"/>
                <w:lang w:val="sr-Cyrl-RS"/>
              </w:rPr>
              <w:t xml:space="preserve">. Интерактивни центар – Азил за псе </w:t>
            </w:r>
          </w:p>
          <w:p>
            <w:pPr>
              <w:rPr>
                <w:bCs/>
                <w:sz w:val="20"/>
                <w:szCs w:val="20"/>
                <w:lang w:val="sr-Cyrl-RS"/>
              </w:rPr>
            </w:pPr>
            <w:r>
              <w:rPr>
                <w:sz w:val="20"/>
                <w:lang w:val="sr-Cyrl-RS"/>
              </w:rPr>
              <w:t>(2019-2022.)</w:t>
            </w:r>
          </w:p>
        </w:tc>
      </w:tr>
    </w:tbl>
    <w:p>
      <w:pPr>
        <w:jc w:val="both"/>
        <w:rPr>
          <w:sz w:val="20"/>
          <w:szCs w:val="20"/>
          <w:lang w:val="sr-Cyrl-RS"/>
        </w:rPr>
      </w:pPr>
    </w:p>
    <w:p>
      <w:pPr>
        <w:jc w:val="both"/>
        <w:rPr>
          <w:lang w:val="sr-Cyrl-CS"/>
        </w:rPr>
      </w:pPr>
      <w:r>
        <w:t xml:space="preserve">Укупна очекивана улагања за реализацију секторског плана </w:t>
      </w:r>
      <w:r>
        <w:rPr>
          <w:lang w:val="sr-Cyrl-RS"/>
        </w:rPr>
        <w:t xml:space="preserve">друштвеног </w:t>
      </w:r>
      <w:r>
        <w:t>развоја за период 201</w:t>
      </w:r>
      <w:r>
        <w:rPr>
          <w:lang w:val="sr-Cyrl-RS"/>
        </w:rPr>
        <w:t>8</w:t>
      </w:r>
      <w:r>
        <w:t>-202</w:t>
      </w:r>
      <w:r>
        <w:rPr>
          <w:lang w:val="sr-Cyrl-RS"/>
        </w:rPr>
        <w:t>2</w:t>
      </w:r>
      <w:r>
        <w:t xml:space="preserve">. године износе </w:t>
      </w:r>
      <w:r>
        <w:rPr>
          <w:b/>
        </w:rPr>
        <w:t>113.907.000 КМ.</w:t>
      </w:r>
      <w:r>
        <w:t xml:space="preserve"> </w:t>
      </w:r>
    </w:p>
    <w:p>
      <w:pPr>
        <w:jc w:val="both"/>
        <w:rPr>
          <w:lang w:val="sr-Cyrl-CS"/>
        </w:rPr>
      </w:pPr>
    </w:p>
    <w:p>
      <w:pPr>
        <w:pStyle w:val="3"/>
      </w:pPr>
      <w:bookmarkStart w:id="150" w:name="_Toc452886797"/>
      <w:bookmarkStart w:id="151" w:name="_Toc298390164"/>
      <w:bookmarkStart w:id="152" w:name="_Toc461719861"/>
      <w:bookmarkStart w:id="153" w:name="_Toc473095877"/>
      <w:bookmarkStart w:id="154" w:name="_Toc526761939"/>
      <w:r>
        <w:t>V.4.</w:t>
      </w:r>
      <w:r>
        <w:tab/>
      </w:r>
      <w:r>
        <w:t>План заштите животне средине</w:t>
      </w:r>
      <w:bookmarkEnd w:id="150"/>
      <w:bookmarkEnd w:id="151"/>
      <w:bookmarkEnd w:id="152"/>
      <w:bookmarkEnd w:id="153"/>
      <w:r>
        <w:t xml:space="preserve"> и развоја комуналне инфраструктуре</w:t>
      </w:r>
      <w:bookmarkEnd w:id="154"/>
    </w:p>
    <w:p>
      <w:pPr>
        <w:jc w:val="both"/>
      </w:pPr>
      <w:r>
        <w:t>План заштите</w:t>
      </w:r>
      <w:r>
        <w:rPr>
          <w:lang w:val="sr-Cyrl-CS"/>
        </w:rPr>
        <w:t xml:space="preserve"> </w:t>
      </w:r>
      <w:r>
        <w:t>животне средине служи као инструмент за заштиту и унапређивање животне средине у локалној заједници. Њиме се осигурава одговорно управљање природним ресурсима и околином, којим ће се уравнотежено задовољити потребе садашње и будућих генерација у локалној заједници.</w:t>
      </w:r>
    </w:p>
    <w:p>
      <w:pPr>
        <w:spacing w:before="120" w:after="120"/>
        <w:jc w:val="both"/>
        <w:rPr>
          <w:lang w:val="sr-Cyrl-RS"/>
        </w:rPr>
      </w:pPr>
      <w:r>
        <w:t xml:space="preserve">Секторски план заштите животне средине </w:t>
      </w:r>
      <w:r>
        <w:rPr>
          <w:lang w:val="sr-Cyrl-RS"/>
        </w:rPr>
        <w:t>града Бања Лука</w:t>
      </w:r>
      <w:r>
        <w:t xml:space="preserve"> je израђен на основу резултата социо-економске анализе, дефинисане визије развоја и стратешких циљева као и анализе снага, слабости, прилика и пријетњи у сектору животне средине. На основу утврђене визије и стратешких циљева </w:t>
      </w:r>
      <w:r>
        <w:rPr>
          <w:lang w:val="sr-Cyrl-CS"/>
        </w:rPr>
        <w:t>план</w:t>
      </w:r>
      <w:r>
        <w:t xml:space="preserve"> је да се проблеми заштите животне средине рјешавају кроз</w:t>
      </w:r>
      <w:r>
        <w:rPr>
          <w:lang w:val="sr-Cyrl-RS"/>
        </w:rPr>
        <w:t xml:space="preserve"> примјену </w:t>
      </w:r>
      <w:r>
        <w:rPr>
          <w:rFonts w:cs="Helvetica"/>
          <w:i/>
          <w:color w:val="000000"/>
          <w:shd w:val="clear" w:color="auto" w:fill="FFFFFF"/>
          <w:lang w:val="sr-Latn-RS"/>
        </w:rPr>
        <w:t xml:space="preserve">Green City </w:t>
      </w:r>
      <w:r>
        <w:rPr>
          <w:rFonts w:cs="Helvetica"/>
          <w:color w:val="000000"/>
          <w:shd w:val="clear" w:color="auto" w:fill="FFFFFF"/>
          <w:lang w:val="sr-Cyrl-RS"/>
        </w:rPr>
        <w:t>концепта, који подразумјева интегрисани приступ изградњи</w:t>
      </w:r>
      <w:r>
        <w:t xml:space="preserve"> инфраструктур</w:t>
      </w:r>
      <w:r>
        <w:rPr>
          <w:lang w:val="sr-Cyrl-RS"/>
        </w:rPr>
        <w:t>е у области</w:t>
      </w:r>
      <w:r>
        <w:t xml:space="preserve"> водоснабдијевања и канализације, прикупљања, одвода и прераде отпадних вода, збрињавања отпада,</w:t>
      </w:r>
      <w:r>
        <w:rPr>
          <w:lang w:val="sr-Cyrl-RS"/>
        </w:rPr>
        <w:t xml:space="preserve"> осигурања квалитета ваздуха и саобраћаја, енергетске ефикасности и заштите од природних непогода,</w:t>
      </w:r>
      <w:r>
        <w:t xml:space="preserve"> као и кроз израду планске документације и активније спровођење постојеће.</w:t>
      </w:r>
      <w:r>
        <w:rPr>
          <w:lang w:val="sr-Cyrl-RS"/>
        </w:rPr>
        <w:t xml:space="preserve"> Фокус сектора заштите животне средине је и интегрисано управљање зеленим површинама и парковима, као и очување биодиверзитета на територији града Бања Лука.</w:t>
      </w:r>
    </w:p>
    <w:p>
      <w:pPr>
        <w:jc w:val="both"/>
      </w:pPr>
      <w:r>
        <w:t xml:space="preserve">У циљу што адекватнијег секторског фокусирања, у обзир су узете предности </w:t>
      </w:r>
      <w:r>
        <w:rPr>
          <w:lang w:val="sr-Cyrl-RS"/>
        </w:rPr>
        <w:t>града Бања Лука</w:t>
      </w:r>
      <w:r>
        <w:t xml:space="preserve"> у свјетлу локалних прилика насупрот слабостима и недостацима, као и могуће шансе и прилике за даље унапређење заштите животне средина насупрот пријетњама које долазе са локалног и виших нивоа.</w:t>
      </w:r>
    </w:p>
    <w:p>
      <w:pPr>
        <w:jc w:val="both"/>
        <w:rPr>
          <w:rFonts w:eastAsia="Times New Roman" w:asciiTheme="minorHAnsi" w:hAnsiTheme="minorHAnsi" w:cstheme="minorHAnsi"/>
          <w:b/>
          <w:bCs/>
          <w:kern w:val="32"/>
          <w:lang w:val="sr-Cyrl-CS"/>
        </w:rPr>
      </w:pPr>
    </w:p>
    <w:p>
      <w:pPr>
        <w:jc w:val="both"/>
        <w:rPr>
          <w:rFonts w:eastAsia="Times New Roman" w:asciiTheme="minorHAnsi" w:hAnsiTheme="minorHAnsi" w:cstheme="minorHAnsi"/>
          <w:b/>
          <w:bCs/>
          <w:kern w:val="32"/>
          <w:lang w:val="sr-Cyrl-CS"/>
        </w:rPr>
      </w:pPr>
    </w:p>
    <w:p>
      <w:pPr>
        <w:jc w:val="both"/>
        <w:rPr>
          <w:rFonts w:eastAsia="Times New Roman" w:asciiTheme="minorHAnsi" w:hAnsiTheme="minorHAnsi" w:cstheme="minorHAnsi"/>
          <w:b/>
          <w:bCs/>
          <w:kern w:val="32"/>
          <w:lang w:val="sr-Cyrl-CS"/>
        </w:rPr>
      </w:pPr>
    </w:p>
    <w:p>
      <w:pPr>
        <w:jc w:val="both"/>
        <w:rPr>
          <w:rFonts w:eastAsia="Times New Roman" w:asciiTheme="minorHAnsi" w:hAnsiTheme="minorHAnsi" w:cstheme="minorHAnsi"/>
          <w:b/>
          <w:bCs/>
          <w:kern w:val="32"/>
          <w:lang w:val="sr-Cyrl-CS"/>
        </w:rPr>
      </w:pPr>
    </w:p>
    <w:p>
      <w:pPr>
        <w:pStyle w:val="13"/>
        <w:spacing w:before="120" w:after="120"/>
        <w:jc w:val="center"/>
        <w:rPr>
          <w:rFonts w:eastAsia="Times New Roman" w:asciiTheme="minorHAnsi" w:hAnsiTheme="minorHAnsi" w:cstheme="minorHAnsi"/>
          <w:b/>
          <w:bCs/>
          <w:kern w:val="32"/>
          <w:sz w:val="22"/>
          <w:szCs w:val="22"/>
          <w:lang w:val="sr-Cyrl-RS"/>
        </w:rPr>
      </w:pPr>
      <w:r>
        <w:rPr>
          <w:rFonts w:eastAsia="Times New Roman" w:asciiTheme="minorHAnsi" w:hAnsiTheme="minorHAnsi" w:cstheme="minorHAnsi"/>
          <w:b/>
          <w:bCs/>
          <w:kern w:val="32"/>
          <w:sz w:val="22"/>
          <w:szCs w:val="22"/>
          <w:lang w:val="bs-Latn-BA"/>
        </w:rPr>
        <w:t>SWOT АНАЛИЗА – ЖИВОТНА СРЕДИНА</w:t>
      </w:r>
      <w:r>
        <w:rPr>
          <w:rFonts w:eastAsia="Times New Roman" w:asciiTheme="minorHAnsi" w:hAnsiTheme="minorHAnsi" w:cstheme="minorHAnsi"/>
          <w:b/>
          <w:bCs/>
          <w:kern w:val="32"/>
          <w:sz w:val="22"/>
          <w:szCs w:val="22"/>
          <w:lang w:val="sr-Cyrl-RS"/>
        </w:rPr>
        <w:t xml:space="preserve"> И КОМУНАЛНА ИНФРАСТРУКТУРА</w:t>
      </w:r>
    </w:p>
    <w:p>
      <w:pPr>
        <w:spacing w:line="276" w:lineRule="auto"/>
        <w:rPr>
          <w:rFonts w:asciiTheme="minorHAnsi" w:hAnsiTheme="minorHAnsi" w:cstheme="minorHAnsi"/>
          <w:lang w:val="bs-Latn-BA"/>
        </w:rPr>
      </w:pPr>
    </w:p>
    <w:tbl>
      <w:tblPr>
        <w:tblStyle w:val="36"/>
        <w:tblW w:w="9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5"/>
        <w:gridCol w:w="4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5" w:type="dxa"/>
            <w:shd w:val="clear" w:color="auto" w:fill="A8D08D"/>
          </w:tcPr>
          <w:p>
            <w:pPr>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СНАГЕ</w:t>
            </w:r>
          </w:p>
        </w:tc>
        <w:tc>
          <w:tcPr>
            <w:tcW w:w="4747" w:type="dxa"/>
            <w:shd w:val="clear" w:color="auto" w:fill="A8D08D"/>
          </w:tcPr>
          <w:p>
            <w:pPr>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СЛАБОСТИ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5" w:type="dxa"/>
            <w:tcBorders>
              <w:bottom w:val="single" w:color="auto" w:sz="4" w:space="0"/>
            </w:tcBorders>
            <w:shd w:val="clear" w:color="auto" w:fill="auto"/>
          </w:tcPr>
          <w:p>
            <w:pPr>
              <w:pStyle w:val="53"/>
              <w:numPr>
                <w:ilvl w:val="0"/>
                <w:numId w:val="33"/>
              </w:numPr>
              <w:ind w:left="330"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Добар квалитет ваздуха (врши се редовни мониторинг квалитета ваздуха)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Град са великим бројем зелених површина (један од најзеленијих градова у Европи)</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Постојање кључних инфраструктурних објеката: фабрика воде, регионална депонија, еко топлана, итд.</w:t>
            </w:r>
          </w:p>
          <w:p>
            <w:pPr>
              <w:pStyle w:val="53"/>
              <w:numPr>
                <w:ilvl w:val="0"/>
                <w:numId w:val="33"/>
              </w:numPr>
              <w:ind w:left="330"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Довољaн капацитет фабрике воде за будући развој Града и веома добар квалитет воде за пиће </w:t>
            </w:r>
          </w:p>
          <w:p>
            <w:pPr>
              <w:pStyle w:val="53"/>
              <w:numPr>
                <w:ilvl w:val="0"/>
                <w:numId w:val="33"/>
              </w:numPr>
              <w:ind w:left="330" w:hanging="270"/>
              <w:rPr>
                <w:rFonts w:asciiTheme="minorHAnsi" w:hAnsiTheme="minorHAnsi" w:cstheme="minorHAnsi"/>
                <w:strike/>
                <w:color w:val="auto"/>
                <w:sz w:val="20"/>
                <w:szCs w:val="20"/>
                <w:lang w:val="bs-Latn-BA"/>
              </w:rPr>
            </w:pPr>
            <w:r>
              <w:rPr>
                <w:rFonts w:asciiTheme="minorHAnsi" w:hAnsiTheme="minorHAnsi" w:cstheme="minorHAnsi"/>
                <w:sz w:val="20"/>
                <w:szCs w:val="20"/>
                <w:lang w:val="sr-Cyrl-CS"/>
              </w:rPr>
              <w:t>Г</w:t>
            </w:r>
            <w:r>
              <w:rPr>
                <w:rFonts w:asciiTheme="minorHAnsi" w:hAnsiTheme="minorHAnsi" w:cstheme="minorHAnsi"/>
                <w:sz w:val="20"/>
                <w:szCs w:val="20"/>
                <w:lang w:val="bs-Latn-BA"/>
              </w:rPr>
              <w:t xml:space="preserve">убици воде у водоводној мрежи  </w:t>
            </w:r>
            <w:r>
              <w:rPr>
                <w:rFonts w:asciiTheme="minorHAnsi" w:hAnsiTheme="minorHAnsi" w:cstheme="minorHAnsi"/>
                <w:sz w:val="20"/>
                <w:szCs w:val="20"/>
                <w:lang w:val="sr-Cyrl-CS"/>
              </w:rPr>
              <w:t>на задовољавајућем нивоу</w:t>
            </w:r>
          </w:p>
          <w:p>
            <w:pPr>
              <w:pStyle w:val="53"/>
              <w:numPr>
                <w:ilvl w:val="0"/>
                <w:numId w:val="33"/>
              </w:numPr>
              <w:ind w:left="330" w:hanging="270"/>
              <w:rPr>
                <w:rFonts w:asciiTheme="minorHAnsi" w:hAnsiTheme="minorHAnsi" w:cstheme="minorHAnsi"/>
                <w:strike/>
                <w:color w:val="auto"/>
                <w:sz w:val="20"/>
                <w:szCs w:val="20"/>
                <w:lang w:val="bs-Latn-BA"/>
              </w:rPr>
            </w:pPr>
            <w:r>
              <w:rPr>
                <w:rFonts w:asciiTheme="minorHAnsi" w:hAnsiTheme="minorHAnsi" w:cstheme="minorHAnsi"/>
                <w:color w:val="auto"/>
                <w:sz w:val="20"/>
                <w:szCs w:val="20"/>
                <w:lang w:val="bs-Latn-BA"/>
              </w:rPr>
              <w:t>Повећан обухват услугама водоснабдијевања и одводње отпадних вода</w:t>
            </w:r>
          </w:p>
          <w:p>
            <w:pPr>
              <w:pStyle w:val="53"/>
              <w:numPr>
                <w:ilvl w:val="0"/>
                <w:numId w:val="33"/>
              </w:numPr>
              <w:ind w:left="330" w:hanging="270"/>
              <w:rPr>
                <w:rFonts w:asciiTheme="minorHAnsi" w:hAnsiTheme="minorHAnsi" w:cstheme="minorHAnsi"/>
                <w:strike/>
                <w:color w:val="auto"/>
                <w:sz w:val="20"/>
                <w:szCs w:val="20"/>
                <w:lang w:val="bs-Latn-BA"/>
              </w:rPr>
            </w:pPr>
            <w:r>
              <w:rPr>
                <w:rFonts w:asciiTheme="minorHAnsi" w:hAnsiTheme="minorHAnsi" w:cstheme="minorHAnsi"/>
                <w:color w:val="auto"/>
                <w:sz w:val="20"/>
                <w:szCs w:val="20"/>
                <w:lang w:val="bs-Latn-BA"/>
              </w:rPr>
              <w:t>Локални водоводи прелазе у надлежност „Водовода“ а.д. Бања Лука</w:t>
            </w:r>
          </w:p>
          <w:p>
            <w:pPr>
              <w:pStyle w:val="53"/>
              <w:numPr>
                <w:ilvl w:val="0"/>
                <w:numId w:val="33"/>
              </w:numPr>
              <w:ind w:left="330"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Потпуна покривеност територије Града услугом сакупљања и одвоза комуналног отпада</w:t>
            </w:r>
          </w:p>
          <w:p>
            <w:pPr>
              <w:pStyle w:val="46"/>
              <w:numPr>
                <w:ilvl w:val="0"/>
                <w:numId w:val="33"/>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Развијен НВО сектор </w:t>
            </w:r>
          </w:p>
        </w:tc>
        <w:tc>
          <w:tcPr>
            <w:tcW w:w="4747" w:type="dxa"/>
            <w:tcBorders>
              <w:bottom w:val="single" w:color="auto" w:sz="4" w:space="0"/>
            </w:tcBorders>
            <w:shd w:val="clear" w:color="auto" w:fill="auto"/>
          </w:tcPr>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Неплански развој приградских насеља</w:t>
            </w:r>
          </w:p>
          <w:p>
            <w:pPr>
              <w:pStyle w:val="53"/>
              <w:numPr>
                <w:ilvl w:val="0"/>
                <w:numId w:val="34"/>
              </w:numPr>
              <w:ind w:left="388"/>
              <w:rPr>
                <w:rFonts w:asciiTheme="minorHAnsi" w:hAnsiTheme="minorHAnsi" w:cstheme="minorHAnsi"/>
                <w:strike/>
                <w:color w:val="auto"/>
                <w:sz w:val="20"/>
                <w:szCs w:val="20"/>
                <w:lang w:val="bs-Latn-BA"/>
              </w:rPr>
            </w:pPr>
            <w:r>
              <w:rPr>
                <w:rFonts w:asciiTheme="minorHAnsi" w:hAnsiTheme="minorHAnsi" w:cstheme="minorHAnsi"/>
                <w:color w:val="auto"/>
                <w:sz w:val="20"/>
                <w:szCs w:val="20"/>
                <w:lang w:val="bs-Latn-BA"/>
              </w:rPr>
              <w:t xml:space="preserve">Недовољни финансијски капацитети Града за улагања у инфраструктуру </w:t>
            </w:r>
          </w:p>
          <w:p>
            <w:pPr>
              <w:pStyle w:val="46"/>
              <w:numPr>
                <w:ilvl w:val="0"/>
                <w:numId w:val="34"/>
              </w:numPr>
              <w:spacing w:before="0" w:line="240" w:lineRule="auto"/>
              <w:ind w:left="388"/>
              <w:jc w:val="left"/>
              <w:rPr>
                <w:rFonts w:asciiTheme="minorHAnsi" w:hAnsiTheme="minorHAnsi" w:cstheme="minorHAnsi"/>
                <w:sz w:val="20"/>
                <w:szCs w:val="20"/>
                <w:lang w:val="bs-Latn-BA"/>
              </w:rPr>
            </w:pPr>
            <w:r>
              <w:rPr>
                <w:rFonts w:asciiTheme="minorHAnsi" w:hAnsiTheme="minorHAnsi" w:cstheme="minorHAnsi"/>
                <w:sz w:val="20"/>
                <w:szCs w:val="20"/>
                <w:lang w:val="bs-Latn-BA"/>
              </w:rPr>
              <w:t>Непостојање система за пречишћавање отпадних вода из јавне канализације</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Испуштање индустријских отпадних вода у површинске водотоке без третмана и у канализациони систем без предтретмана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Недовољна покривеност канализационом мрежом (око 40% урбаног дијела града није покривено канализационом мрежом, а у руралним подручјима не постоје изграђени канализациони системи)</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Недовољна покривеност урбаног дијела града системом даљинског гријања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Коришћење еколошки неприхватљивих енергената у индивидуалним ложиштима (већином угаљ лошег квалитета)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Ниска ененргетска ефикасност јавних и приватних објеката </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Неадекватна контрола квалитета воде у локалним водоводима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Неуређеност обала и корита ријеке Врбас и других водотокова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Непостојање системског мониторинга земљишта у Граду</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Непостојање рециклажних дворишта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Неадекватна опремљеност зелених острва за одвојено сакупљање искористивих материја из комуналног отпада (PЕТ, МЕТ, стакло и папир)</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Неадекватно збрињавање опасног отпада као и посебних категорија отпада (медицински, животињски отпад, амбалажа од пестицида и др.)</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Велика урбанизација и нестајање залених и парковских површина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Непостојање система за интегрално управљање отпадом</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sr-Cyrl-CS"/>
              </w:rPr>
              <w:t>Појава</w:t>
            </w:r>
            <w:r>
              <w:rPr>
                <w:rFonts w:asciiTheme="minorHAnsi" w:hAnsiTheme="minorHAnsi" w:cstheme="minorHAnsi"/>
                <w:color w:val="auto"/>
                <w:sz w:val="20"/>
                <w:szCs w:val="20"/>
                <w:lang w:val="bs-Latn-BA"/>
              </w:rPr>
              <w:t xml:space="preserve"> дивљих депонија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Није успостављен систем праћења и мониторинга спровођења комуналних услуга.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Недовољно се врши селекција / рециклажа отпада;</w:t>
            </w:r>
          </w:p>
          <w:p>
            <w:pPr>
              <w:pStyle w:val="53"/>
              <w:numPr>
                <w:ilvl w:val="0"/>
                <w:numId w:val="34"/>
              </w:numPr>
              <w:ind w:left="388"/>
              <w:rPr>
                <w:rFonts w:asciiTheme="minorHAnsi" w:hAnsiTheme="minorHAnsi" w:cstheme="minorHAnsi"/>
                <w:color w:val="auto"/>
                <w:sz w:val="20"/>
                <w:szCs w:val="20"/>
                <w:lang w:val="bs-Latn-BA"/>
              </w:rPr>
            </w:pPr>
            <w:r>
              <w:rPr>
                <w:rFonts w:asciiTheme="minorHAnsi" w:hAnsiTheme="minorHAnsi" w:cstheme="minorHAnsi"/>
                <w:sz w:val="20"/>
                <w:szCs w:val="20"/>
                <w:lang w:val="bs-Latn-BA"/>
              </w:rPr>
              <w:t xml:space="preserve">Недовољно </w:t>
            </w:r>
            <w:r>
              <w:rPr>
                <w:rFonts w:asciiTheme="minorHAnsi" w:hAnsiTheme="minorHAnsi" w:cstheme="minorHAnsi"/>
                <w:color w:val="auto"/>
                <w:sz w:val="20"/>
                <w:szCs w:val="20"/>
                <w:lang w:val="bs-Latn-BA"/>
              </w:rPr>
              <w:t>развијена</w:t>
            </w:r>
            <w:r>
              <w:rPr>
                <w:rFonts w:asciiTheme="minorHAnsi" w:hAnsiTheme="minorHAnsi" w:cstheme="minorHAnsi"/>
                <w:sz w:val="20"/>
                <w:szCs w:val="20"/>
                <w:lang w:val="bs-Latn-BA"/>
              </w:rPr>
              <w:t xml:space="preserve"> свијест грађана о заштити животне средине</w:t>
            </w:r>
          </w:p>
          <w:p>
            <w:pPr>
              <w:pStyle w:val="53"/>
              <w:rPr>
                <w:rFonts w:asciiTheme="minorHAnsi" w:hAnsiTheme="minorHAnsi" w:cstheme="minorHAnsi"/>
                <w:sz w:val="20"/>
                <w:szCs w:val="20"/>
                <w:lang w:val="sr-Cyrl-CS"/>
              </w:rPr>
            </w:pPr>
          </w:p>
          <w:p>
            <w:pPr>
              <w:pStyle w:val="53"/>
              <w:rPr>
                <w:rFonts w:asciiTheme="minorHAnsi" w:hAnsiTheme="minorHAnsi" w:cstheme="minorHAnsi"/>
                <w:sz w:val="20"/>
                <w:szCs w:val="20"/>
                <w:lang w:val="sr-Cyrl-CS"/>
              </w:rPr>
            </w:pPr>
          </w:p>
          <w:p>
            <w:pPr>
              <w:pStyle w:val="53"/>
              <w:rPr>
                <w:rFonts w:asciiTheme="minorHAnsi" w:hAnsiTheme="minorHAnsi" w:cstheme="minorHAnsi"/>
                <w:color w:val="auto"/>
                <w:sz w:val="20"/>
                <w:szCs w:val="20"/>
                <w:lang w:val="bs-Latn-B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5" w:type="dxa"/>
            <w:shd w:val="clear" w:color="auto" w:fill="A8D08D"/>
          </w:tcPr>
          <w:p>
            <w:pPr>
              <w:ind w:left="330" w:hanging="270"/>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ШАНСЕ</w:t>
            </w:r>
          </w:p>
        </w:tc>
        <w:tc>
          <w:tcPr>
            <w:tcW w:w="4747" w:type="dxa"/>
            <w:shd w:val="clear" w:color="auto" w:fill="A8D08D"/>
          </w:tcPr>
          <w:p>
            <w:pPr>
              <w:ind w:left="346" w:hanging="270"/>
              <w:jc w:val="center"/>
              <w:rPr>
                <w:rFonts w:asciiTheme="minorHAnsi" w:hAnsiTheme="minorHAnsi" w:cstheme="minorHAnsi"/>
                <w:b/>
                <w:sz w:val="20"/>
                <w:szCs w:val="20"/>
                <w:lang w:val="bs-Latn-BA"/>
              </w:rPr>
            </w:pPr>
            <w:r>
              <w:rPr>
                <w:rFonts w:asciiTheme="minorHAnsi" w:hAnsiTheme="minorHAnsi" w:cstheme="minorHAnsi"/>
                <w:b/>
                <w:sz w:val="20"/>
                <w:szCs w:val="20"/>
                <w:lang w:val="bs-Latn-BA"/>
              </w:rPr>
              <w:t>ПРИЈЕТЊЕ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jc w:val="center"/>
        </w:trPr>
        <w:tc>
          <w:tcPr>
            <w:tcW w:w="4315" w:type="dxa"/>
            <w:shd w:val="clear" w:color="auto" w:fill="auto"/>
          </w:tcPr>
          <w:p>
            <w:pPr>
              <w:pStyle w:val="46"/>
              <w:numPr>
                <w:ilvl w:val="0"/>
                <w:numId w:val="35"/>
              </w:numPr>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Добра сарадња са републичким институцијама, чије је сједиште у Бањој Луци</w:t>
            </w:r>
          </w:p>
          <w:p>
            <w:pPr>
              <w:pStyle w:val="46"/>
              <w:numPr>
                <w:ilvl w:val="0"/>
                <w:numId w:val="35"/>
              </w:numPr>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Прекогранична и регионална сарадња</w:t>
            </w:r>
          </w:p>
          <w:p>
            <w:pPr>
              <w:pStyle w:val="46"/>
              <w:numPr>
                <w:ilvl w:val="0"/>
                <w:numId w:val="35"/>
              </w:numPr>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ЕУ интеграције – могућности коришћење европских и међународних фондова и других извора финансирања</w:t>
            </w:r>
          </w:p>
          <w:p>
            <w:pPr>
              <w:pStyle w:val="46"/>
              <w:numPr>
                <w:ilvl w:val="0"/>
                <w:numId w:val="35"/>
              </w:numPr>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Green City концепт</w:t>
            </w:r>
          </w:p>
          <w:p>
            <w:pPr>
              <w:pStyle w:val="46"/>
              <w:numPr>
                <w:ilvl w:val="0"/>
                <w:numId w:val="35"/>
              </w:numPr>
              <w:autoSpaceDE w:val="0"/>
              <w:autoSpaceDN w:val="0"/>
              <w:adjustRightInd w:val="0"/>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Добри и диверзификовани природни ресурси</w:t>
            </w:r>
          </w:p>
          <w:p>
            <w:pPr>
              <w:pStyle w:val="46"/>
              <w:numPr>
                <w:ilvl w:val="0"/>
                <w:numId w:val="35"/>
              </w:numPr>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Велики енергетски потенцијал и могућности за коришћење обновљивих извора енергије (термални извори, енергија ветра, енергија сунца, енергија воде)</w:t>
            </w:r>
          </w:p>
          <w:p>
            <w:pPr>
              <w:pStyle w:val="46"/>
              <w:numPr>
                <w:ilvl w:val="0"/>
                <w:numId w:val="35"/>
              </w:numPr>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Незагађена животна средина (ваздух, вода, земљиште)</w:t>
            </w:r>
          </w:p>
          <w:p>
            <w:pPr>
              <w:pStyle w:val="53"/>
              <w:numPr>
                <w:ilvl w:val="0"/>
                <w:numId w:val="35"/>
              </w:numPr>
              <w:ind w:left="426"/>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Постојање доброг законодавства из области заштите животне средине и његова примјена</w:t>
            </w:r>
          </w:p>
          <w:p>
            <w:pPr>
              <w:pStyle w:val="53"/>
              <w:numPr>
                <w:ilvl w:val="0"/>
                <w:numId w:val="35"/>
              </w:numPr>
              <w:ind w:left="426"/>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Постојање Фонда за заштиту животне средине и енергетску ефикасност</w:t>
            </w:r>
            <w:r>
              <w:rPr>
                <w:rFonts w:asciiTheme="minorHAnsi" w:hAnsiTheme="minorHAnsi" w:cstheme="minorHAnsi"/>
                <w:color w:val="auto"/>
                <w:sz w:val="20"/>
                <w:szCs w:val="20"/>
                <w:lang w:val="sr-Cyrl-CS"/>
              </w:rPr>
              <w:t xml:space="preserve"> РС</w:t>
            </w:r>
          </w:p>
          <w:p>
            <w:pPr>
              <w:pStyle w:val="46"/>
              <w:numPr>
                <w:ilvl w:val="0"/>
                <w:numId w:val="35"/>
              </w:numPr>
              <w:spacing w:before="0" w:line="240" w:lineRule="auto"/>
              <w:ind w:left="426"/>
              <w:jc w:val="left"/>
              <w:rPr>
                <w:rFonts w:asciiTheme="minorHAnsi" w:hAnsiTheme="minorHAnsi" w:cstheme="minorHAnsi"/>
                <w:sz w:val="20"/>
                <w:szCs w:val="20"/>
                <w:lang w:val="bs-Latn-BA"/>
              </w:rPr>
            </w:pPr>
            <w:r>
              <w:rPr>
                <w:rFonts w:asciiTheme="minorHAnsi" w:hAnsiTheme="minorHAnsi" w:cstheme="minorHAnsi"/>
                <w:sz w:val="20"/>
                <w:szCs w:val="20"/>
                <w:lang w:val="bs-Latn-BA"/>
              </w:rPr>
              <w:t xml:space="preserve">Богатство квалитетним шумама </w:t>
            </w:r>
          </w:p>
        </w:tc>
        <w:tc>
          <w:tcPr>
            <w:tcW w:w="4747" w:type="dxa"/>
            <w:shd w:val="clear" w:color="auto" w:fill="auto"/>
          </w:tcPr>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Неповољан општи политички амбијент у БиХ и региону</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 xml:space="preserve">Пријетња да Град (п)остане само административни центар - изостанак развоја других капацитета Града </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Климатске промјене</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Загађење водотока, земљишта, шума, итд.</w:t>
            </w:r>
          </w:p>
          <w:p>
            <w:pPr>
              <w:pStyle w:val="53"/>
              <w:numPr>
                <w:ilvl w:val="0"/>
                <w:numId w:val="35"/>
              </w:numPr>
              <w:ind w:left="346" w:hanging="270"/>
              <w:rPr>
                <w:rFonts w:asciiTheme="minorHAnsi" w:hAnsiTheme="minorHAnsi" w:cstheme="minorHAnsi"/>
                <w:color w:val="auto"/>
                <w:sz w:val="20"/>
                <w:szCs w:val="20"/>
                <w:lang w:val="bs-Latn-BA"/>
              </w:rPr>
            </w:pPr>
            <w:r>
              <w:rPr>
                <w:rFonts w:asciiTheme="minorHAnsi" w:hAnsiTheme="minorHAnsi" w:cstheme="minorHAnsi"/>
                <w:color w:val="auto"/>
                <w:sz w:val="20"/>
                <w:szCs w:val="20"/>
                <w:lang w:val="bs-Latn-BA"/>
              </w:rPr>
              <w:t>Неплански развој приградских подручја који не прати одговарајући инфраструктурни развој</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Компликовано и/или недовољно јасно законодавство на нивоу РС-а</w:t>
            </w:r>
          </w:p>
          <w:p>
            <w:pPr>
              <w:pStyle w:val="46"/>
              <w:numPr>
                <w:ilvl w:val="0"/>
                <w:numId w:val="35"/>
              </w:numPr>
              <w:spacing w:before="0" w:line="240" w:lineRule="auto"/>
              <w:ind w:left="346"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Непостојање генералне стратегије развоја РС и БиХ</w:t>
            </w:r>
          </w:p>
        </w:tc>
      </w:tr>
    </w:tbl>
    <w:p>
      <w:pPr>
        <w:jc w:val="both"/>
        <w:rPr>
          <w:rFonts w:cs="Calibri"/>
        </w:rPr>
      </w:pPr>
    </w:p>
    <w:p>
      <w:pPr>
        <w:jc w:val="both"/>
        <w:rPr>
          <w:b/>
          <w:lang w:val="sr-Cyrl-RS"/>
        </w:rPr>
      </w:pPr>
      <w:r>
        <w:t xml:space="preserve">Како би се дефинисали секторски фокуси, конкурентске предности се издвајају и повезују се са приликама, а такође се повезују и слабости и пријетње. За потребе стратешког фокусирања у оквиру сектора </w:t>
      </w:r>
      <w:r>
        <w:rPr>
          <w:lang w:val="sr-Cyrl-RS"/>
        </w:rPr>
        <w:t>заштите животне средине</w:t>
      </w:r>
      <w:r>
        <w:t xml:space="preserve"> </w:t>
      </w:r>
      <w:r>
        <w:rPr>
          <w:lang w:val="sr-Cyrl-RS"/>
        </w:rPr>
        <w:t>је</w:t>
      </w:r>
      <w:r>
        <w:t>, поред повезивања предности</w:t>
      </w:r>
      <w:r>
        <w:rPr>
          <w:lang w:val="sr-Cyrl-CS"/>
        </w:rPr>
        <w:t>,</w:t>
      </w:r>
      <w:r>
        <w:t xml:space="preserve"> прилика</w:t>
      </w:r>
      <w:r>
        <w:rPr>
          <w:lang w:val="sr-Cyrl-CS"/>
        </w:rPr>
        <w:t>,</w:t>
      </w:r>
      <w:r>
        <w:t xml:space="preserve"> слабости и пријетњи, разматран и узет у обзир и стратешки циљ који </w:t>
      </w:r>
      <w:r>
        <w:rPr>
          <w:lang w:val="sr-Cyrl-RS"/>
        </w:rPr>
        <w:t xml:space="preserve">је </w:t>
      </w:r>
      <w:r>
        <w:t xml:space="preserve">примарно усмјерени на област локалног економског развоја. </w:t>
      </w:r>
      <w:r>
        <w:rPr>
          <w:lang w:val="sr-Cyrl-RS"/>
        </w:rPr>
        <w:t>Градски развојни тим Бања Луке</w:t>
      </w:r>
      <w:r>
        <w:t xml:space="preserve"> дефинисао је сљедеће </w:t>
      </w:r>
      <w:r>
        <w:rPr>
          <w:lang w:val="sr-Cyrl-RS"/>
        </w:rPr>
        <w:t xml:space="preserve">секторске </w:t>
      </w:r>
      <w:r>
        <w:t>фокусе економског развоја који произилазе из стратешког циља</w:t>
      </w:r>
      <w:r>
        <w:rPr>
          <w:lang w:val="sr-Cyrl-RS"/>
        </w:rPr>
        <w:t xml:space="preserve"> </w:t>
      </w:r>
      <w:r>
        <w:rPr>
          <w:b/>
          <w:lang w:val="sr-Cyrl-RS"/>
        </w:rPr>
        <w:t xml:space="preserve">3. Еколошки одржива, комунално опремљена, енергетски ефикасна и безбједна средина </w:t>
      </w:r>
      <w:r>
        <w:rPr>
          <w:b/>
          <w:lang w:val="sr-Latn-RS"/>
        </w:rPr>
        <w:t xml:space="preserve">– </w:t>
      </w:r>
      <w:r>
        <w:rPr>
          <w:b/>
          <w:i/>
          <w:lang w:val="sr-Latn-RS"/>
        </w:rPr>
        <w:t>Green City</w:t>
      </w:r>
      <w:r>
        <w:rPr>
          <w:b/>
          <w:lang w:val="sr-Cyrl-RS"/>
        </w:rPr>
        <w:t>:</w:t>
      </w:r>
    </w:p>
    <w:p>
      <w:pPr>
        <w:pStyle w:val="46"/>
        <w:numPr>
          <w:ilvl w:val="0"/>
          <w:numId w:val="84"/>
        </w:numPr>
        <w:rPr>
          <w:rFonts w:cs="Calibri"/>
          <w:b/>
          <w:lang w:val="sr-Cyrl-RS"/>
        </w:rPr>
      </w:pPr>
      <w:r>
        <w:rPr>
          <w:rFonts w:cs="Calibri"/>
          <w:b/>
          <w:lang w:val="sr-Cyrl-RS"/>
        </w:rPr>
        <w:t xml:space="preserve">У циљу систематског увођења </w:t>
      </w:r>
      <w:r>
        <w:rPr>
          <w:b/>
          <w:i/>
          <w:lang w:val="sr-Latn-RS"/>
        </w:rPr>
        <w:t>Green City</w:t>
      </w:r>
      <w:r>
        <w:rPr>
          <w:b/>
          <w:i/>
          <w:lang w:val="sr-Cyrl-RS"/>
        </w:rPr>
        <w:t xml:space="preserve"> </w:t>
      </w:r>
      <w:r>
        <w:rPr>
          <w:b/>
          <w:lang w:val="sr-Cyrl-RS"/>
        </w:rPr>
        <w:t xml:space="preserve">концепта, </w:t>
      </w:r>
      <w:r>
        <w:rPr>
          <w:lang w:val="sr-Cyrl-RS"/>
        </w:rPr>
        <w:t>неопходно је</w:t>
      </w:r>
      <w:r>
        <w:rPr>
          <w:b/>
          <w:lang w:val="sr-Cyrl-RS"/>
        </w:rPr>
        <w:t xml:space="preserve"> </w:t>
      </w:r>
      <w:r>
        <w:rPr>
          <w:lang w:val="sr-Cyrl-RS"/>
        </w:rPr>
        <w:t>подизање свијести грађана о његовом значењу и интегрисаном приступу заштити животне средине, његовању и развоју садржаја на градским зеленим површинама,</w:t>
      </w:r>
    </w:p>
    <w:p>
      <w:pPr>
        <w:pStyle w:val="46"/>
        <w:numPr>
          <w:ilvl w:val="0"/>
          <w:numId w:val="84"/>
        </w:numPr>
        <w:rPr>
          <w:rFonts w:cs="Calibri"/>
          <w:b/>
          <w:lang w:val="sr-Cyrl-RS"/>
        </w:rPr>
      </w:pPr>
      <w:r>
        <w:rPr>
          <w:rFonts w:cs="Calibri"/>
          <w:lang w:val="sr-Cyrl-RS"/>
        </w:rPr>
        <w:t xml:space="preserve">Потребно је да се даље унапређује и систематски рјешава </w:t>
      </w:r>
      <w:r>
        <w:rPr>
          <w:rFonts w:cs="Calibri"/>
          <w:b/>
          <w:lang w:val="sr-Cyrl-RS"/>
        </w:rPr>
        <w:t>управљање чврстим отпадом</w:t>
      </w:r>
      <w:r>
        <w:rPr>
          <w:rFonts w:cs="Calibri"/>
          <w:lang w:val="sr-Cyrl-RS"/>
        </w:rPr>
        <w:t>,</w:t>
      </w:r>
    </w:p>
    <w:p>
      <w:pPr>
        <w:pStyle w:val="46"/>
        <w:numPr>
          <w:ilvl w:val="0"/>
          <w:numId w:val="84"/>
        </w:numPr>
        <w:rPr>
          <w:rFonts w:cs="Calibri"/>
          <w:b/>
          <w:lang w:val="sr-Cyrl-RS"/>
        </w:rPr>
      </w:pPr>
      <w:r>
        <w:rPr>
          <w:rFonts w:cs="Calibri"/>
          <w:lang w:val="sr-Cyrl-RS"/>
        </w:rPr>
        <w:t xml:space="preserve">Непходна је даља </w:t>
      </w:r>
      <w:r>
        <w:rPr>
          <w:rFonts w:cs="Calibri"/>
          <w:b/>
          <w:lang w:val="sr-Cyrl-RS"/>
        </w:rPr>
        <w:t>изградња и реконструкција система водоснабдијевања, канализације, одвођења и третмана отпадних вода</w:t>
      </w:r>
      <w:r>
        <w:rPr>
          <w:rFonts w:cs="Calibri"/>
          <w:lang w:val="sr-Cyrl-RS"/>
        </w:rPr>
        <w:t>,</w:t>
      </w:r>
    </w:p>
    <w:p>
      <w:pPr>
        <w:pStyle w:val="46"/>
        <w:numPr>
          <w:ilvl w:val="0"/>
          <w:numId w:val="84"/>
        </w:numPr>
        <w:rPr>
          <w:rFonts w:cs="Calibri"/>
          <w:b/>
          <w:lang w:val="sr-Cyrl-RS"/>
        </w:rPr>
      </w:pPr>
      <w:r>
        <w:rPr>
          <w:rFonts w:cs="Calibri"/>
          <w:lang w:val="sr-Cyrl-RS"/>
        </w:rPr>
        <w:t xml:space="preserve">Од кључног значаја је увођење и спровођење мјера за </w:t>
      </w:r>
      <w:r>
        <w:rPr>
          <w:rFonts w:cstheme="minorHAnsi"/>
          <w:b/>
          <w:color w:val="1A1617"/>
          <w:shd w:val="clear" w:color="auto" w:fill="FFFFFF" w:themeFill="background1"/>
          <w:lang w:val="sr-Cyrl-RS"/>
        </w:rPr>
        <w:t>побољшање квалитета ваздуха, саобраћајне инфраструктуре и повећање енергетске ефикасности.</w:t>
      </w:r>
    </w:p>
    <w:p>
      <w:pPr>
        <w:pStyle w:val="46"/>
        <w:numPr>
          <w:ilvl w:val="0"/>
          <w:numId w:val="84"/>
        </w:numPr>
        <w:rPr>
          <w:rFonts w:cs="Calibri"/>
          <w:b/>
          <w:lang w:val="sr-Cyrl-RS"/>
        </w:rPr>
      </w:pPr>
      <w:r>
        <w:rPr>
          <w:rFonts w:cs="Calibri"/>
          <w:b/>
          <w:lang w:val="sr-Cyrl-RS"/>
        </w:rPr>
        <w:t xml:space="preserve">Побољшање квалитета ваздуха </w:t>
      </w:r>
      <w:r>
        <w:rPr>
          <w:rFonts w:cs="Calibri"/>
          <w:lang w:val="sr-Cyrl-RS"/>
        </w:rPr>
        <w:t>треба постићи кроз смањење емисије угљен-диоксида, регулисање кључних саобраћајница и прелазак на мање штетне и ефикасније енергенте, из обновљивих извора,</w:t>
      </w:r>
    </w:p>
    <w:p>
      <w:pPr>
        <w:pStyle w:val="46"/>
        <w:numPr>
          <w:ilvl w:val="0"/>
          <w:numId w:val="84"/>
        </w:numPr>
        <w:rPr>
          <w:rFonts w:cs="Calibri"/>
          <w:lang w:val="sr-Cyrl-RS"/>
        </w:rPr>
      </w:pPr>
      <w:r>
        <w:rPr>
          <w:rFonts w:cs="Calibri"/>
          <w:lang w:val="sr-Cyrl-RS"/>
        </w:rPr>
        <w:t xml:space="preserve">За бољи живот грађана, а у складу са </w:t>
      </w:r>
      <w:r>
        <w:rPr>
          <w:i/>
          <w:lang w:val="sr-Latn-RS"/>
        </w:rPr>
        <w:t>Green City</w:t>
      </w:r>
      <w:r>
        <w:rPr>
          <w:i/>
          <w:lang w:val="sr-Cyrl-RS"/>
        </w:rPr>
        <w:t xml:space="preserve"> </w:t>
      </w:r>
      <w:r>
        <w:rPr>
          <w:lang w:val="sr-Cyrl-RS"/>
        </w:rPr>
        <w:t xml:space="preserve">стандардима, битно је </w:t>
      </w:r>
      <w:r>
        <w:rPr>
          <w:b/>
          <w:lang w:val="sr-Cyrl-RS"/>
        </w:rPr>
        <w:t>очување зеленила, изградња нових зелених јавних површина и обогаћивање парковских простора новим садржајима</w:t>
      </w:r>
      <w:r>
        <w:rPr>
          <w:lang w:val="sr-Cyrl-RS"/>
        </w:rPr>
        <w:t>, који ће грађане привући да већи дио времена проводе у рекреацији и одмору,</w:t>
      </w:r>
    </w:p>
    <w:p>
      <w:pPr>
        <w:pStyle w:val="46"/>
        <w:numPr>
          <w:ilvl w:val="0"/>
          <w:numId w:val="84"/>
        </w:numPr>
        <w:rPr>
          <w:rFonts w:cs="Calibri"/>
          <w:b/>
          <w:lang w:val="sr-Cyrl-RS"/>
        </w:rPr>
      </w:pPr>
      <w:r>
        <w:rPr>
          <w:rFonts w:cs="Calibri"/>
          <w:b/>
          <w:lang w:val="sr-Cyrl-RS"/>
        </w:rPr>
        <w:t xml:space="preserve">Потребно је унаприједити систем заштите од поплава, земљотреса, пожара и других непогода, </w:t>
      </w:r>
      <w:r>
        <w:rPr>
          <w:rFonts w:cs="Calibri"/>
          <w:lang w:val="sr-Cyrl-RS"/>
        </w:rPr>
        <w:t>кроз превентивне активности, ојачати капацитете за реаговање у случају непогода, едукацију и побољшање комуникације са грађанима, током припреме за адекватан одговор у ванредним ситуацијама.</w:t>
      </w:r>
    </w:p>
    <w:p>
      <w:pPr>
        <w:jc w:val="both"/>
        <w:rPr>
          <w:rFonts w:cs="Calibri"/>
          <w:lang w:val="sr-Cyrl-RS"/>
        </w:rPr>
      </w:pPr>
    </w:p>
    <w:p>
      <w:pPr>
        <w:pStyle w:val="4"/>
        <w:rPr>
          <w:lang w:val="sr-Cyrl-RS"/>
        </w:rPr>
      </w:pPr>
      <w:bookmarkStart w:id="155" w:name="_Toc473095878"/>
      <w:bookmarkStart w:id="156" w:name="_Toc452886798"/>
      <w:bookmarkStart w:id="157" w:name="_Toc461719862"/>
      <w:bookmarkStart w:id="158" w:name="_Toc526761940"/>
      <w:r>
        <w:t>V</w:t>
      </w:r>
      <w:r>
        <w:rPr>
          <w:lang w:val="sr-Cyrl-RS"/>
        </w:rPr>
        <w:t>.4.1.</w:t>
      </w:r>
      <w:r>
        <w:rPr>
          <w:lang w:val="sr-Cyrl-RS"/>
        </w:rPr>
        <w:tab/>
      </w:r>
      <w:r>
        <w:rPr>
          <w:lang w:val="sr-Cyrl-RS"/>
        </w:rPr>
        <w:t>Преглед секторских циљева са очекиваним исходима и индикаторима</w:t>
      </w:r>
      <w:bookmarkEnd w:id="155"/>
      <w:bookmarkEnd w:id="156"/>
      <w:bookmarkEnd w:id="157"/>
      <w:bookmarkEnd w:id="158"/>
    </w:p>
    <w:p>
      <w:pPr>
        <w:rPr>
          <w:b/>
          <w:lang w:val="bs-Latn-BA"/>
        </w:rPr>
      </w:pPr>
    </w:p>
    <w:tbl>
      <w:tblPr>
        <w:tblStyle w:val="36"/>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52"/>
        <w:gridCol w:w="3526"/>
        <w:gridCol w:w="3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2852" w:type="dxa"/>
            <w:shd w:val="clear" w:color="auto" w:fill="C5E0B3" w:themeFill="accent6" w:themeFillTint="66"/>
          </w:tcPr>
          <w:p>
            <w:pPr>
              <w:spacing w:before="120" w:after="120"/>
              <w:rPr>
                <w:rFonts w:cstheme="minorHAnsi"/>
                <w:b/>
                <w:lang w:val="bs-Latn-BA"/>
              </w:rPr>
            </w:pPr>
            <w:r>
              <w:rPr>
                <w:rFonts w:cstheme="minorHAnsi"/>
                <w:b/>
                <w:lang w:val="bs-Latn-BA"/>
              </w:rPr>
              <w:t>Секторски циљ</w:t>
            </w:r>
          </w:p>
        </w:tc>
        <w:tc>
          <w:tcPr>
            <w:tcW w:w="3526" w:type="dxa"/>
            <w:shd w:val="clear" w:color="auto" w:fill="C5E0B3" w:themeFill="accent6" w:themeFillTint="66"/>
          </w:tcPr>
          <w:p>
            <w:pPr>
              <w:spacing w:before="120" w:after="120"/>
              <w:rPr>
                <w:rFonts w:cstheme="minorHAnsi"/>
                <w:b/>
                <w:lang w:val="bs-Latn-BA"/>
              </w:rPr>
            </w:pPr>
            <w:r>
              <w:rPr>
                <w:rFonts w:cstheme="minorHAnsi"/>
                <w:b/>
                <w:lang w:val="bs-Latn-BA"/>
              </w:rPr>
              <w:t>Очекивани исход</w:t>
            </w:r>
          </w:p>
        </w:tc>
        <w:tc>
          <w:tcPr>
            <w:tcW w:w="3228" w:type="dxa"/>
            <w:shd w:val="clear" w:color="auto" w:fill="C5E0B3" w:themeFill="accent6" w:themeFillTint="66"/>
          </w:tcPr>
          <w:p>
            <w:pPr>
              <w:spacing w:before="120" w:after="120"/>
              <w:rPr>
                <w:rFonts w:cstheme="minorHAnsi"/>
                <w:b/>
                <w:lang w:val="bs-Latn-BA"/>
              </w:rPr>
            </w:pPr>
            <w:r>
              <w:rPr>
                <w:rFonts w:cstheme="minorHAnsi"/>
                <w:b/>
                <w:lang w:val="bs-Latn-BA"/>
              </w:rPr>
              <w:t>Индикатор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98" w:hRule="atLeast"/>
        </w:trPr>
        <w:tc>
          <w:tcPr>
            <w:tcW w:w="2852" w:type="dxa"/>
            <w:shd w:val="clear" w:color="auto" w:fill="FFFFFF" w:themeFill="background1"/>
          </w:tcPr>
          <w:p>
            <w:pPr>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Секторски циљ. 3.1</w:t>
            </w:r>
          </w:p>
          <w:p>
            <w:pPr>
              <w:rPr>
                <w:rFonts w:cstheme="minorHAnsi"/>
                <w:b/>
                <w:color w:val="1A1617"/>
                <w:shd w:val="clear" w:color="auto" w:fill="FFFFFF" w:themeFill="background1"/>
                <w:lang w:val="bs-Latn-BA"/>
              </w:rPr>
            </w:pPr>
          </w:p>
          <w:p>
            <w:pPr>
              <w:rPr>
                <w:rFonts w:cstheme="minorHAnsi"/>
                <w:lang w:val="bs-Latn-BA"/>
              </w:rPr>
            </w:pPr>
            <w:r>
              <w:rPr>
                <w:b/>
                <w:lang w:val="sr-Cyrl-RS"/>
              </w:rPr>
              <w:t xml:space="preserve">До </w:t>
            </w:r>
            <w:r>
              <w:rPr>
                <w:b/>
                <w:lang w:val="sr-Cyrl-CS"/>
              </w:rPr>
              <w:t xml:space="preserve">краја </w:t>
            </w:r>
            <w:r>
              <w:rPr>
                <w:b/>
                <w:lang w:val="sr-Cyrl-RS"/>
              </w:rPr>
              <w:t xml:space="preserve">2022., унапређен </w:t>
            </w:r>
            <w:r>
              <w:rPr>
                <w:b/>
                <w:i/>
                <w:lang w:val="sr-Latn-RS"/>
              </w:rPr>
              <w:t>Green City</w:t>
            </w:r>
            <w:r>
              <w:rPr>
                <w:b/>
                <w:lang w:val="sr-Latn-RS"/>
              </w:rPr>
              <w:t xml:space="preserve"> </w:t>
            </w:r>
            <w:r>
              <w:rPr>
                <w:b/>
                <w:lang w:val="sr-Cyrl-RS"/>
              </w:rPr>
              <w:t>концепт у граду Бања Лука</w:t>
            </w:r>
          </w:p>
        </w:tc>
        <w:tc>
          <w:tcPr>
            <w:tcW w:w="3526" w:type="dxa"/>
          </w:tcPr>
          <w:p>
            <w:pPr>
              <w:numPr>
                <w:ilvl w:val="0"/>
                <w:numId w:val="85"/>
              </w:numPr>
              <w:spacing w:before="120" w:after="120"/>
              <w:rPr>
                <w:rFonts w:cstheme="minorHAnsi"/>
                <w:lang w:val="sr-Cyrl-RS"/>
              </w:rPr>
            </w:pPr>
            <w:r>
              <w:rPr>
                <w:rFonts w:cstheme="minorHAnsi"/>
                <w:lang w:val="sr-Cyrl-RS"/>
              </w:rPr>
              <w:t>Исход 1: До краја 2022. године задовољство становништва радом Градске управе у области заштите животне средине повећано за 20% у односу на 2018. годину.</w:t>
            </w:r>
          </w:p>
          <w:p>
            <w:pPr>
              <w:spacing w:before="120" w:after="120"/>
              <w:ind w:left="361"/>
              <w:rPr>
                <w:rFonts w:cstheme="minorHAnsi"/>
                <w:lang w:val="sr-Cyrl-RS"/>
              </w:rPr>
            </w:pPr>
          </w:p>
        </w:tc>
        <w:tc>
          <w:tcPr>
            <w:tcW w:w="3228" w:type="dxa"/>
          </w:tcPr>
          <w:p>
            <w:pPr>
              <w:numPr>
                <w:ilvl w:val="0"/>
                <w:numId w:val="85"/>
              </w:numPr>
              <w:spacing w:before="120" w:after="120"/>
              <w:rPr>
                <w:rFonts w:cstheme="minorHAnsi"/>
                <w:lang w:val="bs-Latn-BA"/>
              </w:rPr>
            </w:pPr>
            <w:r>
              <w:rPr>
                <w:rFonts w:cstheme="minorHAnsi"/>
                <w:lang w:val="sr-Cyrl-RS"/>
              </w:rPr>
              <w:t>Задовољство грађана услугама (мјерено анкетом)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52" w:type="dxa"/>
          </w:tcPr>
          <w:p>
            <w:pPr>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 xml:space="preserve">Секторски циљ 3.2 </w:t>
            </w:r>
          </w:p>
          <w:p>
            <w:pPr>
              <w:rPr>
                <w:rFonts w:cstheme="minorHAnsi"/>
                <w:b/>
                <w:color w:val="1A1617"/>
                <w:shd w:val="clear" w:color="auto" w:fill="FFFFFF" w:themeFill="background1"/>
                <w:lang w:val="sr-Cyrl-RS"/>
              </w:rPr>
            </w:pPr>
          </w:p>
          <w:p>
            <w:pPr>
              <w:rPr>
                <w:rFonts w:cs="Calibri"/>
                <w:b/>
                <w:lang w:val="sr-Cyrl-RS"/>
              </w:rPr>
            </w:pPr>
            <w:r>
              <w:rPr>
                <w:b/>
                <w:lang w:val="sr-Cyrl-RS"/>
              </w:rPr>
              <w:t>Унапређен систем интегралног управљањa отпадом до краја 2022. године</w:t>
            </w:r>
          </w:p>
          <w:p>
            <w:pPr>
              <w:rPr>
                <w:rFonts w:cstheme="minorHAnsi"/>
                <w:lang w:val="sr-Cyrl-RS"/>
              </w:rPr>
            </w:pPr>
          </w:p>
        </w:tc>
        <w:tc>
          <w:tcPr>
            <w:tcW w:w="3526" w:type="dxa"/>
          </w:tcPr>
          <w:p>
            <w:pPr>
              <w:numPr>
                <w:ilvl w:val="0"/>
                <w:numId w:val="86"/>
              </w:numPr>
              <w:spacing w:after="80"/>
              <w:rPr>
                <w:lang w:val="sr-Cyrl-RS"/>
              </w:rPr>
            </w:pPr>
            <w:r>
              <w:rPr>
                <w:lang w:val="sr-Cyrl-RS"/>
              </w:rPr>
              <w:t>Исход 1: До краја 2022. године задовољство становништва услугама управљања отпадом веће за 20% у односу на 2018. годину.</w:t>
            </w:r>
          </w:p>
          <w:p>
            <w:pPr>
              <w:numPr>
                <w:ilvl w:val="0"/>
                <w:numId w:val="86"/>
              </w:numPr>
              <w:spacing w:after="80"/>
              <w:rPr>
                <w:lang w:val="sr-Cyrl-RS"/>
              </w:rPr>
            </w:pPr>
            <w:r>
              <w:rPr>
                <w:lang w:val="sr-Cyrl-RS"/>
              </w:rPr>
              <w:t>Исход 2: До краја 2022. године 10% више становништва обухваћено системом интегралног прикупљања отпада у односу на 2017. годину.</w:t>
            </w:r>
          </w:p>
          <w:p>
            <w:pPr>
              <w:numPr>
                <w:ilvl w:val="0"/>
                <w:numId w:val="86"/>
              </w:numPr>
              <w:spacing w:after="80"/>
              <w:rPr>
                <w:lang w:val="sr-Cyrl-RS"/>
              </w:rPr>
            </w:pPr>
            <w:r>
              <w:rPr>
                <w:lang w:val="sr-Cyrl-RS"/>
              </w:rPr>
              <w:t>Исход 3: До краја 2022. године количине мијешаног комуналног отпада за финално одлагање мање за 15% у односу на 2017. годину.</w:t>
            </w:r>
          </w:p>
          <w:p>
            <w:pPr>
              <w:numPr>
                <w:ilvl w:val="0"/>
                <w:numId w:val="86"/>
              </w:numPr>
              <w:spacing w:after="80"/>
              <w:rPr>
                <w:lang w:val="sr-Cyrl-RS"/>
              </w:rPr>
            </w:pPr>
            <w:r>
              <w:rPr>
                <w:lang w:val="sr-Cyrl-RS"/>
              </w:rPr>
              <w:t xml:space="preserve">Исход 4: До краја 2022. године најмање 5% комуналног отпада се рециклира. </w:t>
            </w:r>
          </w:p>
          <w:p>
            <w:pPr>
              <w:numPr>
                <w:ilvl w:val="0"/>
                <w:numId w:val="86"/>
              </w:numPr>
              <w:spacing w:after="80"/>
              <w:rPr>
                <w:lang w:val="sr-Cyrl-RS"/>
              </w:rPr>
            </w:pPr>
            <w:r>
              <w:rPr>
                <w:lang w:val="sr-Cyrl-RS"/>
              </w:rPr>
              <w:t>Исход 5: До краја 2022. године 25% домаћинстава, пословних субјеката, образовних институција учествује у  селективном прикупљању отпада.</w:t>
            </w:r>
          </w:p>
        </w:tc>
        <w:tc>
          <w:tcPr>
            <w:tcW w:w="3228" w:type="dxa"/>
          </w:tcPr>
          <w:p>
            <w:pPr>
              <w:numPr>
                <w:ilvl w:val="0"/>
                <w:numId w:val="86"/>
              </w:numPr>
              <w:spacing w:after="80"/>
              <w:rPr>
                <w:lang w:val="sr-Cyrl-RS"/>
              </w:rPr>
            </w:pPr>
            <w:r>
              <w:rPr>
                <w:lang w:val="sr-Cyrl-RS"/>
              </w:rPr>
              <w:t>Задовољство грађана услугама (мјерено анкетом)</w:t>
            </w:r>
          </w:p>
          <w:p>
            <w:pPr>
              <w:numPr>
                <w:ilvl w:val="0"/>
                <w:numId w:val="86"/>
              </w:numPr>
              <w:spacing w:after="80"/>
              <w:rPr>
                <w:lang w:val="sr-Cyrl-RS"/>
              </w:rPr>
            </w:pPr>
            <w:r>
              <w:rPr>
                <w:lang w:val="sr-Cyrl-RS"/>
              </w:rPr>
              <w:t>Број становника покривен услугом интегралног прикупљања отпадa;</w:t>
            </w:r>
          </w:p>
          <w:p>
            <w:pPr>
              <w:numPr>
                <w:ilvl w:val="0"/>
                <w:numId w:val="86"/>
              </w:numPr>
              <w:spacing w:after="80"/>
              <w:rPr>
                <w:lang w:val="sr-Cyrl-RS"/>
              </w:rPr>
            </w:pPr>
            <w:r>
              <w:rPr>
                <w:rFonts w:cs="Calibri"/>
                <w:shd w:val="clear" w:color="auto" w:fill="FFFFFF"/>
                <w:lang w:val="sr-Cyrl-RS"/>
              </w:rPr>
              <w:t xml:space="preserve">Kоличинa мијешаног комуналног отпада депонованог </w:t>
            </w:r>
            <w:r>
              <w:rPr>
                <w:lang w:val="sr-Cyrl-RS"/>
              </w:rPr>
              <w:t xml:space="preserve">на </w:t>
            </w:r>
            <w:r>
              <w:rPr>
                <w:bCs/>
                <w:lang w:val="sr-Cyrl-RS"/>
              </w:rPr>
              <w:t>депонији;</w:t>
            </w:r>
          </w:p>
          <w:p>
            <w:pPr>
              <w:numPr>
                <w:ilvl w:val="0"/>
                <w:numId w:val="86"/>
              </w:numPr>
              <w:spacing w:after="80"/>
              <w:rPr>
                <w:lang w:val="sr-Cyrl-RS"/>
              </w:rPr>
            </w:pPr>
            <w:r>
              <w:rPr>
                <w:lang w:val="sr-Cyrl-RS"/>
              </w:rPr>
              <w:t>Количина селективно прикупљеног  отпада пласираног на даљу обраду/рециклa</w:t>
            </w:r>
            <w:r>
              <w:rPr>
                <w:rFonts w:cs="Calibri"/>
                <w:color w:val="1A1617"/>
                <w:shd w:val="clear" w:color="auto" w:fill="FFFFFF"/>
                <w:lang w:val="sr-Cyrl-RS"/>
              </w:rPr>
              <w:t>ж</w:t>
            </w:r>
            <w:r>
              <w:rPr>
                <w:lang w:val="sr-Cyrl-RS"/>
              </w:rPr>
              <w:t>у;</w:t>
            </w:r>
          </w:p>
          <w:p>
            <w:pPr>
              <w:numPr>
                <w:ilvl w:val="0"/>
                <w:numId w:val="86"/>
              </w:numPr>
              <w:spacing w:after="80"/>
              <w:rPr>
                <w:lang w:val="sr-Cyrl-RS"/>
              </w:rPr>
            </w:pPr>
            <w:r>
              <w:rPr>
                <w:lang w:val="sr-Cyrl-RS"/>
              </w:rPr>
              <w:t>Број домаћинстава, пословних субјеката и образовних институција који учествују у селективном прикупљању отпада.</w:t>
            </w:r>
          </w:p>
          <w:p>
            <w:pPr>
              <w:spacing w:before="120" w:after="120"/>
              <w:ind w:left="391"/>
              <w:rPr>
                <w:rFonts w:cstheme="minorHAnsi"/>
                <w:lang w:val="bs-Latn-B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5" w:hRule="atLeast"/>
        </w:trPr>
        <w:tc>
          <w:tcPr>
            <w:tcW w:w="2852" w:type="dxa"/>
          </w:tcPr>
          <w:p>
            <w:pPr>
              <w:spacing w:before="120" w:after="120"/>
              <w:rPr>
                <w:rFonts w:cstheme="minorHAnsi"/>
                <w:b/>
                <w:lang w:val="bs-Latn-BA"/>
              </w:rPr>
            </w:pPr>
            <w:r>
              <w:rPr>
                <w:rFonts w:cstheme="minorHAnsi"/>
                <w:b/>
                <w:lang w:val="bs-Latn-BA"/>
              </w:rPr>
              <w:t xml:space="preserve">Секторски циљ 3.3 </w:t>
            </w:r>
          </w:p>
          <w:p>
            <w:pPr>
              <w:spacing w:before="120" w:after="120"/>
              <w:rPr>
                <w:rFonts w:cstheme="minorHAnsi"/>
                <w:b/>
                <w:lang w:val="bs-Latn-BA"/>
              </w:rPr>
            </w:pPr>
            <w:r>
              <w:rPr>
                <w:b/>
                <w:lang w:val="sr-Cyrl-RS"/>
              </w:rPr>
              <w:t xml:space="preserve">Побољшан јавни систем водоснабдијевања, систем сакупљања, одвођења и третмана комуналних отпадних вода и квалитетa </w:t>
            </w:r>
            <w:r>
              <w:rPr>
                <w:b/>
                <w:lang w:val="sr-Cyrl-RS" w:eastAsia="bs-Latn-BA"/>
              </w:rPr>
              <w:t>водa до краја 2022. године</w:t>
            </w:r>
            <w:r>
              <w:rPr>
                <w:rFonts w:cstheme="minorHAnsi"/>
                <w:b/>
                <w:lang w:val="bs-Latn-BA"/>
              </w:rPr>
              <w:t xml:space="preserve"> </w:t>
            </w:r>
          </w:p>
          <w:p>
            <w:pPr>
              <w:spacing w:before="120" w:after="120"/>
              <w:rPr>
                <w:rFonts w:cstheme="minorHAnsi"/>
                <w:b/>
                <w:lang w:val="bs-Latn-BA"/>
              </w:rPr>
            </w:pPr>
          </w:p>
          <w:p>
            <w:pPr>
              <w:spacing w:before="120" w:after="120"/>
              <w:rPr>
                <w:rFonts w:cstheme="minorHAnsi"/>
                <w:b/>
                <w:lang w:val="bs-Latn-BA"/>
              </w:rPr>
            </w:pPr>
          </w:p>
          <w:p>
            <w:pPr>
              <w:spacing w:before="120" w:after="120"/>
              <w:rPr>
                <w:rFonts w:cstheme="minorHAnsi"/>
                <w:b/>
                <w:lang w:val="bs-Latn-BA"/>
              </w:rPr>
            </w:pPr>
          </w:p>
          <w:p>
            <w:pPr>
              <w:spacing w:before="120" w:after="120"/>
              <w:rPr>
                <w:rFonts w:cstheme="minorHAnsi"/>
                <w:b/>
                <w:lang w:val="bs-Latn-BA"/>
              </w:rPr>
            </w:pPr>
          </w:p>
          <w:p>
            <w:pPr>
              <w:spacing w:before="120" w:after="120"/>
              <w:rPr>
                <w:rFonts w:cstheme="minorHAnsi"/>
                <w:b/>
                <w:lang w:val="bs-Latn-BA"/>
              </w:rPr>
            </w:pPr>
          </w:p>
          <w:p>
            <w:pPr>
              <w:spacing w:before="120" w:after="120"/>
              <w:rPr>
                <w:rFonts w:cstheme="minorHAnsi"/>
                <w:b/>
                <w:lang w:val="bs-Latn-BA"/>
              </w:rPr>
            </w:pPr>
          </w:p>
          <w:p>
            <w:pPr>
              <w:spacing w:before="120" w:after="120"/>
              <w:rPr>
                <w:rFonts w:cstheme="minorHAnsi"/>
                <w:b/>
                <w:lang w:val="bs-Latn-BA"/>
              </w:rPr>
            </w:pPr>
          </w:p>
          <w:p>
            <w:pPr>
              <w:spacing w:before="120" w:after="120"/>
              <w:rPr>
                <w:rFonts w:cstheme="minorHAnsi"/>
                <w:b/>
                <w:lang w:val="bs-Latn-BA"/>
              </w:rPr>
            </w:pPr>
          </w:p>
        </w:tc>
        <w:tc>
          <w:tcPr>
            <w:tcW w:w="3526" w:type="dxa"/>
            <w:shd w:val="clear" w:color="auto" w:fill="FFFFFF" w:themeFill="background1"/>
          </w:tcPr>
          <w:p>
            <w:pPr>
              <w:numPr>
                <w:ilvl w:val="0"/>
                <w:numId w:val="87"/>
              </w:numPr>
              <w:spacing w:after="80"/>
              <w:rPr>
                <w:lang w:val="sr-Cyrl-RS"/>
              </w:rPr>
            </w:pPr>
            <w:r>
              <w:rPr>
                <w:lang w:val="sr-Cyrl-RS"/>
              </w:rPr>
              <w:t>Исход 1: До краја 2022. године задовољство становништва услугама водоснабдијевања повећано за 20% у односу на 2018. годину.</w:t>
            </w:r>
          </w:p>
          <w:p>
            <w:pPr>
              <w:numPr>
                <w:ilvl w:val="0"/>
                <w:numId w:val="87"/>
              </w:numPr>
              <w:spacing w:after="80"/>
              <w:rPr>
                <w:lang w:val="sr-Cyrl-RS"/>
              </w:rPr>
            </w:pPr>
            <w:r>
              <w:rPr>
                <w:lang w:val="sr-Cyrl-RS"/>
              </w:rPr>
              <w:t xml:space="preserve">Исход 2: До краја 2022.г. израђена инвестиционо-техничка документација  за водоводне системе у руралном подручју </w:t>
            </w:r>
          </w:p>
          <w:p>
            <w:pPr>
              <w:numPr>
                <w:ilvl w:val="0"/>
                <w:numId w:val="87"/>
              </w:numPr>
              <w:spacing w:after="80"/>
              <w:rPr>
                <w:lang w:val="sr-Cyrl-RS"/>
              </w:rPr>
            </w:pPr>
            <w:r>
              <w:rPr>
                <w:lang w:val="sr-Cyrl-RS"/>
              </w:rPr>
              <w:t>Исход 3: До краја 2022. године задовољство становништва услугама одводње отпадних вода повећано за 20% у односу на 2018. годину.</w:t>
            </w:r>
          </w:p>
          <w:p>
            <w:pPr>
              <w:numPr>
                <w:ilvl w:val="0"/>
                <w:numId w:val="87"/>
              </w:numPr>
              <w:spacing w:after="80"/>
              <w:rPr>
                <w:lang w:val="sr-Cyrl-RS"/>
              </w:rPr>
            </w:pPr>
            <w:r>
              <w:rPr>
                <w:lang w:val="sr-Cyrl-RS"/>
              </w:rPr>
              <w:t>Исход 4: До краја 2022.г. изграђена канализациона мрежа у 5 градских насеља.</w:t>
            </w:r>
          </w:p>
        </w:tc>
        <w:tc>
          <w:tcPr>
            <w:tcW w:w="3228" w:type="dxa"/>
          </w:tcPr>
          <w:p>
            <w:pPr>
              <w:numPr>
                <w:ilvl w:val="0"/>
                <w:numId w:val="87"/>
              </w:numPr>
              <w:spacing w:after="80"/>
              <w:rPr>
                <w:lang w:val="sr-Cyrl-RS"/>
              </w:rPr>
            </w:pPr>
            <w:r>
              <w:rPr>
                <w:lang w:val="sr-Cyrl-RS"/>
              </w:rPr>
              <w:t>Број корисника (домаћинства и привредни субјекти) прикључених на водоводну мрежу;</w:t>
            </w:r>
          </w:p>
          <w:p>
            <w:pPr>
              <w:numPr>
                <w:ilvl w:val="0"/>
                <w:numId w:val="87"/>
              </w:numPr>
              <w:spacing w:after="80"/>
              <w:rPr>
                <w:lang w:val="sr-Cyrl-RS"/>
              </w:rPr>
            </w:pPr>
            <w:r>
              <w:rPr>
                <w:lang w:val="sr-Cyrl-RS"/>
              </w:rPr>
              <w:t>Задовољство грађана услугама водоводног система;</w:t>
            </w:r>
          </w:p>
          <w:p>
            <w:pPr>
              <w:numPr>
                <w:ilvl w:val="0"/>
                <w:numId w:val="87"/>
              </w:numPr>
              <w:spacing w:after="80"/>
              <w:rPr>
                <w:lang w:val="sr-Cyrl-RS"/>
              </w:rPr>
            </w:pPr>
            <w:r>
              <w:rPr>
                <w:lang w:val="sr-Cyrl-RS"/>
              </w:rPr>
              <w:t>Инвестиционо-техничка документације  за водоводне системе у руралном подручју</w:t>
            </w:r>
          </w:p>
          <w:p>
            <w:pPr>
              <w:numPr>
                <w:ilvl w:val="0"/>
                <w:numId w:val="87"/>
              </w:numPr>
              <w:spacing w:after="80"/>
              <w:rPr>
                <w:lang w:val="sr-Cyrl-RS"/>
              </w:rPr>
            </w:pPr>
            <w:r>
              <w:rPr>
                <w:lang w:val="sr-Cyrl-RS"/>
              </w:rPr>
              <w:t>Број корисника (домаћинства и привредни субјекти) прикључен на канализациону мрежу;</w:t>
            </w:r>
          </w:p>
          <w:p>
            <w:pPr>
              <w:numPr>
                <w:ilvl w:val="0"/>
                <w:numId w:val="87"/>
              </w:numPr>
              <w:spacing w:after="80"/>
              <w:rPr>
                <w:lang w:val="sr-Cyrl-RS"/>
              </w:rPr>
            </w:pPr>
            <w:r>
              <w:rPr>
                <w:lang w:val="sr-Cyrl-RS"/>
              </w:rPr>
              <w:t>Задовољство грађана услугама канализационог система.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52" w:type="dxa"/>
          </w:tcPr>
          <w:p>
            <w:pPr>
              <w:spacing w:before="120" w:after="120"/>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 xml:space="preserve">Секторски циљ 3.4 </w:t>
            </w:r>
          </w:p>
          <w:p>
            <w:pPr>
              <w:spacing w:before="120" w:after="120"/>
              <w:rPr>
                <w:rFonts w:cstheme="minorHAnsi"/>
                <w:b/>
                <w:lang w:val="sr-Cyrl-RS"/>
              </w:rPr>
            </w:pPr>
            <w:r>
              <w:rPr>
                <w:b/>
                <w:lang w:val="sr-Cyrl-RS"/>
              </w:rPr>
              <w:t>До краја 2022.г. побољшан квалитет ваздуха и енергетска ефикасност</w:t>
            </w:r>
          </w:p>
        </w:tc>
        <w:tc>
          <w:tcPr>
            <w:tcW w:w="3526" w:type="dxa"/>
          </w:tcPr>
          <w:p>
            <w:pPr>
              <w:numPr>
                <w:ilvl w:val="0"/>
                <w:numId w:val="88"/>
              </w:numPr>
              <w:spacing w:after="80"/>
              <w:rPr>
                <w:lang w:val="sr-Cyrl-RS"/>
              </w:rPr>
            </w:pPr>
            <w:r>
              <w:rPr>
                <w:lang w:val="sr-Cyrl-RS"/>
              </w:rPr>
              <w:t>Исход 1: До краја 2022. г. параметри квалитета ваздуха – прашина, SO2, NO2 i CO мањи за 5% у односу на 2017. годину</w:t>
            </w:r>
          </w:p>
          <w:p>
            <w:pPr>
              <w:numPr>
                <w:ilvl w:val="0"/>
                <w:numId w:val="88"/>
              </w:numPr>
              <w:spacing w:after="80"/>
              <w:rPr>
                <w:lang w:val="sr-Cyrl-RS"/>
              </w:rPr>
            </w:pPr>
            <w:r>
              <w:rPr>
                <w:lang w:val="sr-Cyrl-RS"/>
              </w:rPr>
              <w:t>Исход 2: До краја 2022. године смањена емисија CO2/становнику за 10% у односу на 2017. годину</w:t>
            </w:r>
          </w:p>
          <w:p>
            <w:pPr>
              <w:numPr>
                <w:ilvl w:val="0"/>
                <w:numId w:val="88"/>
              </w:numPr>
              <w:spacing w:after="80"/>
              <w:rPr>
                <w:lang w:val="sr-Cyrl-RS"/>
              </w:rPr>
            </w:pPr>
            <w:r>
              <w:rPr>
                <w:lang w:val="sr-Cyrl-RS"/>
              </w:rPr>
              <w:t>Исход 3: До краја 2022. смањена финална потрошња енергије за 5% у односу на 2017. годину</w:t>
            </w:r>
          </w:p>
        </w:tc>
        <w:tc>
          <w:tcPr>
            <w:tcW w:w="3228" w:type="dxa"/>
          </w:tcPr>
          <w:p>
            <w:pPr>
              <w:numPr>
                <w:ilvl w:val="0"/>
                <w:numId w:val="88"/>
              </w:numPr>
              <w:spacing w:after="80"/>
              <w:rPr>
                <w:lang w:val="sr-Cyrl-RS"/>
              </w:rPr>
            </w:pPr>
            <w:r>
              <w:rPr>
                <w:lang w:val="sr-Cyrl-RS"/>
              </w:rPr>
              <w:t>Пaрaмeтpи квалитет ваздуха</w:t>
            </w:r>
          </w:p>
          <w:p>
            <w:pPr>
              <w:numPr>
                <w:ilvl w:val="0"/>
                <w:numId w:val="88"/>
              </w:numPr>
              <w:spacing w:after="80"/>
              <w:rPr>
                <w:lang w:val="sr-Cyrl-RS"/>
              </w:rPr>
            </w:pPr>
            <w:r>
              <w:rPr>
                <w:lang w:val="sr-Cyrl-RS"/>
              </w:rPr>
              <w:t>Емисија CO</w:t>
            </w:r>
            <w:r>
              <w:rPr>
                <w:vertAlign w:val="subscript"/>
                <w:lang w:val="sr-Cyrl-RS"/>
              </w:rPr>
              <w:t>2</w:t>
            </w:r>
            <w:r>
              <w:rPr>
                <w:lang w:val="sr-Cyrl-RS"/>
              </w:rPr>
              <w:t xml:space="preserve"> по глави становника</w:t>
            </w:r>
          </w:p>
          <w:p>
            <w:pPr>
              <w:numPr>
                <w:ilvl w:val="0"/>
                <w:numId w:val="88"/>
              </w:numPr>
              <w:spacing w:after="80"/>
              <w:rPr>
                <w:lang w:val="sr-Cyrl-RS"/>
              </w:rPr>
            </w:pPr>
            <w:r>
              <w:rPr>
                <w:lang w:val="sr-Cyrl-RS"/>
              </w:rPr>
              <w:t xml:space="preserve">Количина потрошене електричне енергије (у </w:t>
            </w:r>
            <w:r>
              <w:t>kWh</w:t>
            </w:r>
            <w:r>
              <w:rPr>
                <w:lang w:val="sr-Cyrl-RS"/>
              </w:rPr>
              <w:t>)</w:t>
            </w:r>
          </w:p>
          <w:p>
            <w:pPr>
              <w:numPr>
                <w:ilvl w:val="0"/>
                <w:numId w:val="88"/>
              </w:numPr>
              <w:spacing w:after="80"/>
              <w:rPr>
                <w:lang w:val="sr-Cyrl-RS"/>
              </w:rPr>
            </w:pPr>
            <w:r>
              <w:rPr>
                <w:lang w:val="sr-Cyrl-RS"/>
              </w:rPr>
              <w:t xml:space="preserve">Количина произведене енергије из обновљивих извора (у </w:t>
            </w:r>
            <w:r>
              <w:t>kWh</w:t>
            </w:r>
            <w:r>
              <w:rPr>
                <w:lang w:val="sr-Cyrl-R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52" w:type="dxa"/>
          </w:tcPr>
          <w:p>
            <w:pPr>
              <w:rPr>
                <w:rFonts w:cs="Calibri"/>
                <w:b/>
                <w:lang w:val="sr-Cyrl-RS"/>
              </w:rPr>
            </w:pPr>
            <w:r>
              <w:rPr>
                <w:rFonts w:cs="Calibri"/>
                <w:b/>
                <w:lang w:val="sr-Cyrl-RS"/>
              </w:rPr>
              <w:t>Секторски циљ 3.5</w:t>
            </w:r>
          </w:p>
          <w:p>
            <w:pPr>
              <w:rPr>
                <w:rFonts w:cs="Calibri"/>
                <w:b/>
                <w:lang w:val="sr-Cyrl-RS"/>
              </w:rPr>
            </w:pPr>
          </w:p>
          <w:p>
            <w:pPr>
              <w:rPr>
                <w:rFonts w:cs="Calibri"/>
                <w:b/>
                <w:lang w:val="sr-Cyrl-RS"/>
              </w:rPr>
            </w:pPr>
            <w:r>
              <w:rPr>
                <w:rFonts w:cs="Calibri"/>
                <w:b/>
                <w:lang w:val="sr-Cyrl-RS"/>
              </w:rPr>
              <w:t>До краја 2022., унапређена</w:t>
            </w:r>
          </w:p>
          <w:p>
            <w:pPr>
              <w:rPr>
                <w:rFonts w:cstheme="minorHAnsi"/>
                <w:b/>
                <w:color w:val="1A1617"/>
                <w:shd w:val="clear" w:color="auto" w:fill="FFFFFF" w:themeFill="background1"/>
                <w:lang w:val="bs-Latn-BA"/>
              </w:rPr>
            </w:pPr>
            <w:r>
              <w:rPr>
                <w:rFonts w:cs="Calibri"/>
                <w:b/>
                <w:lang w:val="sr-Cyrl-RS"/>
              </w:rPr>
              <w:t>саобраћајна инфраструктура на подручју Града</w:t>
            </w:r>
          </w:p>
        </w:tc>
        <w:tc>
          <w:tcPr>
            <w:tcW w:w="3526" w:type="dxa"/>
          </w:tcPr>
          <w:p>
            <w:pPr>
              <w:numPr>
                <w:ilvl w:val="0"/>
                <w:numId w:val="89"/>
              </w:numPr>
              <w:spacing w:after="80"/>
              <w:rPr>
                <w:lang w:val="sr-Cyrl-RS"/>
              </w:rPr>
            </w:pPr>
            <w:r>
              <w:rPr>
                <w:lang w:val="sr-Cyrl-RS"/>
              </w:rPr>
              <w:t>Исход 1: До краја 2022. године, задовољство становништва саобраћајном инфраструктуром повећано за 20% у односу на 2018. годину.</w:t>
            </w:r>
          </w:p>
          <w:p>
            <w:pPr>
              <w:pStyle w:val="46"/>
              <w:numPr>
                <w:ilvl w:val="0"/>
                <w:numId w:val="89"/>
              </w:numPr>
              <w:spacing w:after="80"/>
              <w:jc w:val="left"/>
              <w:rPr>
                <w:lang w:val="sr-Cyrl-RS"/>
              </w:rPr>
            </w:pPr>
            <w:r>
              <w:rPr>
                <w:lang w:val="sr-Cyrl-RS"/>
              </w:rPr>
              <w:t xml:space="preserve">Исход 2: </w:t>
            </w:r>
            <w:r>
              <w:rPr>
                <w:rFonts w:eastAsia="Calibri"/>
                <w:lang w:val="sr-Cyrl-RS"/>
              </w:rPr>
              <w:t>До краја 2022. године, параметри урбане мобилности повећани за 20% у односу на 2017.</w:t>
            </w:r>
          </w:p>
        </w:tc>
        <w:tc>
          <w:tcPr>
            <w:tcW w:w="3228" w:type="dxa"/>
          </w:tcPr>
          <w:p>
            <w:pPr>
              <w:numPr>
                <w:ilvl w:val="0"/>
                <w:numId w:val="89"/>
              </w:numPr>
              <w:spacing w:after="120"/>
              <w:rPr>
                <w:lang w:val="sr-Cyrl-RS"/>
              </w:rPr>
            </w:pPr>
            <w:r>
              <w:rPr>
                <w:lang w:val="sr-Cyrl-RS"/>
              </w:rPr>
              <w:t>Број км нових саобраћајница</w:t>
            </w:r>
          </w:p>
          <w:p>
            <w:pPr>
              <w:numPr>
                <w:ilvl w:val="0"/>
                <w:numId w:val="89"/>
              </w:numPr>
              <w:spacing w:after="120"/>
              <w:rPr>
                <w:lang w:val="sr-Cyrl-RS"/>
              </w:rPr>
            </w:pPr>
            <w:r>
              <w:rPr>
                <w:lang w:val="sr-Cyrl-RS"/>
              </w:rPr>
              <w:t>Број км реконструисананих саобраћајница</w:t>
            </w:r>
          </w:p>
          <w:p>
            <w:pPr>
              <w:numPr>
                <w:ilvl w:val="0"/>
                <w:numId w:val="89"/>
              </w:numPr>
              <w:spacing w:after="120"/>
              <w:rPr>
                <w:lang w:val="sr-Cyrl-RS"/>
              </w:rPr>
            </w:pPr>
            <w:r>
              <w:rPr>
                <w:lang w:val="sr-Cyrl-RS"/>
              </w:rPr>
              <w:t>Број кружних раскрсница</w:t>
            </w:r>
          </w:p>
          <w:p>
            <w:pPr>
              <w:numPr>
                <w:ilvl w:val="0"/>
                <w:numId w:val="89"/>
              </w:numPr>
              <w:spacing w:after="120"/>
              <w:rPr>
                <w:lang w:val="sr-Cyrl-RS"/>
              </w:rPr>
            </w:pPr>
            <w:r>
              <w:rPr>
                <w:lang w:val="sr-Cyrl-RS"/>
              </w:rPr>
              <w:t>Број км пјешачких и бициклистичких стаза</w:t>
            </w:r>
          </w:p>
          <w:p>
            <w:pPr>
              <w:numPr>
                <w:ilvl w:val="0"/>
                <w:numId w:val="89"/>
              </w:numPr>
              <w:spacing w:after="120"/>
              <w:rPr>
                <w:lang w:val="sr-Cyrl-RS"/>
              </w:rPr>
            </w:pPr>
            <w:r>
              <w:rPr>
                <w:lang w:val="sr-Cyrl-RS"/>
              </w:rPr>
              <w:t>Број мостова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52" w:type="dxa"/>
          </w:tcPr>
          <w:p>
            <w:pPr>
              <w:spacing w:before="120" w:after="120"/>
              <w:rPr>
                <w:rFonts w:cstheme="minorHAnsi"/>
                <w:b/>
                <w:color w:val="1A1617"/>
                <w:shd w:val="clear" w:color="auto" w:fill="FFFFFF" w:themeFill="background1"/>
                <w:lang w:val="bs-Latn-BA"/>
              </w:rPr>
            </w:pPr>
            <w:r>
              <w:rPr>
                <w:rFonts w:cstheme="minorHAnsi"/>
                <w:b/>
                <w:color w:val="1A1617"/>
                <w:shd w:val="clear" w:color="auto" w:fill="FFFFFF" w:themeFill="background1"/>
                <w:lang w:val="bs-Latn-BA"/>
              </w:rPr>
              <w:t>Секторски циљ 3.</w:t>
            </w:r>
            <w:r>
              <w:rPr>
                <w:rFonts w:cstheme="minorHAnsi"/>
                <w:b/>
                <w:color w:val="1A1617"/>
                <w:shd w:val="clear" w:color="auto" w:fill="FFFFFF" w:themeFill="background1"/>
                <w:lang w:val="sr-Cyrl-RS"/>
              </w:rPr>
              <w:t>6</w:t>
            </w:r>
            <w:r>
              <w:rPr>
                <w:rFonts w:cstheme="minorHAnsi"/>
                <w:b/>
                <w:color w:val="1A1617"/>
                <w:shd w:val="clear" w:color="auto" w:fill="FFFFFF" w:themeFill="background1"/>
                <w:lang w:val="bs-Latn-BA"/>
              </w:rPr>
              <w:t xml:space="preserve"> </w:t>
            </w:r>
          </w:p>
          <w:p>
            <w:pPr>
              <w:spacing w:before="120" w:after="120"/>
              <w:rPr>
                <w:rFonts w:cstheme="minorHAnsi"/>
                <w:b/>
                <w:color w:val="1A1617"/>
                <w:shd w:val="clear" w:color="auto" w:fill="FFFFFF" w:themeFill="background1"/>
                <w:lang w:val="bs-Latn-BA"/>
              </w:rPr>
            </w:pPr>
          </w:p>
          <w:p>
            <w:pPr>
              <w:spacing w:before="120" w:after="120"/>
              <w:rPr>
                <w:rFonts w:cstheme="minorHAnsi"/>
                <w:b/>
                <w:lang w:val="bs-Latn-BA"/>
              </w:rPr>
            </w:pPr>
            <w:r>
              <w:rPr>
                <w:rFonts w:cs="Cambria"/>
                <w:b/>
                <w:bCs/>
                <w:color w:val="000000"/>
                <w:lang w:val="sr-Cyrl-RS" w:eastAsia="bs-Latn-BA"/>
              </w:rPr>
              <w:t xml:space="preserve">Заштићено природно насљеђе, </w:t>
            </w:r>
            <w:r>
              <w:rPr>
                <w:b/>
                <w:lang w:val="sr-Cyrl-RS"/>
              </w:rPr>
              <w:t>унапређено стање парковских и зелених површина до краја 2022. године</w:t>
            </w:r>
          </w:p>
        </w:tc>
        <w:tc>
          <w:tcPr>
            <w:tcW w:w="3526" w:type="dxa"/>
          </w:tcPr>
          <w:p>
            <w:pPr>
              <w:pStyle w:val="46"/>
              <w:numPr>
                <w:ilvl w:val="0"/>
                <w:numId w:val="90"/>
              </w:numPr>
              <w:spacing w:after="120"/>
              <w:jc w:val="left"/>
              <w:rPr>
                <w:lang w:val="sr-Cyrl-RS"/>
              </w:rPr>
            </w:pPr>
            <w:r>
              <w:rPr>
                <w:lang w:val="sr-Cyrl-RS"/>
              </w:rPr>
              <w:t>Исход 1: До краја 2022. године површина територије Града под заштитом већа за 5% у односу на 2017. годину</w:t>
            </w:r>
          </w:p>
          <w:p>
            <w:pPr>
              <w:pStyle w:val="46"/>
              <w:numPr>
                <w:ilvl w:val="0"/>
                <w:numId w:val="90"/>
              </w:numPr>
              <w:spacing w:after="120"/>
              <w:jc w:val="left"/>
              <w:rPr>
                <w:lang w:val="sr-Cyrl-RS"/>
              </w:rPr>
            </w:pPr>
            <w:r>
              <w:rPr>
                <w:lang w:val="sr-Cyrl-RS"/>
              </w:rPr>
              <w:t>Исход 2: До краја 2022. године унапријеђен систем заштите флоре, фауне и станишта</w:t>
            </w:r>
          </w:p>
          <w:p>
            <w:pPr>
              <w:pStyle w:val="46"/>
              <w:numPr>
                <w:ilvl w:val="0"/>
                <w:numId w:val="90"/>
              </w:numPr>
              <w:spacing w:after="120"/>
              <w:jc w:val="left"/>
              <w:rPr>
                <w:lang w:val="sr-Cyrl-RS"/>
              </w:rPr>
            </w:pPr>
            <w:r>
              <w:rPr>
                <w:lang w:val="sr-Cyrl-RS"/>
              </w:rPr>
              <w:t xml:space="preserve">Исход 3: До краја 2022. године задовољство грађана уређењем јавних/парковских/зелених површина повећано за 30% у односу на 2017.г. </w:t>
            </w:r>
          </w:p>
        </w:tc>
        <w:tc>
          <w:tcPr>
            <w:tcW w:w="3228" w:type="dxa"/>
          </w:tcPr>
          <w:p>
            <w:pPr>
              <w:pStyle w:val="46"/>
              <w:numPr>
                <w:ilvl w:val="0"/>
                <w:numId w:val="90"/>
              </w:numPr>
              <w:spacing w:after="120"/>
              <w:jc w:val="left"/>
              <w:rPr>
                <w:lang w:val="sr-Cyrl-RS"/>
              </w:rPr>
            </w:pPr>
            <w:r>
              <w:rPr>
                <w:lang w:val="sr-Cyrl-RS"/>
              </w:rPr>
              <w:t>Површина територије Града под заштитом</w:t>
            </w:r>
          </w:p>
          <w:p>
            <w:pPr>
              <w:pStyle w:val="46"/>
              <w:numPr>
                <w:ilvl w:val="0"/>
                <w:numId w:val="90"/>
              </w:numPr>
              <w:spacing w:after="120"/>
              <w:jc w:val="left"/>
              <w:rPr>
                <w:lang w:val="sr-Cyrl-RS"/>
              </w:rPr>
            </w:pPr>
            <w:r>
              <w:rPr>
                <w:lang w:val="sr-Cyrl-RS"/>
              </w:rPr>
              <w:t>Број идентификованих врста флоре и фауне, те категоризованих станишта сходно Habitat директиви, Флори Европе, Фауни Европе, EURO-MED data base, итд.</w:t>
            </w:r>
          </w:p>
          <w:p>
            <w:pPr>
              <w:pStyle w:val="46"/>
              <w:numPr>
                <w:ilvl w:val="0"/>
                <w:numId w:val="90"/>
              </w:numPr>
              <w:spacing w:after="120"/>
              <w:jc w:val="left"/>
              <w:rPr>
                <w:lang w:val="sr-Cyrl-RS"/>
              </w:rPr>
            </w:pPr>
            <w:r>
              <w:rPr>
                <w:lang w:val="sr-Cyrl-RS"/>
              </w:rPr>
              <w:t>Површина под парковским/зеленим површинама која је уређена.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52" w:type="dxa"/>
          </w:tcPr>
          <w:p>
            <w:pPr>
              <w:spacing w:before="120" w:after="120"/>
              <w:rPr>
                <w:rFonts w:cstheme="minorHAnsi"/>
                <w:b/>
                <w:color w:val="1A1617"/>
                <w:shd w:val="clear" w:color="auto" w:fill="FFFFFF" w:themeFill="background1"/>
                <w:lang w:val="sr-Cyrl-RS"/>
              </w:rPr>
            </w:pPr>
            <w:r>
              <w:rPr>
                <w:rFonts w:cstheme="minorHAnsi"/>
                <w:b/>
                <w:color w:val="1A1617"/>
                <w:shd w:val="clear" w:color="auto" w:fill="FFFFFF" w:themeFill="background1"/>
                <w:lang w:val="sr-Cyrl-RS"/>
              </w:rPr>
              <w:t>Секторски циљ 3.7</w:t>
            </w:r>
          </w:p>
          <w:p>
            <w:pPr>
              <w:spacing w:before="120" w:after="120"/>
              <w:rPr>
                <w:rFonts w:cstheme="minorHAnsi"/>
                <w:b/>
                <w:color w:val="1A1617"/>
                <w:shd w:val="clear" w:color="auto" w:fill="FFFFFF" w:themeFill="background1"/>
                <w:lang w:val="sr-Cyrl-RS"/>
              </w:rPr>
            </w:pPr>
            <w:r>
              <w:rPr>
                <w:b/>
                <w:lang w:val="sr-Cyrl-RS"/>
              </w:rPr>
              <w:t>Побољшан систем заштите од поплава, земљотреса,  пожара и других непогода до краја 2022. године</w:t>
            </w:r>
          </w:p>
        </w:tc>
        <w:tc>
          <w:tcPr>
            <w:tcW w:w="3526" w:type="dxa"/>
          </w:tcPr>
          <w:p>
            <w:pPr>
              <w:numPr>
                <w:ilvl w:val="0"/>
                <w:numId w:val="91"/>
              </w:numPr>
              <w:spacing w:after="120"/>
              <w:rPr>
                <w:lang w:val="sr-Cyrl-RS"/>
              </w:rPr>
            </w:pPr>
            <w:r>
              <w:rPr>
                <w:lang w:val="sr-Cyrl-RS"/>
              </w:rPr>
              <w:t>Исход 1: До краја 2022. године,  број становника и правних лица под ризиком од поплава смањен за 30% у односу на 2017.г.</w:t>
            </w:r>
          </w:p>
          <w:p>
            <w:pPr>
              <w:numPr>
                <w:ilvl w:val="0"/>
                <w:numId w:val="91"/>
              </w:numPr>
              <w:spacing w:after="120"/>
              <w:rPr>
                <w:lang w:val="sr-Cyrl-RS"/>
              </w:rPr>
            </w:pPr>
            <w:r>
              <w:rPr>
                <w:lang w:val="sr-Cyrl-RS"/>
              </w:rPr>
              <w:t>Исход 2: Задовољство грађана комуникацијом и акцијама спашавања у случајевима елементарних непогода повећано за 30% у односу на 2018. годину.</w:t>
            </w:r>
          </w:p>
        </w:tc>
        <w:tc>
          <w:tcPr>
            <w:tcW w:w="3228" w:type="dxa"/>
          </w:tcPr>
          <w:p>
            <w:pPr>
              <w:numPr>
                <w:ilvl w:val="0"/>
                <w:numId w:val="91"/>
              </w:numPr>
              <w:spacing w:after="120"/>
              <w:rPr>
                <w:lang w:val="sr-Cyrl-RS"/>
              </w:rPr>
            </w:pPr>
            <w:r>
              <w:rPr>
                <w:lang w:val="sr-Cyrl-RS"/>
              </w:rPr>
              <w:t>Број становника и правних лица под ризиком од поплава</w:t>
            </w:r>
          </w:p>
          <w:p>
            <w:pPr>
              <w:numPr>
                <w:ilvl w:val="0"/>
                <w:numId w:val="91"/>
              </w:numPr>
              <w:spacing w:after="120"/>
              <w:rPr>
                <w:lang w:val="sr-Cyrl-RS"/>
              </w:rPr>
            </w:pPr>
            <w:r>
              <w:rPr>
                <w:lang w:val="sr-Cyrl-RS"/>
              </w:rPr>
              <w:t xml:space="preserve">Задовољство грађана мјерено анкетом. </w:t>
            </w:r>
          </w:p>
          <w:p>
            <w:pPr>
              <w:spacing w:after="120"/>
              <w:ind w:left="34"/>
              <w:rPr>
                <w:lang w:val="sr-Cyrl-RS"/>
              </w:rPr>
            </w:pPr>
          </w:p>
        </w:tc>
      </w:tr>
    </w:tbl>
    <w:p>
      <w:pPr>
        <w:rPr>
          <w:rFonts w:cstheme="minorHAnsi"/>
          <w:b/>
          <w:color w:val="1A1617"/>
          <w:shd w:val="clear" w:color="auto" w:fill="FFFFFF" w:themeFill="background1"/>
          <w:lang w:val="sr-Cyrl-CS"/>
        </w:rPr>
      </w:pPr>
    </w:p>
    <w:p>
      <w:pPr>
        <w:spacing w:after="160" w:line="259" w:lineRule="auto"/>
        <w:rPr>
          <w:rFonts w:cstheme="minorHAnsi"/>
          <w:b/>
          <w:color w:val="1A1617"/>
          <w:shd w:val="clear" w:color="auto" w:fill="FFFFFF" w:themeFill="background1"/>
          <w:lang w:val="sr-Cyrl-CS"/>
        </w:rPr>
      </w:pPr>
      <w:r>
        <w:rPr>
          <w:rFonts w:cstheme="minorHAnsi"/>
          <w:b/>
          <w:color w:val="1A1617"/>
          <w:shd w:val="clear" w:color="auto" w:fill="FFFFFF" w:themeFill="background1"/>
          <w:lang w:val="sr-Cyrl-CS"/>
        </w:rPr>
        <w:br w:type="page"/>
      </w:r>
    </w:p>
    <w:p>
      <w:pPr>
        <w:pStyle w:val="4"/>
        <w:rPr>
          <w:lang w:val="bs-Latn-BA"/>
        </w:rPr>
      </w:pPr>
      <w:bookmarkStart w:id="159" w:name="_Toc473095879"/>
      <w:bookmarkStart w:id="160" w:name="_Toc526761941"/>
      <w:r>
        <w:rPr>
          <w:lang w:val="bs-Latn-BA"/>
        </w:rPr>
        <w:t xml:space="preserve">V.4.2. </w:t>
      </w:r>
      <w:r>
        <w:t>Усклађеност</w:t>
      </w:r>
      <w:r>
        <w:rPr>
          <w:lang w:val="bs-Latn-BA"/>
        </w:rPr>
        <w:t xml:space="preserve"> </w:t>
      </w:r>
      <w:r>
        <w:t>са</w:t>
      </w:r>
      <w:r>
        <w:rPr>
          <w:lang w:val="bs-Latn-BA"/>
        </w:rPr>
        <w:t xml:space="preserve"> </w:t>
      </w:r>
      <w:r>
        <w:t>стратешким</w:t>
      </w:r>
      <w:r>
        <w:rPr>
          <w:lang w:val="bs-Latn-BA"/>
        </w:rPr>
        <w:t xml:space="preserve"> </w:t>
      </w:r>
      <w:r>
        <w:t>документима</w:t>
      </w:r>
      <w:r>
        <w:rPr>
          <w:lang w:val="bs-Latn-BA"/>
        </w:rPr>
        <w:t xml:space="preserve"> </w:t>
      </w:r>
      <w:r>
        <w:t>виших</w:t>
      </w:r>
      <w:r>
        <w:rPr>
          <w:lang w:val="bs-Latn-BA"/>
        </w:rPr>
        <w:t xml:space="preserve"> </w:t>
      </w:r>
      <w:r>
        <w:t>нивоа</w:t>
      </w:r>
      <w:bookmarkEnd w:id="159"/>
      <w:bookmarkEnd w:id="160"/>
    </w:p>
    <w:p>
      <w:pPr>
        <w:spacing w:after="120"/>
        <w:jc w:val="both"/>
      </w:pPr>
      <w:r>
        <w:t xml:space="preserve">Секторски циљеви заштите животне средине имају своје јако упориште у документима виших стратегија, планова и закона. </w:t>
      </w:r>
    </w:p>
    <w:p>
      <w:pPr>
        <w:jc w:val="both"/>
        <w:rPr>
          <w:rFonts w:eastAsia="Times New Roman"/>
          <w:bCs/>
          <w:kern w:val="32"/>
          <w:lang w:val="sr-Cyrl-RS"/>
        </w:rPr>
      </w:pPr>
      <w:r>
        <w:rPr>
          <w:rFonts w:eastAsia="Times New Roman"/>
          <w:b/>
          <w:bCs/>
          <w:kern w:val="32"/>
        </w:rPr>
        <w:t xml:space="preserve">Секторски циљ </w:t>
      </w:r>
      <w:r>
        <w:rPr>
          <w:rFonts w:eastAsia="Times New Roman"/>
          <w:b/>
          <w:bCs/>
          <w:kern w:val="32"/>
          <w:lang w:val="sr-Cyrl-RS"/>
        </w:rPr>
        <w:t>3</w:t>
      </w:r>
      <w:r>
        <w:rPr>
          <w:rFonts w:eastAsia="Times New Roman"/>
          <w:b/>
          <w:bCs/>
          <w:kern w:val="32"/>
        </w:rPr>
        <w:t>.</w:t>
      </w:r>
      <w:r>
        <w:rPr>
          <w:rFonts w:eastAsia="Times New Roman"/>
          <w:b/>
          <w:bCs/>
          <w:kern w:val="32"/>
          <w:lang w:val="sr-Cyrl-RS"/>
        </w:rPr>
        <w:t xml:space="preserve">1 </w:t>
      </w:r>
      <w:r>
        <w:rPr>
          <w:rFonts w:eastAsia="Times New Roman"/>
          <w:bCs/>
          <w:kern w:val="32"/>
          <w:lang w:val="sr-Cyrl-RS"/>
        </w:rPr>
        <w:t>има утемјељење у Стратегији развоја ЕУ до 2020. године (</w:t>
      </w:r>
      <w:r>
        <w:rPr>
          <w:rFonts w:eastAsia="Times New Roman"/>
          <w:bCs/>
          <w:i/>
          <w:kern w:val="32"/>
        </w:rPr>
        <w:t>Europe 2020.</w:t>
      </w:r>
      <w:r>
        <w:rPr>
          <w:rFonts w:eastAsia="Times New Roman"/>
          <w:bCs/>
          <w:kern w:val="32"/>
        </w:rPr>
        <w:t xml:space="preserve">), </w:t>
      </w:r>
      <w:r>
        <w:rPr>
          <w:rFonts w:eastAsia="Times New Roman"/>
          <w:bCs/>
          <w:kern w:val="32"/>
          <w:lang w:val="sr-Cyrl-RS"/>
        </w:rPr>
        <w:t xml:space="preserve">као и у Националном еколошком акционом плану (НЕАП), а руководи се стандардима </w:t>
      </w:r>
      <w:r>
        <w:rPr>
          <w:i/>
          <w:lang w:val="sr-Latn-RS"/>
        </w:rPr>
        <w:t>Green City</w:t>
      </w:r>
      <w:r>
        <w:rPr>
          <w:i/>
        </w:rPr>
        <w:t xml:space="preserve"> </w:t>
      </w:r>
      <w:r>
        <w:rPr>
          <w:lang w:val="sr-Cyrl-RS"/>
        </w:rPr>
        <w:t xml:space="preserve">као савременим моделом урбанистичког планирања. Претпоставка је да је први корак подизање свијести грађана о самом значењу концепта и оквиру за развој </w:t>
      </w:r>
      <w:r>
        <w:rPr>
          <w:i/>
          <w:lang w:val="sr-Latn-RS"/>
        </w:rPr>
        <w:t>Green City</w:t>
      </w:r>
      <w:r>
        <w:rPr>
          <w:i/>
          <w:lang w:val="sr-Cyrl-RS"/>
        </w:rPr>
        <w:t xml:space="preserve"> </w:t>
      </w:r>
      <w:r>
        <w:rPr>
          <w:lang w:val="sr-Cyrl-RS"/>
        </w:rPr>
        <w:t>концепта. У том смислу, овај секторски циљ заснива се на свим прописима, стратегијама и политикама заштите животне средине, које су детаљније описане у оквиру осталих секторских циљева у овом поглављу.</w:t>
      </w:r>
    </w:p>
    <w:p>
      <w:pPr>
        <w:jc w:val="both"/>
        <w:rPr>
          <w:rFonts w:eastAsia="Times New Roman"/>
          <w:b/>
          <w:bCs/>
          <w:kern w:val="32"/>
        </w:rPr>
      </w:pPr>
    </w:p>
    <w:p>
      <w:pPr>
        <w:jc w:val="both"/>
        <w:rPr>
          <w:rFonts w:eastAsia="TTE1FFBE00t00" w:cs="Calibri"/>
        </w:rPr>
      </w:pPr>
      <w:r>
        <w:rPr>
          <w:rFonts w:eastAsia="Times New Roman"/>
          <w:b/>
          <w:bCs/>
          <w:kern w:val="32"/>
        </w:rPr>
        <w:t xml:space="preserve">Секторски циљ </w:t>
      </w:r>
      <w:r>
        <w:rPr>
          <w:rFonts w:eastAsia="Times New Roman"/>
          <w:b/>
          <w:bCs/>
          <w:kern w:val="32"/>
          <w:lang w:val="sr-Cyrl-RS"/>
        </w:rPr>
        <w:t>3</w:t>
      </w:r>
      <w:r>
        <w:rPr>
          <w:rFonts w:eastAsia="Times New Roman"/>
          <w:b/>
          <w:bCs/>
          <w:kern w:val="32"/>
        </w:rPr>
        <w:t>.</w:t>
      </w:r>
      <w:r>
        <w:rPr>
          <w:rFonts w:eastAsia="Times New Roman"/>
          <w:b/>
          <w:bCs/>
          <w:kern w:val="32"/>
          <w:lang w:val="sr-Cyrl-RS"/>
        </w:rPr>
        <w:t xml:space="preserve">2 </w:t>
      </w:r>
      <w:r>
        <w:t>је у</w:t>
      </w:r>
      <w:r>
        <w:rPr>
          <w:lang w:val="sr-Cyrl-RS"/>
        </w:rPr>
        <w:t xml:space="preserve"> </w:t>
      </w:r>
      <w:r>
        <w:t>скла</w:t>
      </w:r>
      <w:r>
        <w:rPr>
          <w:lang w:val="sr-Cyrl-RS"/>
        </w:rPr>
        <w:t>ду</w:t>
      </w:r>
      <w:r>
        <w:t xml:space="preserve"> са</w:t>
      </w:r>
      <w:r>
        <w:rPr>
          <w:rFonts w:asciiTheme="minorHAnsi" w:hAnsiTheme="minorHAnsi" w:cstheme="minorHAnsi"/>
          <w:lang w:val="sr-Cyrl-RS"/>
        </w:rPr>
        <w:t xml:space="preserve">, </w:t>
      </w:r>
      <w:r>
        <w:t>НЕАП-ом (</w:t>
      </w:r>
      <w:r>
        <w:rPr>
          <w:rFonts w:eastAsia="TTE1FFBE00t00" w:cs="Calibri"/>
        </w:rPr>
        <w:t>приоритетна област: Отпад/Управљање отпадом</w:t>
      </w:r>
      <w:r>
        <w:t>),</w:t>
      </w:r>
      <w:r>
        <w:rPr>
          <w:b/>
        </w:rPr>
        <w:t xml:space="preserve"> </w:t>
      </w:r>
      <w:r>
        <w:t>Стратегијом управљања отпадом РС 2016-202</w:t>
      </w:r>
      <w:r>
        <w:rPr>
          <w:lang w:val="sr-Cyrl-RS"/>
        </w:rPr>
        <w:t>6</w:t>
      </w:r>
      <w:r>
        <w:t xml:space="preserve">. године (Циљеви: Избјегавање и смањење настајања отпада/Унапрјеђење система сакупљања комуналног отпада/Санација и затварање општинских и дивљих депонија/Успостављање система заједничких депонија за управљање преосталим комуналним и неопасним индустријским отпадом), </w:t>
      </w:r>
      <w:r>
        <w:rPr>
          <w:rFonts w:eastAsia="TTE1FFBE00t00" w:cs="Calibri"/>
        </w:rPr>
        <w:t>Стратегијом заштите природе Републике Српске (</w:t>
      </w:r>
      <w:r>
        <w:t>4.1.11. Јачање еколошке свијести, 4.2.1. Стварање основе за усклађен и просторно уравнотежен</w:t>
      </w:r>
      <w:r>
        <w:rPr>
          <w:lang w:val="sr-Cyrl-CS"/>
        </w:rPr>
        <w:t xml:space="preserve"> </w:t>
      </w:r>
      <w:r>
        <w:t>социо-економски развој)</w:t>
      </w:r>
      <w:r>
        <w:rPr>
          <w:lang w:val="sr-Cyrl-CS"/>
        </w:rPr>
        <w:t>,</w:t>
      </w:r>
      <w:r>
        <w:rPr>
          <w:lang w:val="sr-Cyrl-RS"/>
        </w:rPr>
        <w:t xml:space="preserve"> као и</w:t>
      </w:r>
      <w:r>
        <w:t xml:space="preserve"> Стратешким планом развоја пољопривреде и руралних подручја Републике Српске до 2020. (5. Уравнотежен интегрални рурални развој).</w:t>
      </w:r>
    </w:p>
    <w:p>
      <w:pPr>
        <w:jc w:val="both"/>
        <w:rPr>
          <w:rFonts w:eastAsia="Times New Roman"/>
          <w:b/>
          <w:bCs/>
          <w:kern w:val="32"/>
        </w:rPr>
      </w:pPr>
    </w:p>
    <w:p>
      <w:pPr>
        <w:jc w:val="both"/>
      </w:pPr>
      <w:r>
        <w:rPr>
          <w:rFonts w:eastAsia="Times New Roman"/>
          <w:b/>
          <w:bCs/>
          <w:kern w:val="32"/>
        </w:rPr>
        <w:t xml:space="preserve">Секторски циљ </w:t>
      </w:r>
      <w:r>
        <w:rPr>
          <w:rFonts w:eastAsia="Times New Roman"/>
          <w:b/>
          <w:bCs/>
          <w:kern w:val="32"/>
          <w:lang w:val="sr-Cyrl-RS"/>
        </w:rPr>
        <w:t>3</w:t>
      </w:r>
      <w:r>
        <w:rPr>
          <w:rFonts w:eastAsia="Times New Roman"/>
          <w:b/>
          <w:bCs/>
          <w:kern w:val="32"/>
        </w:rPr>
        <w:t>.</w:t>
      </w:r>
      <w:r>
        <w:rPr>
          <w:rFonts w:eastAsia="Times New Roman"/>
          <w:b/>
          <w:bCs/>
          <w:kern w:val="32"/>
          <w:lang w:val="sr-Cyrl-RS"/>
        </w:rPr>
        <w:t xml:space="preserve">3 </w:t>
      </w:r>
      <w:r>
        <w:rPr>
          <w:rFonts w:eastAsia="TTE1FFBE00t00" w:cs="Calibri"/>
        </w:rPr>
        <w:t xml:space="preserve">је усклађен са Националним еколошким акционим планом (НЕАП) (приоритетна област: Водни ресурси/Отпадне воде), </w:t>
      </w:r>
      <w:r>
        <w:t xml:space="preserve">Стратешким планом развоја пољопривреде и руралних подручја Републике Српске до 2020. (5. Уравнотежен интегрални рурални развој), Стратегијом интегралног управљања водама РС до </w:t>
      </w:r>
      <w:r>
        <w:rPr>
          <w:lang w:val="sr-Cyrl-CS"/>
        </w:rPr>
        <w:t>2024</w:t>
      </w:r>
      <w:r>
        <w:t>.године (Стратешки циљеви: Уређење и рационално коришћење водних ресурса Републике Српске/Повећање коришћења и уређења расположивих ресурса у еколошки, социјално и економски прихватљивим границама; Посебни циљеви: Унапрјеђење свих видова рационалног и интегралног коришћења вода, заштите вода и заштите од вода/Заштита и повећање расположивих ресурса воде и стварање услова за управљање режимима вода ради њиховог побољшавања).</w:t>
      </w:r>
    </w:p>
    <w:p>
      <w:pPr>
        <w:jc w:val="both"/>
        <w:rPr>
          <w:rFonts w:eastAsia="TTE1FFBE00t00" w:cs="Calibri"/>
        </w:rPr>
      </w:pPr>
    </w:p>
    <w:p>
      <w:pPr>
        <w:jc w:val="both"/>
        <w:rPr>
          <w:rFonts w:asciiTheme="minorHAnsi" w:hAnsiTheme="minorHAnsi" w:cstheme="minorHAnsi"/>
          <w:lang w:val="sr-Cyrl-RS"/>
        </w:rPr>
      </w:pPr>
      <w:r>
        <w:rPr>
          <w:rFonts w:eastAsia="Times New Roman"/>
          <w:b/>
          <w:bCs/>
          <w:kern w:val="32"/>
        </w:rPr>
        <w:t xml:space="preserve">Секторски циљ </w:t>
      </w:r>
      <w:r>
        <w:rPr>
          <w:rFonts w:eastAsia="Times New Roman"/>
          <w:b/>
          <w:bCs/>
          <w:kern w:val="32"/>
          <w:lang w:val="sr-Cyrl-RS"/>
        </w:rPr>
        <w:t>3</w:t>
      </w:r>
      <w:r>
        <w:rPr>
          <w:rFonts w:eastAsia="Times New Roman"/>
          <w:b/>
          <w:bCs/>
          <w:kern w:val="32"/>
        </w:rPr>
        <w:t>.</w:t>
      </w:r>
      <w:r>
        <w:rPr>
          <w:rFonts w:eastAsia="Times New Roman"/>
          <w:b/>
          <w:bCs/>
          <w:kern w:val="32"/>
          <w:lang w:val="sr-Cyrl-RS"/>
        </w:rPr>
        <w:t xml:space="preserve">4 </w:t>
      </w:r>
      <w:r>
        <w:rPr>
          <w:rFonts w:eastAsia="TTE1FFBE00t00" w:cs="Calibri"/>
        </w:rPr>
        <w:t>је усклађен са</w:t>
      </w:r>
      <w:r>
        <w:rPr>
          <w:rFonts w:eastAsia="TTE1FFBE00t00" w:cs="Calibri"/>
          <w:lang w:val="sr-Cyrl-RS"/>
        </w:rPr>
        <w:t xml:space="preserve"> Стратегијом развоја Европске уније до 2020. године,</w:t>
      </w:r>
      <w:r>
        <w:rPr>
          <w:rFonts w:eastAsia="TTE1FFBE00t00" w:cs="Calibri"/>
        </w:rPr>
        <w:t xml:space="preserve"> НЕАП-ом,</w:t>
      </w:r>
      <w:r>
        <w:rPr>
          <w:rFonts w:eastAsia="TTE1FFBE00t00" w:cs="Calibri"/>
          <w:lang w:val="sr-Cyrl-RS"/>
        </w:rPr>
        <w:t xml:space="preserve"> као и</w:t>
      </w:r>
      <w:r>
        <w:rPr>
          <w:rFonts w:eastAsia="TTE1FFBE00t00" w:cs="Calibri"/>
        </w:rPr>
        <w:t xml:space="preserve"> Стратеги</w:t>
      </w:r>
      <w:r>
        <w:rPr>
          <w:rFonts w:eastAsia="TTE1FFBE00t00" w:cs="Calibri"/>
          <w:lang w:val="sr-Cyrl-CS"/>
        </w:rPr>
        <w:t>ј</w:t>
      </w:r>
      <w:r>
        <w:rPr>
          <w:rFonts w:eastAsia="TTE1FFBE00t00" w:cs="Calibri"/>
          <w:lang w:val="sr-Cyrl-RS"/>
        </w:rPr>
        <w:t xml:space="preserve">ом </w:t>
      </w:r>
      <w:r>
        <w:rPr>
          <w:rFonts w:eastAsia="TTE1FFBE00t00" w:cs="Calibri"/>
        </w:rPr>
        <w:t>развоја енергетике Републике Српске до 2030. (Циљеви:</w:t>
      </w:r>
      <w:r>
        <w:t xml:space="preserve"> Повећање обавезног нивоа топлотне заштите постојећих и нових зграда/Повећање ефикасности система расвјете)</w:t>
      </w:r>
      <w:r>
        <w:rPr>
          <w:lang w:val="sr-Cyrl-RS"/>
        </w:rPr>
        <w:t xml:space="preserve">, а узет је у обзир и </w:t>
      </w:r>
      <w:r>
        <w:rPr>
          <w:rFonts w:asciiTheme="minorHAnsi" w:hAnsiTheme="minorHAnsi" w:cstheme="minorHAnsi"/>
          <w:lang w:val="sr-Cyrl-RS"/>
        </w:rPr>
        <w:t xml:space="preserve">Програм прилагођавања законодавства Републике Српске са правном тековином Европске уније у области заштите животне средине. </w:t>
      </w:r>
    </w:p>
    <w:p>
      <w:pPr>
        <w:jc w:val="both"/>
        <w:rPr>
          <w:rFonts w:asciiTheme="minorHAnsi" w:hAnsiTheme="minorHAnsi" w:cstheme="minorHAnsi"/>
          <w:lang w:val="sr-Cyrl-RS"/>
        </w:rPr>
      </w:pPr>
    </w:p>
    <w:p>
      <w:pPr>
        <w:jc w:val="both"/>
        <w:rPr>
          <w:rFonts w:asciiTheme="minorHAnsi" w:hAnsiTheme="minorHAnsi" w:cstheme="minorHAnsi"/>
          <w:sz w:val="16"/>
          <w:szCs w:val="16"/>
          <w:lang w:val="sr-Cyrl-RS"/>
        </w:rPr>
      </w:pPr>
      <w:r>
        <w:rPr>
          <w:rFonts w:asciiTheme="minorHAnsi" w:hAnsiTheme="minorHAnsi" w:cstheme="minorHAnsi"/>
          <w:b/>
          <w:lang w:val="sr-Cyrl-RS"/>
        </w:rPr>
        <w:t>Секторски циљ 3.5.</w:t>
      </w:r>
      <w:r>
        <w:rPr>
          <w:rFonts w:asciiTheme="minorHAnsi" w:hAnsiTheme="minorHAnsi" w:cstheme="minorHAnsi"/>
          <w:lang w:val="sr-Cyrl-RS"/>
        </w:rPr>
        <w:t xml:space="preserve"> који се односи на развој саобраћајне инфраструктуре, од значаја је Стратегија транспорта Републике Српске за период 2016–2030. године. На локалном нивоу, секторске стратегије које доприносе реализацији пројеката и мјера из овог секторског циља обухватају: </w:t>
      </w:r>
      <w:r>
        <w:rPr>
          <w:rFonts w:asciiTheme="minorHAnsi" w:hAnsiTheme="minorHAnsi" w:cstheme="minorHAnsi"/>
          <w:szCs w:val="20"/>
          <w:lang w:val="sr-Cyrl-RS"/>
        </w:rPr>
        <w:t xml:space="preserve">Локални еколошки план града Бања Лука, за период 2016 -2021. и Акциони план енергетске ефикасности Града Бања Луке за период од 2016 до 2019.године, као и </w:t>
      </w:r>
      <w:r>
        <w:rPr>
          <w:rFonts w:asciiTheme="minorHAnsi" w:hAnsiTheme="minorHAnsi" w:cstheme="minorHAnsi"/>
          <w:bCs/>
          <w:color w:val="282828"/>
          <w:lang w:val="sr-Cyrl-RS"/>
        </w:rPr>
        <w:t>Стратегија развоја локалних путева и улица града Бања Лука (2017. - 2022. г.) </w:t>
      </w:r>
    </w:p>
    <w:p>
      <w:pPr>
        <w:jc w:val="both"/>
        <w:rPr>
          <w:rFonts w:asciiTheme="minorHAnsi" w:hAnsiTheme="minorHAnsi" w:cstheme="minorHAnsi"/>
          <w:lang w:val="sr-Cyrl-RS"/>
        </w:rPr>
      </w:pPr>
    </w:p>
    <w:p>
      <w:pPr>
        <w:jc w:val="both"/>
        <w:rPr>
          <w:rFonts w:asciiTheme="minorHAnsi" w:hAnsiTheme="minorHAnsi" w:cstheme="minorHAnsi"/>
          <w:szCs w:val="20"/>
          <w:lang w:val="sr-Cyrl-RS"/>
        </w:rPr>
      </w:pPr>
      <w:r>
        <w:rPr>
          <w:rFonts w:eastAsia="Times New Roman"/>
          <w:b/>
          <w:bCs/>
          <w:kern w:val="32"/>
        </w:rPr>
        <w:t xml:space="preserve">Секторски циљ </w:t>
      </w:r>
      <w:r>
        <w:rPr>
          <w:rFonts w:eastAsia="Times New Roman"/>
          <w:b/>
          <w:bCs/>
          <w:kern w:val="32"/>
          <w:lang w:val="sr-Cyrl-RS"/>
        </w:rPr>
        <w:t>3</w:t>
      </w:r>
      <w:r>
        <w:rPr>
          <w:rFonts w:eastAsia="Times New Roman"/>
          <w:b/>
          <w:bCs/>
          <w:kern w:val="32"/>
        </w:rPr>
        <w:t>.</w:t>
      </w:r>
      <w:r>
        <w:rPr>
          <w:rFonts w:eastAsia="Times New Roman"/>
          <w:b/>
          <w:bCs/>
          <w:kern w:val="32"/>
          <w:lang w:val="sr-Cyrl-RS"/>
        </w:rPr>
        <w:t>6</w:t>
      </w:r>
      <w:r>
        <w:rPr>
          <w:rFonts w:eastAsia="Times New Roman"/>
          <w:bCs/>
          <w:kern w:val="32"/>
          <w:lang w:val="sr-Cyrl-RS"/>
        </w:rPr>
        <w:t xml:space="preserve">. у складу је са </w:t>
      </w:r>
      <w:r>
        <w:rPr>
          <w:i/>
          <w:lang w:val="sr-Latn-RS"/>
        </w:rPr>
        <w:t>Green City</w:t>
      </w:r>
      <w:r>
        <w:rPr>
          <w:i/>
          <w:lang w:val="sr-Cyrl-RS"/>
        </w:rPr>
        <w:t xml:space="preserve"> </w:t>
      </w:r>
      <w:r>
        <w:rPr>
          <w:lang w:val="sr-Cyrl-RS"/>
        </w:rPr>
        <w:t xml:space="preserve">стандардима и Законом о заштити природе Републике Српске (Сл. гласник РС 20/14) и узима у обзир принципе и правце развоја из Стратегије заштите природе Републике Српске (која је истекла, али не постоји новији релевантан документ), а на локалном нивоу </w:t>
      </w:r>
      <w:r>
        <w:rPr>
          <w:rFonts w:asciiTheme="minorHAnsi" w:hAnsiTheme="minorHAnsi" w:cstheme="minorHAnsi"/>
          <w:szCs w:val="20"/>
          <w:lang w:val="sr-Cyrl-RS"/>
        </w:rPr>
        <w:t>Локални план заштите природе за град Бања Луку.</w:t>
      </w:r>
    </w:p>
    <w:p>
      <w:pPr>
        <w:jc w:val="both"/>
        <w:rPr>
          <w:rFonts w:eastAsia="Times New Roman"/>
          <w:bCs/>
          <w:kern w:val="32"/>
          <w:lang w:val="sr-Cyrl-RS"/>
        </w:rPr>
      </w:pPr>
    </w:p>
    <w:p>
      <w:pPr>
        <w:jc w:val="both"/>
        <w:rPr>
          <w:rFonts w:eastAsia="Times New Roman"/>
          <w:bCs/>
          <w:kern w:val="32"/>
        </w:rPr>
      </w:pPr>
      <w:r>
        <w:rPr>
          <w:rFonts w:eastAsia="Times New Roman"/>
          <w:b/>
          <w:bCs/>
          <w:kern w:val="32"/>
        </w:rPr>
        <w:t xml:space="preserve">Секторски циљ </w:t>
      </w:r>
      <w:r>
        <w:rPr>
          <w:rFonts w:eastAsia="Times New Roman"/>
          <w:b/>
          <w:bCs/>
          <w:kern w:val="32"/>
          <w:lang w:val="sr-Cyrl-RS"/>
        </w:rPr>
        <w:t>3</w:t>
      </w:r>
      <w:r>
        <w:rPr>
          <w:rFonts w:eastAsia="Times New Roman"/>
          <w:b/>
          <w:bCs/>
          <w:kern w:val="32"/>
        </w:rPr>
        <w:t>.</w:t>
      </w:r>
      <w:r>
        <w:rPr>
          <w:rFonts w:eastAsia="Times New Roman"/>
          <w:b/>
          <w:bCs/>
          <w:kern w:val="32"/>
          <w:lang w:val="sr-Cyrl-CS"/>
        </w:rPr>
        <w:t>7</w:t>
      </w:r>
      <w:r>
        <w:rPr>
          <w:rFonts w:eastAsia="Times New Roman"/>
          <w:b/>
          <w:bCs/>
          <w:kern w:val="32"/>
          <w:lang w:val="sr-Cyrl-RS"/>
        </w:rPr>
        <w:t xml:space="preserve"> </w:t>
      </w:r>
      <w:r>
        <w:rPr>
          <w:rFonts w:eastAsia="Times New Roman"/>
          <w:bCs/>
          <w:kern w:val="32"/>
        </w:rPr>
        <w:t xml:space="preserve">у складу је са </w:t>
      </w:r>
      <w:r>
        <w:rPr>
          <w:rFonts w:eastAsia="Times New Roman"/>
          <w:bCs/>
          <w:kern w:val="32"/>
          <w:lang w:val="sr-Cyrl-RS"/>
        </w:rPr>
        <w:t xml:space="preserve">Законом о заштити и спасавању у ванредним ситуацијама Републике Српске (Сл. Гласник РС бр. 53/02), </w:t>
      </w:r>
      <w:r>
        <w:rPr>
          <w:rFonts w:eastAsia="Times New Roman"/>
          <w:bCs/>
          <w:kern w:val="32"/>
        </w:rPr>
        <w:t>Националним еколошким планом (НЕАП) област Деминирање, као и Водени ресурси/Отпадне воде и Земљишни ресурси, заштита, кориштење и управљање. Овај секторски циљ у складу је и са  Стратегијом интегралног управљања водама РС до 202</w:t>
      </w:r>
      <w:r>
        <w:rPr>
          <w:rFonts w:eastAsia="Times New Roman"/>
          <w:bCs/>
          <w:kern w:val="32"/>
          <w:lang w:val="sr-Cyrl-CS"/>
        </w:rPr>
        <w:t>4</w:t>
      </w:r>
      <w:r>
        <w:rPr>
          <w:rFonts w:eastAsia="Times New Roman"/>
          <w:bCs/>
          <w:kern w:val="32"/>
        </w:rPr>
        <w:t>.године (Стратешки циљеви: Уређење и рационално коришћење водних ресурса Републике Српске/Повећање коришћења и уређења расположивих ресурса у еколошки, социјално и економски прихватљивим границама; Посебни циљ: Унапрјеђење свих видова рационалног и интегралног коришћења вода, заштите вода и заштите од вода). Овај циљ је у складу и са Стратегијом за унапређење и развој волонтеризма у Републици Срспској  за период 2014-2018. године.</w:t>
      </w:r>
    </w:p>
    <w:p>
      <w:pPr>
        <w:pStyle w:val="4"/>
        <w:rPr>
          <w:lang w:val="hr-BA"/>
        </w:rPr>
      </w:pPr>
      <w:bookmarkStart w:id="161" w:name="_Toc473095880"/>
      <w:bookmarkStart w:id="162" w:name="_Toc526761942"/>
      <w:r>
        <w:rPr>
          <w:lang w:val="hr-BA"/>
        </w:rPr>
        <w:t xml:space="preserve">V.4.3. </w:t>
      </w:r>
      <w:r>
        <w:t>Иницијативе</w:t>
      </w:r>
      <w:r>
        <w:rPr>
          <w:lang w:val="hr-BA"/>
        </w:rPr>
        <w:t xml:space="preserve"> </w:t>
      </w:r>
      <w:r>
        <w:t>међуопшинске</w:t>
      </w:r>
      <w:r>
        <w:rPr>
          <w:lang w:val="hr-BA"/>
        </w:rPr>
        <w:t xml:space="preserve"> </w:t>
      </w:r>
      <w:r>
        <w:t>сарадње</w:t>
      </w:r>
      <w:bookmarkEnd w:id="161"/>
      <w:bookmarkEnd w:id="162"/>
      <w:r>
        <w:rPr>
          <w:lang w:val="hr-BA"/>
        </w:rPr>
        <w:t xml:space="preserve"> </w:t>
      </w:r>
    </w:p>
    <w:p/>
    <w:p>
      <w:pPr>
        <w:spacing w:before="120" w:after="120"/>
        <w:jc w:val="both"/>
        <w:rPr>
          <w:rFonts w:cs="Calibri"/>
          <w:lang w:val="sr-Cyrl-CS"/>
        </w:rPr>
      </w:pPr>
      <w:r>
        <w:rPr>
          <w:rFonts w:cs="Calibri"/>
          <w:lang w:val="sr-Cyrl-RS"/>
        </w:rPr>
        <w:t>Град Бања Лука</w:t>
      </w:r>
      <w:r>
        <w:rPr>
          <w:rFonts w:cs="Calibri"/>
        </w:rPr>
        <w:t xml:space="preserve"> ће</w:t>
      </w:r>
      <w:r>
        <w:rPr>
          <w:rFonts w:cs="Calibri"/>
          <w:lang w:val="sr-Cyrl-CS"/>
        </w:rPr>
        <w:t xml:space="preserve"> наставити, заједно са седам општина регије – оснивача Регионалне депоније, заједничку бригу о одговорном збрињавању и управљању</w:t>
      </w:r>
      <w:r>
        <w:rPr>
          <w:rFonts w:cs="Calibri"/>
          <w:lang w:val="sr-Cyrl-RS"/>
        </w:rPr>
        <w:t xml:space="preserve"> отпадом, развој комуналне инфраструктуре, затим, иницирати и његовати</w:t>
      </w:r>
      <w:r>
        <w:rPr>
          <w:rFonts w:cs="Calibri"/>
        </w:rPr>
        <w:t xml:space="preserve"> међуопштинску сарадњу за заштиту природних вриједности за ресурсе које дијели са сусједним општинама</w:t>
      </w:r>
      <w:r>
        <w:rPr>
          <w:rFonts w:cs="Calibri"/>
          <w:lang w:val="sr-Cyrl-CS"/>
        </w:rPr>
        <w:t>,</w:t>
      </w:r>
      <w:r>
        <w:rPr>
          <w:rFonts w:cs="Calibri"/>
        </w:rPr>
        <w:t xml:space="preserve"> како се се не би угрозили туристички потенцијали природних ресурса</w:t>
      </w:r>
      <w:r>
        <w:rPr>
          <w:rFonts w:cs="Calibri"/>
          <w:lang w:val="sr-Cyrl-CS"/>
        </w:rPr>
        <w:t>.</w:t>
      </w:r>
    </w:p>
    <w:p>
      <w:pPr>
        <w:spacing w:before="120" w:after="120"/>
        <w:jc w:val="both"/>
        <w:rPr>
          <w:rFonts w:cs="Calibri"/>
        </w:rPr>
      </w:pPr>
      <w:r>
        <w:rPr>
          <w:rFonts w:cs="Calibri"/>
        </w:rPr>
        <w:t>Међуопштинска сарадња је кључна и за даље унапрјеђење енергетске ефикасности кроз коришћење обновљивих извора енергије, у смислу размјене искустава и примјера добре праксе са другим општинама, као и заједничког аплицирања на пројекте прекограничне сарадње у овој области. Сарадња је погодна и за организовање различитих заједничких програма едукације у области заштите животне средине.</w:t>
      </w:r>
    </w:p>
    <w:p>
      <w:pPr>
        <w:spacing w:before="120" w:after="120"/>
        <w:jc w:val="both"/>
        <w:rPr>
          <w:rFonts w:cs="Calibri"/>
        </w:rPr>
      </w:pPr>
      <w:r>
        <w:rPr>
          <w:rFonts w:cs="Calibri"/>
        </w:rPr>
        <w:t>Иницијативе међуопштинске сарадње у области заштите животне средине обухватају:</w:t>
      </w:r>
    </w:p>
    <w:p>
      <w:pPr>
        <w:pStyle w:val="46"/>
        <w:numPr>
          <w:ilvl w:val="0"/>
          <w:numId w:val="92"/>
        </w:numPr>
        <w:spacing w:after="120"/>
        <w:rPr>
          <w:rFonts w:cs="Calibri"/>
          <w:lang w:val="hr-BA"/>
        </w:rPr>
      </w:pPr>
      <w:r>
        <w:rPr>
          <w:rFonts w:cs="Calibri"/>
          <w:lang w:val="sr-Cyrl-RS"/>
        </w:rPr>
        <w:t>Даљу сарадњу у регионалном управљању отпадом и развој комуналне инфраструктуре,</w:t>
      </w:r>
    </w:p>
    <w:p>
      <w:pPr>
        <w:pStyle w:val="46"/>
        <w:numPr>
          <w:ilvl w:val="0"/>
          <w:numId w:val="92"/>
        </w:numPr>
        <w:spacing w:after="120"/>
        <w:rPr>
          <w:rFonts w:cs="Calibri"/>
          <w:lang w:val="hr-BA"/>
        </w:rPr>
      </w:pPr>
      <w:r>
        <w:rPr>
          <w:rFonts w:cs="Calibri"/>
        </w:rPr>
        <w:t>Међуопштинске</w:t>
      </w:r>
      <w:r>
        <w:rPr>
          <w:rFonts w:cs="Calibri"/>
          <w:lang w:val="hr-BA"/>
        </w:rPr>
        <w:t xml:space="preserve"> </w:t>
      </w:r>
      <w:r>
        <w:rPr>
          <w:rFonts w:cs="Calibri"/>
        </w:rPr>
        <w:t>иницијативе</w:t>
      </w:r>
      <w:r>
        <w:rPr>
          <w:rFonts w:cs="Calibri"/>
          <w:lang w:val="hr-BA"/>
        </w:rPr>
        <w:t xml:space="preserve"> </w:t>
      </w:r>
      <w:r>
        <w:rPr>
          <w:rFonts w:cs="Calibri"/>
        </w:rPr>
        <w:t>за</w:t>
      </w:r>
      <w:r>
        <w:rPr>
          <w:rFonts w:cs="Calibri"/>
          <w:lang w:val="hr-BA"/>
        </w:rPr>
        <w:t xml:space="preserve"> </w:t>
      </w:r>
      <w:r>
        <w:rPr>
          <w:rFonts w:cs="Calibri"/>
        </w:rPr>
        <w:t>заштиту</w:t>
      </w:r>
      <w:r>
        <w:rPr>
          <w:rFonts w:cs="Calibri"/>
          <w:lang w:val="hr-BA"/>
        </w:rPr>
        <w:t xml:space="preserve"> </w:t>
      </w:r>
      <w:r>
        <w:rPr>
          <w:rFonts w:cs="Calibri"/>
        </w:rPr>
        <w:t>природних</w:t>
      </w:r>
      <w:r>
        <w:rPr>
          <w:rFonts w:cs="Calibri"/>
          <w:lang w:val="hr-BA"/>
        </w:rPr>
        <w:t xml:space="preserve"> </w:t>
      </w:r>
      <w:r>
        <w:rPr>
          <w:rFonts w:cs="Calibri"/>
        </w:rPr>
        <w:t>вриједности</w:t>
      </w:r>
      <w:r>
        <w:rPr>
          <w:rFonts w:cs="Calibri"/>
          <w:lang w:val="sr-Cyrl-RS"/>
        </w:rPr>
        <w:t>,</w:t>
      </w:r>
    </w:p>
    <w:p>
      <w:pPr>
        <w:pStyle w:val="46"/>
        <w:numPr>
          <w:ilvl w:val="0"/>
          <w:numId w:val="92"/>
        </w:numPr>
        <w:spacing w:after="120"/>
        <w:rPr>
          <w:rFonts w:cs="Calibri"/>
          <w:lang w:val="hr-BA"/>
        </w:rPr>
      </w:pPr>
      <w:r>
        <w:rPr>
          <w:rFonts w:cs="Calibri"/>
        </w:rPr>
        <w:t>Сарадњу</w:t>
      </w:r>
      <w:r>
        <w:rPr>
          <w:rFonts w:cs="Calibri"/>
          <w:lang w:val="hr-BA"/>
        </w:rPr>
        <w:t xml:space="preserve"> </w:t>
      </w:r>
      <w:r>
        <w:rPr>
          <w:rFonts w:cs="Calibri"/>
        </w:rPr>
        <w:t>у</w:t>
      </w:r>
      <w:r>
        <w:rPr>
          <w:rFonts w:cs="Calibri"/>
          <w:lang w:val="hr-BA"/>
        </w:rPr>
        <w:t xml:space="preserve"> </w:t>
      </w:r>
      <w:r>
        <w:rPr>
          <w:rFonts w:cs="Calibri"/>
        </w:rPr>
        <w:t>пројектима</w:t>
      </w:r>
      <w:r>
        <w:rPr>
          <w:rFonts w:cs="Calibri"/>
          <w:lang w:val="hr-BA"/>
        </w:rPr>
        <w:t xml:space="preserve"> </w:t>
      </w:r>
      <w:r>
        <w:rPr>
          <w:rFonts w:cs="Calibri"/>
        </w:rPr>
        <w:t>енергетске</w:t>
      </w:r>
      <w:r>
        <w:rPr>
          <w:rFonts w:cs="Calibri"/>
          <w:lang w:val="hr-BA"/>
        </w:rPr>
        <w:t xml:space="preserve"> </w:t>
      </w:r>
      <w:r>
        <w:rPr>
          <w:rFonts w:cs="Calibri"/>
        </w:rPr>
        <w:t>ефикасности</w:t>
      </w:r>
      <w:r>
        <w:rPr>
          <w:rFonts w:cs="Calibri"/>
          <w:lang w:val="hr-BA"/>
        </w:rPr>
        <w:t xml:space="preserve"> </w:t>
      </w:r>
      <w:r>
        <w:rPr>
          <w:rFonts w:cs="Calibri"/>
        </w:rPr>
        <w:t>и</w:t>
      </w:r>
      <w:r>
        <w:rPr>
          <w:rFonts w:cs="Calibri"/>
          <w:lang w:val="hr-BA"/>
        </w:rPr>
        <w:t xml:space="preserve"> </w:t>
      </w:r>
      <w:r>
        <w:rPr>
          <w:rFonts w:cs="Calibri"/>
          <w:lang w:val="sr-Cyrl-RS"/>
        </w:rPr>
        <w:t xml:space="preserve">коришћења обновљивих извора енергије и </w:t>
      </w:r>
      <w:r>
        <w:rPr>
          <w:rFonts w:cs="Calibri"/>
        </w:rPr>
        <w:t>размјена</w:t>
      </w:r>
      <w:r>
        <w:rPr>
          <w:rFonts w:cs="Calibri"/>
          <w:lang w:val="hr-BA"/>
        </w:rPr>
        <w:t xml:space="preserve"> </w:t>
      </w:r>
      <w:r>
        <w:rPr>
          <w:rFonts w:cs="Calibri"/>
        </w:rPr>
        <w:t>искустава</w:t>
      </w:r>
      <w:r>
        <w:rPr>
          <w:rFonts w:cs="Calibri"/>
          <w:lang w:val="hr-BA"/>
        </w:rPr>
        <w:t xml:space="preserve"> </w:t>
      </w:r>
      <w:r>
        <w:rPr>
          <w:rFonts w:cs="Calibri"/>
        </w:rPr>
        <w:t>добрих</w:t>
      </w:r>
      <w:r>
        <w:rPr>
          <w:rFonts w:cs="Calibri"/>
          <w:lang w:val="hr-BA"/>
        </w:rPr>
        <w:t xml:space="preserve"> </w:t>
      </w:r>
      <w:r>
        <w:rPr>
          <w:rFonts w:cs="Calibri"/>
        </w:rPr>
        <w:t>пракси</w:t>
      </w:r>
      <w:r>
        <w:rPr>
          <w:rFonts w:cs="Calibri"/>
          <w:lang w:val="hr-BA"/>
        </w:rPr>
        <w:t>;</w:t>
      </w:r>
    </w:p>
    <w:p>
      <w:pPr>
        <w:pStyle w:val="46"/>
        <w:numPr>
          <w:ilvl w:val="0"/>
          <w:numId w:val="92"/>
        </w:numPr>
        <w:spacing w:after="120"/>
        <w:rPr>
          <w:rFonts w:cs="Calibri"/>
          <w:lang w:val="hr-BA"/>
        </w:rPr>
      </w:pPr>
      <w:r>
        <w:rPr>
          <w:rFonts w:cs="Calibri"/>
        </w:rPr>
        <w:t>Заједничке</w:t>
      </w:r>
      <w:r>
        <w:rPr>
          <w:rFonts w:cs="Calibri"/>
          <w:lang w:val="hr-BA"/>
        </w:rPr>
        <w:t xml:space="preserve"> </w:t>
      </w:r>
      <w:r>
        <w:rPr>
          <w:rFonts w:cs="Calibri"/>
        </w:rPr>
        <w:t>међуопштински</w:t>
      </w:r>
      <w:r>
        <w:rPr>
          <w:rFonts w:cs="Calibri"/>
          <w:lang w:val="hr-BA"/>
        </w:rPr>
        <w:t xml:space="preserve"> </w:t>
      </w:r>
      <w:r>
        <w:rPr>
          <w:rFonts w:cs="Calibri"/>
        </w:rPr>
        <w:t>програме</w:t>
      </w:r>
      <w:r>
        <w:rPr>
          <w:rFonts w:cs="Calibri"/>
          <w:lang w:val="hr-BA"/>
        </w:rPr>
        <w:t xml:space="preserve"> </w:t>
      </w:r>
      <w:r>
        <w:rPr>
          <w:rFonts w:cs="Calibri"/>
        </w:rPr>
        <w:t>едукације</w:t>
      </w:r>
      <w:r>
        <w:rPr>
          <w:rFonts w:cs="Calibri"/>
          <w:lang w:val="hr-BA"/>
        </w:rPr>
        <w:t xml:space="preserve"> </w:t>
      </w:r>
      <w:r>
        <w:rPr>
          <w:rFonts w:cs="Calibri"/>
        </w:rPr>
        <w:t>становништва</w:t>
      </w:r>
      <w:r>
        <w:rPr>
          <w:rFonts w:cs="Calibri"/>
          <w:lang w:val="hr-BA"/>
        </w:rPr>
        <w:t xml:space="preserve"> </w:t>
      </w:r>
      <w:r>
        <w:rPr>
          <w:rFonts w:cs="Calibri"/>
        </w:rPr>
        <w:t>у</w:t>
      </w:r>
      <w:r>
        <w:rPr>
          <w:rFonts w:cs="Calibri"/>
          <w:lang w:val="hr-BA"/>
        </w:rPr>
        <w:t xml:space="preserve"> </w:t>
      </w:r>
      <w:r>
        <w:rPr>
          <w:rFonts w:cs="Calibri"/>
        </w:rPr>
        <w:t>области</w:t>
      </w:r>
      <w:r>
        <w:rPr>
          <w:rFonts w:cs="Calibri"/>
          <w:lang w:val="hr-BA"/>
        </w:rPr>
        <w:t xml:space="preserve"> </w:t>
      </w:r>
      <w:r>
        <w:rPr>
          <w:rFonts w:cs="Calibri"/>
        </w:rPr>
        <w:t>заштите</w:t>
      </w:r>
      <w:r>
        <w:rPr>
          <w:rFonts w:cs="Calibri"/>
          <w:lang w:val="hr-BA"/>
        </w:rPr>
        <w:t xml:space="preserve"> </w:t>
      </w:r>
      <w:r>
        <w:rPr>
          <w:rFonts w:cs="Calibri"/>
        </w:rPr>
        <w:t>животне</w:t>
      </w:r>
      <w:r>
        <w:rPr>
          <w:rFonts w:cs="Calibri"/>
          <w:lang w:val="hr-BA"/>
        </w:rPr>
        <w:t xml:space="preserve"> </w:t>
      </w:r>
      <w:r>
        <w:rPr>
          <w:rFonts w:cs="Calibri"/>
        </w:rPr>
        <w:t>средине</w:t>
      </w:r>
      <w:r>
        <w:rPr>
          <w:rFonts w:cs="Calibri"/>
          <w:lang w:val="hr-BA"/>
        </w:rPr>
        <w:t>.</w:t>
      </w:r>
    </w:p>
    <w:p>
      <w:pPr>
        <w:pStyle w:val="46"/>
        <w:spacing w:after="120"/>
        <w:rPr>
          <w:rFonts w:cs="Calibri"/>
          <w:lang w:val="hr-BA"/>
        </w:rPr>
      </w:pPr>
    </w:p>
    <w:p>
      <w:pPr>
        <w:pStyle w:val="4"/>
        <w:rPr>
          <w:lang w:val="hr-BA"/>
        </w:rPr>
      </w:pPr>
      <w:bookmarkStart w:id="163" w:name="_Toc452886799"/>
      <w:bookmarkStart w:id="164" w:name="_Toc526761943"/>
      <w:bookmarkStart w:id="165" w:name="_Toc473095881"/>
      <w:bookmarkStart w:id="166" w:name="_Toc461719863"/>
      <w:r>
        <w:rPr>
          <w:lang w:val="hr-BA"/>
        </w:rPr>
        <w:t>V.4.4.</w:t>
      </w:r>
      <w:r>
        <w:rPr>
          <w:lang w:val="hr-BA"/>
        </w:rPr>
        <w:tab/>
      </w:r>
      <w:r>
        <w:t>Програми</w:t>
      </w:r>
      <w:r>
        <w:rPr>
          <w:lang w:val="hr-BA"/>
        </w:rPr>
        <w:t xml:space="preserve">, </w:t>
      </w:r>
      <w:r>
        <w:t>пројекти</w:t>
      </w:r>
      <w:r>
        <w:rPr>
          <w:lang w:val="hr-BA"/>
        </w:rPr>
        <w:t xml:space="preserve"> </w:t>
      </w:r>
      <w:r>
        <w:t>и</w:t>
      </w:r>
      <w:r>
        <w:rPr>
          <w:lang w:val="hr-BA"/>
        </w:rPr>
        <w:t xml:space="preserve"> </w:t>
      </w:r>
      <w:r>
        <w:t>мјере</w:t>
      </w:r>
      <w:bookmarkEnd w:id="163"/>
      <w:bookmarkEnd w:id="164"/>
      <w:bookmarkEnd w:id="165"/>
      <w:bookmarkEnd w:id="166"/>
    </w:p>
    <w:p>
      <w:pPr>
        <w:spacing w:before="120" w:after="120"/>
      </w:pPr>
    </w:p>
    <w:p>
      <w:pPr>
        <w:spacing w:before="120" w:after="120"/>
      </w:pPr>
      <w:r>
        <w:t>За реализацију плана заштите животне средине</w:t>
      </w:r>
      <w:r>
        <w:rPr>
          <w:lang w:val="sr-Cyrl-RS"/>
        </w:rPr>
        <w:t xml:space="preserve"> и развоја комуналне инфраструктуре,</w:t>
      </w:r>
      <w:r>
        <w:t xml:space="preserve"> </w:t>
      </w:r>
      <w:r>
        <w:rPr>
          <w:lang w:val="sr-Cyrl-RS"/>
        </w:rPr>
        <w:t>града Бања Луке</w:t>
      </w:r>
      <w:r>
        <w:t xml:space="preserve"> дефинисан</w:t>
      </w:r>
      <w:r>
        <w:rPr>
          <w:lang w:val="sr-Cyrl-RS"/>
        </w:rPr>
        <w:t>о</w:t>
      </w:r>
      <w:r>
        <w:t xml:space="preserve"> је </w:t>
      </w:r>
      <w:r>
        <w:rPr>
          <w:lang w:val="sr-Cyrl-RS"/>
        </w:rPr>
        <w:t>6</w:t>
      </w:r>
      <w:r>
        <w:t>5 пројекат</w:t>
      </w:r>
      <w:r>
        <w:rPr>
          <w:lang w:val="sr-Cyrl-RS"/>
        </w:rPr>
        <w:t>а</w:t>
      </w:r>
      <w:r>
        <w:t xml:space="preserve"> и мјера</w:t>
      </w:r>
      <w:r>
        <w:rPr>
          <w:lang w:val="sr-Cyrl-RS"/>
        </w:rPr>
        <w:t>,</w:t>
      </w:r>
      <w:r>
        <w:t xml:space="preserve"> </w:t>
      </w:r>
      <w:r>
        <w:rPr>
          <w:lang w:val="sr-Cyrl-RS"/>
        </w:rPr>
        <w:t xml:space="preserve">који су </w:t>
      </w:r>
      <w:r>
        <w:t xml:space="preserve">груписани у </w:t>
      </w:r>
      <w:r>
        <w:rPr>
          <w:lang w:val="sr-Cyrl-RS"/>
        </w:rPr>
        <w:t>12</w:t>
      </w:r>
      <w:r>
        <w:t xml:space="preserve"> програма:</w:t>
      </w:r>
    </w:p>
    <w:p>
      <w:pPr>
        <w:spacing w:before="120" w:after="120"/>
      </w:pPr>
    </w:p>
    <w:tbl>
      <w:tblPr>
        <w:tblStyle w:val="36"/>
        <w:tblW w:w="924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01"/>
        <w:gridCol w:w="4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 w:hRule="atLeast"/>
        </w:trPr>
        <w:tc>
          <w:tcPr>
            <w:tcW w:w="490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pStyle w:val="46"/>
              <w:spacing w:before="0" w:line="240" w:lineRule="auto"/>
              <w:ind w:left="0"/>
              <w:rPr>
                <w:b/>
              </w:rPr>
            </w:pPr>
            <w:bookmarkStart w:id="167" w:name="_Hlk523294049"/>
            <w:bookmarkStart w:id="168" w:name="_Hlk523301038"/>
            <w:r>
              <w:rPr>
                <w:b/>
              </w:rPr>
              <w:t>ПРОГРАМ</w:t>
            </w:r>
          </w:p>
        </w:tc>
        <w:tc>
          <w:tcPr>
            <w:tcW w:w="4341"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pStyle w:val="46"/>
              <w:spacing w:before="0" w:line="240" w:lineRule="auto"/>
              <w:ind w:left="0"/>
              <w:rPr>
                <w:b/>
              </w:rPr>
            </w:pPr>
            <w:r>
              <w:rPr>
                <w:b/>
              </w:rPr>
              <w:t>МЈЕРА/ПРОЈЕКАТ</w:t>
            </w:r>
          </w:p>
        </w:tc>
      </w:tr>
      <w:bookmarkEnd w:id="167"/>
      <w:bookmarkEnd w:id="168"/>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r>
              <w:rPr>
                <w:b/>
                <w:sz w:val="20"/>
                <w:szCs w:val="20"/>
                <w:lang w:val="sr-Cyrl-RS"/>
              </w:rPr>
              <w:t>ПРОГРАМ 3.1.1. ЈАЧАЊЕ ИНСТИТУЦИОНАЛНИХ КАПАЦИТЕТА ГРАДА У ОБЛАСТИ ЗАШТИТЕ ЖИВОТНЕ СРЕДИНЕ</w:t>
            </w:r>
          </w:p>
        </w:tc>
        <w:tc>
          <w:tcPr>
            <w:tcW w:w="4341" w:type="dxa"/>
            <w:tcBorders>
              <w:top w:val="single" w:color="000000" w:sz="4" w:space="0"/>
              <w:left w:val="single" w:color="000000" w:sz="4" w:space="0"/>
              <w:bottom w:val="single" w:color="000000" w:sz="4" w:space="0"/>
              <w:right w:val="single" w:color="000000" w:sz="4" w:space="0"/>
            </w:tcBorders>
          </w:tcPr>
          <w:p>
            <w:pPr>
              <w:spacing w:after="120"/>
              <w:rPr>
                <w:rFonts w:cs="Calibri"/>
                <w:color w:val="000000"/>
                <w:sz w:val="20"/>
                <w:szCs w:val="20"/>
                <w:lang w:val="sr-Cyrl-RS"/>
              </w:rPr>
            </w:pPr>
            <w:r>
              <w:rPr>
                <w:bCs/>
                <w:sz w:val="20"/>
                <w:lang w:val="sr-Cyrl-RS"/>
              </w:rPr>
              <w:t>П</w:t>
            </w:r>
            <w:r>
              <w:rPr>
                <w:bCs/>
                <w:sz w:val="20"/>
                <w:lang w:val="sr-Latn-RS"/>
              </w:rPr>
              <w:t>.</w:t>
            </w:r>
            <w:r>
              <w:rPr>
                <w:bCs/>
                <w:sz w:val="20"/>
                <w:lang w:val="sr-Cyrl-RS"/>
              </w:rPr>
              <w:t xml:space="preserve"> 3.1.1.1. </w:t>
            </w:r>
            <w:r>
              <w:rPr>
                <w:bCs/>
                <w:sz w:val="20"/>
                <w:lang w:val="sr-Cyrl-RS" w:eastAsia="bs-Latn-BA"/>
              </w:rPr>
              <w:t>Кадровско и техничко оспособљавање Градске управе за заштиту и унапрјеђење животне средине (2019-2022)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spacing w:after="120"/>
              <w:rPr>
                <w:bCs/>
                <w:sz w:val="20"/>
                <w:szCs w:val="20"/>
                <w:lang w:val="sr-Cyrl-RS"/>
              </w:rPr>
            </w:pPr>
            <w:r>
              <w:rPr>
                <w:bCs/>
                <w:sz w:val="20"/>
                <w:lang w:val="sr-Cyrl-RS"/>
              </w:rPr>
              <w:t>П. 3.1.1.2. Израда Акционог плана „Бања Лука – Зелени град“ (2018-2019)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lang w:val="hr-BA"/>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bs-Cyrl-BA"/>
              </w:rPr>
            </w:pPr>
            <w:r>
              <w:rPr>
                <w:sz w:val="20"/>
                <w:lang w:val="bs-Cyrl-BA"/>
              </w:rPr>
              <w:t>П. 3.1.</w:t>
            </w:r>
            <w:r>
              <w:rPr>
                <w:sz w:val="20"/>
                <w:lang w:val="sr-Latn-RS"/>
              </w:rPr>
              <w:t>1</w:t>
            </w:r>
            <w:r>
              <w:rPr>
                <w:sz w:val="20"/>
                <w:lang w:val="bs-Cyrl-BA"/>
              </w:rPr>
              <w:t xml:space="preserve">.3. Израда комуникацијске стратегије о заштити животне средине и </w:t>
            </w:r>
            <w:r>
              <w:rPr>
                <w:i/>
                <w:sz w:val="20"/>
                <w:lang w:val="sr-Latn-RS"/>
              </w:rPr>
              <w:t>Green City</w:t>
            </w:r>
            <w:r>
              <w:rPr>
                <w:sz w:val="20"/>
                <w:lang w:val="sr-Latn-RS"/>
              </w:rPr>
              <w:t xml:space="preserve"> </w:t>
            </w:r>
            <w:r>
              <w:rPr>
                <w:sz w:val="20"/>
                <w:lang w:val="sr-Cyrl-RS"/>
              </w:rPr>
              <w:t>концепту (2019-2021)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hr-BA"/>
              </w:rPr>
            </w:pPr>
            <w:r>
              <w:rPr>
                <w:b/>
                <w:sz w:val="20"/>
                <w:szCs w:val="20"/>
                <w:lang w:val="sr-Cyrl-RS"/>
              </w:rPr>
              <w:t>ПРОГРАМ 3.</w:t>
            </w:r>
            <w:r>
              <w:rPr>
                <w:b/>
                <w:sz w:val="20"/>
                <w:szCs w:val="20"/>
                <w:lang w:val="sr-Latn-CS"/>
              </w:rPr>
              <w:t>2</w:t>
            </w:r>
            <w:r>
              <w:rPr>
                <w:b/>
                <w:sz w:val="20"/>
                <w:szCs w:val="20"/>
                <w:lang w:val="sr-Cyrl-RS"/>
              </w:rPr>
              <w:t xml:space="preserve">.1 ПОБОЉШАЊЕ </w:t>
            </w:r>
            <w:r>
              <w:rPr>
                <w:b/>
                <w:bCs/>
                <w:sz w:val="20"/>
                <w:szCs w:val="20"/>
                <w:lang w:val="sr-Cyrl-RS" w:eastAsia="bs-Latn-BA"/>
              </w:rPr>
              <w:t>СИСТЕМА ПРИКУПЉАЊА ОТПАДA И ЈАЧАЊЕ СВИЈЕСТИ ГРАЂАНА</w:t>
            </w: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cs="Calibri"/>
                <w:color w:val="auto"/>
                <w:sz w:val="20"/>
                <w:szCs w:val="20"/>
              </w:rPr>
            </w:pPr>
            <w:r>
              <w:rPr>
                <w:rFonts w:ascii="Calibri" w:hAnsi="Calibri" w:cs="Calibri"/>
                <w:sz w:val="20"/>
                <w:lang w:val="sr-Cyrl-RS"/>
              </w:rPr>
              <w:t>П</w:t>
            </w:r>
            <w:r>
              <w:rPr>
                <w:rFonts w:ascii="Calibri" w:hAnsi="Calibri" w:cs="Calibri"/>
                <w:sz w:val="20"/>
                <w:lang w:val="sr-Latn-RS"/>
              </w:rPr>
              <w:t>.</w:t>
            </w:r>
            <w:r>
              <w:rPr>
                <w:rFonts w:ascii="Calibri" w:hAnsi="Calibri" w:cs="Calibri"/>
                <w:sz w:val="20"/>
                <w:lang w:val="sr-Cyrl-RS"/>
              </w:rPr>
              <w:t xml:space="preserve"> 3.</w:t>
            </w:r>
            <w:r>
              <w:rPr>
                <w:rFonts w:ascii="Calibri" w:hAnsi="Calibri" w:cs="Calibri"/>
                <w:sz w:val="20"/>
              </w:rPr>
              <w:t>2</w:t>
            </w:r>
            <w:r>
              <w:rPr>
                <w:rFonts w:ascii="Calibri" w:hAnsi="Calibri" w:cs="Calibri"/>
                <w:sz w:val="20"/>
                <w:lang w:val="sr-Cyrl-RS"/>
              </w:rPr>
              <w:t>.1.1. Успостављање система одлагања кабастог отпада</w:t>
            </w:r>
            <w:r>
              <w:rPr>
                <w:rFonts w:ascii="Calibri" w:hAnsi="Calibri" w:cs="Calibri"/>
                <w:sz w:val="20"/>
              </w:rPr>
              <w:t xml:space="preserve"> (201</w:t>
            </w:r>
            <w:r>
              <w:rPr>
                <w:rFonts w:ascii="Calibri" w:hAnsi="Calibri" w:cs="Calibri"/>
                <w:sz w:val="20"/>
                <w:lang w:val="sr-Cyrl-CS"/>
              </w:rPr>
              <w:t>9</w:t>
            </w:r>
            <w:r>
              <w:rPr>
                <w:rFonts w:ascii="Calibri" w:hAnsi="Calibri" w:cs="Calibri"/>
                <w:sz w:val="20"/>
              </w:rPr>
              <w:t>-202</w:t>
            </w:r>
            <w:r>
              <w:rPr>
                <w:rFonts w:ascii="Calibri" w:hAnsi="Calibri" w:cs="Calibri"/>
                <w:sz w:val="20"/>
                <w:lang w:val="sr-Cyrl-RS"/>
              </w:rPr>
              <w:t>2</w:t>
            </w:r>
            <w:r>
              <w:rPr>
                <w:rFonts w:ascii="Calibri" w:hAnsi="Calibri" w:cs="Calibri"/>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rPr>
                <w:rFonts w:cs="Calibri"/>
                <w:sz w:val="20"/>
                <w:szCs w:val="20"/>
                <w:lang w:val="sr-Cyrl-RS"/>
              </w:rPr>
            </w:pPr>
            <w:r>
              <w:rPr>
                <w:rFonts w:cs="Calibri"/>
                <w:sz w:val="20"/>
                <w:lang w:val="sr-Cyrl-RS" w:eastAsia="hr-HR"/>
              </w:rPr>
              <w:t>П</w:t>
            </w:r>
            <w:r>
              <w:rPr>
                <w:rFonts w:cs="Calibri"/>
                <w:sz w:val="20"/>
                <w:lang w:val="sr-Latn-RS" w:eastAsia="hr-HR"/>
              </w:rPr>
              <w:t>.</w:t>
            </w:r>
            <w:r>
              <w:rPr>
                <w:rFonts w:cs="Calibri"/>
                <w:sz w:val="20"/>
                <w:lang w:val="sr-Cyrl-RS" w:eastAsia="hr-HR"/>
              </w:rPr>
              <w:t xml:space="preserve"> 3.</w:t>
            </w:r>
            <w:r>
              <w:rPr>
                <w:rFonts w:cs="Calibri"/>
                <w:sz w:val="20"/>
                <w:lang w:eastAsia="hr-HR"/>
              </w:rPr>
              <w:t>2</w:t>
            </w:r>
            <w:r>
              <w:rPr>
                <w:rFonts w:cs="Calibri"/>
                <w:sz w:val="20"/>
                <w:lang w:val="sr-Cyrl-RS" w:eastAsia="hr-HR"/>
              </w:rPr>
              <w:t xml:space="preserve">.1.2. Унапређење постојећег система прикупљања комуналног отпада у урбаном и руралном подручју </w:t>
            </w:r>
            <w:r>
              <w:rPr>
                <w:rFonts w:cs="Calibri"/>
                <w:sz w:val="20"/>
                <w:lang w:val="hr-HR" w:eastAsia="hr-HR"/>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bCs/>
                <w:sz w:val="20"/>
                <w:lang w:val="sr-Cyrl-RS"/>
              </w:rPr>
              <w:t>П</w:t>
            </w:r>
            <w:r>
              <w:rPr>
                <w:bCs/>
                <w:sz w:val="20"/>
                <w:lang w:val="sr-Latn-RS"/>
              </w:rPr>
              <w:t>.</w:t>
            </w:r>
            <w:r>
              <w:rPr>
                <w:bCs/>
                <w:sz w:val="20"/>
                <w:lang w:val="sr-Cyrl-RS"/>
              </w:rPr>
              <w:t xml:space="preserve"> 3.</w:t>
            </w:r>
            <w:r>
              <w:rPr>
                <w:bCs/>
                <w:sz w:val="20"/>
              </w:rPr>
              <w:t>2</w:t>
            </w:r>
            <w:r>
              <w:rPr>
                <w:bCs/>
                <w:sz w:val="20"/>
                <w:lang w:val="sr-Cyrl-RS"/>
              </w:rPr>
              <w:t>.1.</w:t>
            </w:r>
            <w:r>
              <w:rPr>
                <w:bCs/>
                <w:sz w:val="20"/>
              </w:rPr>
              <w:t>3</w:t>
            </w:r>
            <w:r>
              <w:rPr>
                <w:bCs/>
                <w:sz w:val="20"/>
                <w:lang w:val="sr-Cyrl-RS"/>
              </w:rPr>
              <w:t xml:space="preserve">. </w:t>
            </w:r>
            <w:r>
              <w:rPr>
                <w:rFonts w:cs="Calibri"/>
                <w:sz w:val="20"/>
                <w:shd w:val="clear" w:color="auto" w:fill="FFFFFF"/>
                <w:lang w:val="sr-Cyrl-RS"/>
              </w:rPr>
              <w:t xml:space="preserve">Изградња рециклажних дворишта на подручју Града </w:t>
            </w:r>
            <w:r>
              <w:rPr>
                <w:rFonts w:cs="Calibri"/>
                <w:sz w:val="20"/>
                <w:lang w:val="bs-Latn-BA"/>
              </w:rPr>
              <w:t>(2020-2022.)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lang w:val="sr-Cyrl-RS" w:eastAsia="bs-Latn-BA"/>
              </w:rPr>
            </w:pPr>
            <w:r>
              <w:rPr>
                <w:rFonts w:ascii="Calibri" w:hAnsi="Calibri"/>
                <w:bCs/>
                <w:sz w:val="20"/>
                <w:lang w:val="sr-Cyrl-RS"/>
              </w:rPr>
              <w:t>П</w:t>
            </w:r>
            <w:r>
              <w:rPr>
                <w:rFonts w:ascii="Calibri" w:hAnsi="Calibri"/>
                <w:bCs/>
                <w:sz w:val="20"/>
                <w:lang w:val="sr-Latn-RS"/>
              </w:rPr>
              <w:t>.</w:t>
            </w:r>
            <w:r>
              <w:rPr>
                <w:rFonts w:ascii="Calibri" w:hAnsi="Calibri"/>
                <w:bCs/>
                <w:sz w:val="20"/>
                <w:lang w:val="sr-Cyrl-RS"/>
              </w:rPr>
              <w:t xml:space="preserve"> 3.</w:t>
            </w:r>
            <w:r>
              <w:rPr>
                <w:rFonts w:ascii="Calibri" w:hAnsi="Calibri"/>
                <w:bCs/>
                <w:sz w:val="20"/>
              </w:rPr>
              <w:t>2</w:t>
            </w:r>
            <w:r>
              <w:rPr>
                <w:rFonts w:ascii="Calibri" w:hAnsi="Calibri"/>
                <w:bCs/>
                <w:sz w:val="20"/>
                <w:lang w:val="sr-Cyrl-RS"/>
              </w:rPr>
              <w:t>.1.</w:t>
            </w:r>
            <w:r>
              <w:rPr>
                <w:rFonts w:ascii="Calibri" w:hAnsi="Calibri"/>
                <w:bCs/>
                <w:sz w:val="20"/>
              </w:rPr>
              <w:t>4</w:t>
            </w:r>
            <w:r>
              <w:rPr>
                <w:rFonts w:ascii="Calibri" w:hAnsi="Calibri"/>
                <w:bCs/>
                <w:sz w:val="20"/>
                <w:lang w:val="sr-Cyrl-RS"/>
              </w:rPr>
              <w:t>. Репарација постојећих и и</w:t>
            </w:r>
            <w:r>
              <w:rPr>
                <w:rFonts w:ascii="Calibri" w:hAnsi="Calibri"/>
                <w:bCs/>
                <w:sz w:val="20"/>
                <w:lang w:val="sr-Cyrl-RS" w:eastAsia="bs-Latn-BA"/>
              </w:rPr>
              <w:t xml:space="preserve">зградња нових функционалних зелених острва </w:t>
            </w:r>
          </w:p>
          <w:p>
            <w:pPr>
              <w:pStyle w:val="53"/>
              <w:rPr>
                <w:rFonts w:ascii="Calibri" w:hAnsi="Calibri"/>
                <w:bCs/>
                <w:sz w:val="20"/>
                <w:szCs w:val="20"/>
                <w:lang w:val="sr-Cyrl-RS"/>
              </w:rPr>
            </w:pP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cs="Calibri"/>
                <w:sz w:val="20"/>
                <w:lang w:val="sr-Cyrl-RS"/>
              </w:rPr>
            </w:pPr>
            <w:r>
              <w:rPr>
                <w:rFonts w:ascii="Calibri" w:hAnsi="Calibri"/>
                <w:bCs/>
                <w:sz w:val="20"/>
                <w:lang w:val="sr-Cyrl-RS"/>
              </w:rPr>
              <w:t>П</w:t>
            </w:r>
            <w:r>
              <w:rPr>
                <w:rFonts w:ascii="Calibri" w:hAnsi="Calibri"/>
                <w:bCs/>
                <w:sz w:val="20"/>
                <w:lang w:val="sr-Latn-RS"/>
              </w:rPr>
              <w:t>.</w:t>
            </w:r>
            <w:r>
              <w:rPr>
                <w:rFonts w:ascii="Calibri" w:hAnsi="Calibri"/>
                <w:bCs/>
                <w:sz w:val="20"/>
                <w:lang w:val="sr-Cyrl-RS"/>
              </w:rPr>
              <w:t xml:space="preserve"> 3.</w:t>
            </w:r>
            <w:r>
              <w:rPr>
                <w:rFonts w:ascii="Calibri" w:hAnsi="Calibri"/>
                <w:bCs/>
                <w:sz w:val="20"/>
              </w:rPr>
              <w:t>2</w:t>
            </w:r>
            <w:r>
              <w:rPr>
                <w:rFonts w:ascii="Calibri" w:hAnsi="Calibri"/>
                <w:bCs/>
                <w:sz w:val="20"/>
                <w:lang w:val="sr-Cyrl-RS"/>
              </w:rPr>
              <w:t>.1.</w:t>
            </w:r>
            <w:r>
              <w:rPr>
                <w:rFonts w:ascii="Calibri" w:hAnsi="Calibri"/>
                <w:bCs/>
                <w:sz w:val="20"/>
              </w:rPr>
              <w:t>5</w:t>
            </w:r>
            <w:r>
              <w:rPr>
                <w:rFonts w:ascii="Calibri" w:hAnsi="Calibri"/>
                <w:bCs/>
                <w:sz w:val="20"/>
                <w:lang w:val="sr-Cyrl-RS"/>
              </w:rPr>
              <w:t>.</w:t>
            </w:r>
            <w:r>
              <w:rPr>
                <w:rFonts w:ascii="Calibri" w:hAnsi="Calibri"/>
                <w:sz w:val="20"/>
                <w:lang w:val="sr-Cyrl-RS"/>
              </w:rPr>
              <w:t xml:space="preserve"> </w:t>
            </w:r>
            <w:r>
              <w:rPr>
                <w:rFonts w:ascii="Calibri" w:hAnsi="Calibri"/>
                <w:bCs/>
                <w:sz w:val="20"/>
                <w:lang w:val="sr-Cyrl-RS" w:eastAsia="bs-Latn-BA"/>
              </w:rPr>
              <w:t xml:space="preserve">Реализација кампање јачања јавне свијести </w:t>
            </w:r>
            <w:r>
              <w:rPr>
                <w:rFonts w:ascii="Calibri" w:hAnsi="Calibri"/>
                <w:sz w:val="20"/>
                <w:lang w:val="sr-Cyrl-RS" w:eastAsia="sr-Latn-CS"/>
              </w:rPr>
              <w:t xml:space="preserve">о прописном одлагању отпада </w:t>
            </w:r>
            <w:r>
              <w:rPr>
                <w:rFonts w:ascii="Calibri" w:hAnsi="Calibri"/>
                <w:bCs/>
                <w:sz w:val="20"/>
                <w:lang w:val="sr-Cyrl-RS" w:eastAsia="bs-Latn-BA"/>
              </w:rPr>
              <w:t>и  правилном управљању комуналним чврстим отпадом</w:t>
            </w:r>
            <w:r>
              <w:rPr>
                <w:rFonts w:ascii="Calibri" w:hAnsi="Calibri"/>
                <w:sz w:val="20"/>
                <w:lang w:val="sr-Cyrl-RS" w:eastAsia="sr-Latn-CS"/>
              </w:rPr>
              <w:t xml:space="preserve"> на подручју града Бањалуке</w:t>
            </w:r>
            <w:r>
              <w:rPr>
                <w:rFonts w:ascii="Calibri" w:hAnsi="Calibri" w:cs="Calibri"/>
                <w:sz w:val="20"/>
                <w:lang w:val="sr-Cyrl-RS"/>
              </w:rPr>
              <w:t xml:space="preserve"> </w:t>
            </w:r>
          </w:p>
          <w:p>
            <w:pPr>
              <w:pStyle w:val="53"/>
              <w:rPr>
                <w:rFonts w:ascii="Calibri" w:hAnsi="Calibri"/>
                <w:sz w:val="20"/>
                <w:szCs w:val="20"/>
                <w:lang w:val="sr-Cyrl-RS"/>
              </w:rPr>
            </w:pP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cs="Calibri"/>
                <w:color w:val="auto"/>
                <w:sz w:val="20"/>
                <w:szCs w:val="20"/>
                <w:lang w:val="sr-Cyrl-CS"/>
              </w:rPr>
            </w:pPr>
            <w:r>
              <w:rPr>
                <w:rFonts w:ascii="Calibri" w:hAnsi="Calibri"/>
                <w:bCs/>
                <w:sz w:val="20"/>
                <w:lang w:val="sr-Cyrl-RS"/>
              </w:rPr>
              <w:t>П</w:t>
            </w:r>
            <w:r>
              <w:rPr>
                <w:rFonts w:ascii="Calibri" w:hAnsi="Calibri"/>
                <w:bCs/>
                <w:sz w:val="20"/>
                <w:lang w:val="sr-Latn-RS"/>
              </w:rPr>
              <w:t>.</w:t>
            </w:r>
            <w:r>
              <w:rPr>
                <w:rFonts w:ascii="Calibri" w:hAnsi="Calibri"/>
                <w:bCs/>
                <w:sz w:val="20"/>
                <w:lang w:val="sr-Cyrl-RS"/>
              </w:rPr>
              <w:t xml:space="preserve"> 3.</w:t>
            </w:r>
            <w:r>
              <w:rPr>
                <w:rFonts w:ascii="Calibri" w:hAnsi="Calibri"/>
                <w:bCs/>
                <w:sz w:val="20"/>
              </w:rPr>
              <w:t>2</w:t>
            </w:r>
            <w:r>
              <w:rPr>
                <w:rFonts w:ascii="Calibri" w:hAnsi="Calibri"/>
                <w:bCs/>
                <w:sz w:val="20"/>
                <w:lang w:val="sr-Cyrl-RS"/>
              </w:rPr>
              <w:t>.1.</w:t>
            </w:r>
            <w:r>
              <w:rPr>
                <w:rFonts w:ascii="Calibri" w:hAnsi="Calibri"/>
                <w:bCs/>
                <w:sz w:val="20"/>
              </w:rPr>
              <w:t>6</w:t>
            </w:r>
            <w:r>
              <w:rPr>
                <w:rFonts w:ascii="Calibri" w:hAnsi="Calibri"/>
                <w:bCs/>
                <w:sz w:val="20"/>
                <w:lang w:val="sr-Cyrl-RS"/>
              </w:rPr>
              <w:t>.</w:t>
            </w:r>
            <w:r>
              <w:rPr>
                <w:rFonts w:ascii="Calibri" w:hAnsi="Calibri"/>
                <w:sz w:val="20"/>
                <w:lang w:val="sr-Cyrl-RS"/>
              </w:rPr>
              <w:t xml:space="preserve"> </w:t>
            </w:r>
            <w:r>
              <w:rPr>
                <w:rFonts w:ascii="Calibri" w:hAnsi="Calibri"/>
                <w:bCs/>
                <w:sz w:val="20"/>
                <w:lang w:val="sr-Cyrl-RS" w:eastAsia="bs-Latn-BA"/>
              </w:rPr>
              <w:t xml:space="preserve">Планирање акција, образовање, васпитање и формирање свијести о потреби селективног одлагања отпада у образовним установама </w:t>
            </w:r>
            <w:r>
              <w:rPr>
                <w:rFonts w:ascii="Calibri" w:hAnsi="Calibri" w:cs="Calibri"/>
                <w:sz w:val="20"/>
              </w:rPr>
              <w:t>(201</w:t>
            </w:r>
            <w:r>
              <w:rPr>
                <w:rFonts w:ascii="Calibri" w:hAnsi="Calibri" w:cs="Calibri"/>
                <w:sz w:val="20"/>
                <w:lang w:val="sr-Cyrl-CS"/>
              </w:rPr>
              <w:t>9</w:t>
            </w:r>
            <w:r>
              <w:rPr>
                <w:rFonts w:ascii="Calibri" w:hAnsi="Calibri" w:cs="Calibri"/>
                <w:sz w:val="20"/>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3.</w:t>
            </w:r>
            <w:r>
              <w:rPr>
                <w:b/>
                <w:sz w:val="20"/>
                <w:szCs w:val="20"/>
                <w:lang w:val="sr-Latn-CS"/>
              </w:rPr>
              <w:t>2</w:t>
            </w:r>
            <w:r>
              <w:rPr>
                <w:b/>
                <w:sz w:val="20"/>
                <w:szCs w:val="20"/>
                <w:lang w:val="sr-Cyrl-RS"/>
              </w:rPr>
              <w:t>.2. УНАПРЕЂЕЊЕ СТАЊА НА Р</w:t>
            </w:r>
            <w:r>
              <w:rPr>
                <w:b/>
                <w:bCs/>
                <w:sz w:val="20"/>
                <w:szCs w:val="20"/>
                <w:lang w:val="sr-Cyrl-RS" w:eastAsia="bs-Latn-BA"/>
              </w:rPr>
              <w:t>ЕГИОНАЛНОЈ САНИТАРНОЈ ДЕПОНИЈИ „РАМИЋИ“</w:t>
            </w:r>
          </w:p>
        </w:tc>
        <w:tc>
          <w:tcPr>
            <w:tcW w:w="4341" w:type="dxa"/>
            <w:tcBorders>
              <w:top w:val="single" w:color="000000" w:sz="4" w:space="0"/>
              <w:left w:val="single" w:color="000000" w:sz="4" w:space="0"/>
              <w:bottom w:val="single" w:color="000000" w:sz="4" w:space="0"/>
              <w:right w:val="single" w:color="000000" w:sz="4" w:space="0"/>
            </w:tcBorders>
          </w:tcPr>
          <w:p>
            <w:pPr>
              <w:spacing w:after="120"/>
              <w:rPr>
                <w:rFonts w:cs="Calibri"/>
                <w:color w:val="000000"/>
                <w:sz w:val="20"/>
                <w:szCs w:val="20"/>
                <w:lang w:val="sr-Cyrl-RS"/>
              </w:rPr>
            </w:pPr>
            <w:r>
              <w:rPr>
                <w:bCs/>
                <w:sz w:val="20"/>
                <w:lang w:val="sr-Cyrl-RS"/>
              </w:rPr>
              <w:t>П 3.</w:t>
            </w:r>
            <w:r>
              <w:rPr>
                <w:bCs/>
                <w:sz w:val="20"/>
              </w:rPr>
              <w:t>2</w:t>
            </w:r>
            <w:r>
              <w:rPr>
                <w:bCs/>
                <w:sz w:val="20"/>
                <w:lang w:val="sr-Cyrl-RS"/>
              </w:rPr>
              <w:t xml:space="preserve">.2.1. </w:t>
            </w:r>
            <w:r>
              <w:rPr>
                <w:bCs/>
                <w:sz w:val="20"/>
                <w:lang w:val="sr-Cyrl-RS" w:eastAsia="bs-Latn-BA"/>
              </w:rPr>
              <w:t xml:space="preserve">Пројекат </w:t>
            </w:r>
            <w:r>
              <w:rPr>
                <w:bCs/>
                <w:sz w:val="20"/>
                <w:lang w:val="hr-HR" w:eastAsia="bs-Latn-BA"/>
              </w:rPr>
              <w:t xml:space="preserve">II </w:t>
            </w:r>
            <w:r>
              <w:rPr>
                <w:bCs/>
                <w:sz w:val="20"/>
                <w:lang w:val="sr-Cyrl-RS" w:eastAsia="bs-Latn-BA"/>
              </w:rPr>
              <w:t xml:space="preserve">фаза изградње Регионалне санитарне депоније Рамићи </w:t>
            </w: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rPr>
            </w:pPr>
            <w:r>
              <w:rPr>
                <w:rFonts w:ascii="Calibri" w:hAnsi="Calibri"/>
                <w:bCs/>
                <w:sz w:val="20"/>
                <w:lang w:val="sr-Cyrl-RS"/>
              </w:rPr>
              <w:t>П 3.</w:t>
            </w:r>
            <w:r>
              <w:rPr>
                <w:rFonts w:ascii="Calibri" w:hAnsi="Calibri"/>
                <w:bCs/>
                <w:sz w:val="20"/>
              </w:rPr>
              <w:t>2</w:t>
            </w:r>
            <w:r>
              <w:rPr>
                <w:rFonts w:ascii="Calibri" w:hAnsi="Calibri"/>
                <w:bCs/>
                <w:sz w:val="20"/>
                <w:lang w:val="sr-Cyrl-RS"/>
              </w:rPr>
              <w:t>.2.2.</w:t>
            </w:r>
            <w:r>
              <w:rPr>
                <w:sz w:val="20"/>
                <w:lang w:val="sr-Cyrl-RS"/>
              </w:rPr>
              <w:t xml:space="preserve"> </w:t>
            </w:r>
            <w:r>
              <w:rPr>
                <w:rFonts w:ascii="Calibri" w:hAnsi="Calibri"/>
                <w:bCs/>
                <w:sz w:val="20"/>
                <w:lang w:val="sr-Cyrl-RS"/>
              </w:rPr>
              <w:t xml:space="preserve">Изградња хале на регионалној депонији за потребе линије за рециклажу амбалажног отпада </w:t>
            </w:r>
            <w:r>
              <w:rPr>
                <w:rFonts w:ascii="Calibri" w:hAnsi="Calibri" w:cs="Calibri"/>
                <w:sz w:val="20"/>
              </w:rPr>
              <w:t>(2018-20</w:t>
            </w:r>
            <w:r>
              <w:rPr>
                <w:rFonts w:ascii="Calibri" w:hAnsi="Calibri" w:cs="Calibri"/>
                <w:sz w:val="20"/>
                <w:lang w:val="sr-Cyrl-CS"/>
              </w:rPr>
              <w:t>19</w:t>
            </w:r>
            <w:r>
              <w:rPr>
                <w:rFonts w:ascii="Calibri" w:hAnsi="Calibri" w:cs="Calibri"/>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 xml:space="preserve">ПРОГРАМ 3.3.1. ЗАШТИТA КВАЛИТЕТA </w:t>
            </w:r>
            <w:r>
              <w:rPr>
                <w:rFonts w:cs="Cambria"/>
                <w:b/>
                <w:bCs/>
                <w:sz w:val="20"/>
                <w:szCs w:val="20"/>
                <w:lang w:val="sr-Cyrl-RS" w:eastAsia="bs-Latn-BA"/>
              </w:rPr>
              <w:t xml:space="preserve">ВОДЕ ЗА ПИЋЕ И </w:t>
            </w:r>
            <w:r>
              <w:rPr>
                <w:b/>
                <w:sz w:val="20"/>
                <w:szCs w:val="20"/>
                <w:lang w:val="sr-Cyrl-RS"/>
              </w:rPr>
              <w:t>РАЗВОЈ СИСТЕМА ЈАВНОГ ВОДОСНАБДИЈЕВАЊА</w:t>
            </w:r>
          </w:p>
        </w:tc>
        <w:tc>
          <w:tcPr>
            <w:tcW w:w="4341" w:type="dxa"/>
            <w:tcBorders>
              <w:top w:val="single" w:color="000000" w:sz="4" w:space="0"/>
              <w:left w:val="single" w:color="000000" w:sz="4" w:space="0"/>
              <w:bottom w:val="single" w:color="000000" w:sz="4" w:space="0"/>
              <w:right w:val="single" w:color="000000" w:sz="4" w:space="0"/>
            </w:tcBorders>
          </w:tcPr>
          <w:p>
            <w:pPr>
              <w:tabs>
                <w:tab w:val="left" w:pos="1774"/>
              </w:tabs>
              <w:rPr>
                <w:sz w:val="20"/>
                <w:szCs w:val="20"/>
                <w:lang w:val="sr-Cyrl-RS"/>
              </w:rPr>
            </w:pPr>
            <w:r>
              <w:rPr>
                <w:bCs/>
                <w:sz w:val="20"/>
                <w:lang w:val="sr-Cyrl-RS"/>
              </w:rPr>
              <w:t xml:space="preserve">П. 3.3.1.1. </w:t>
            </w:r>
            <w:r>
              <w:rPr>
                <w:sz w:val="20"/>
                <w:lang w:val="sr-Cyrl-RS"/>
              </w:rPr>
              <w:t xml:space="preserve">Успостављање зона санитарне заштите за  изворишта која снабдијевају рурално подручје </w:t>
            </w: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eastAsia="sr-Latn-CS"/>
              </w:rPr>
            </w:pPr>
            <w:r>
              <w:rPr>
                <w:bCs/>
                <w:sz w:val="20"/>
                <w:lang w:val="sr-Cyrl-RS" w:eastAsia="sr-Latn-CS"/>
              </w:rPr>
              <w:t xml:space="preserve">П. 3.3.1.2. </w:t>
            </w:r>
            <w:r>
              <w:rPr>
                <w:sz w:val="20"/>
                <w:lang w:val="sr-Cyrl-RS" w:eastAsia="sr-Latn-CS"/>
              </w:rPr>
              <w:t xml:space="preserve">Изградња примарних цјевовода </w:t>
            </w:r>
          </w:p>
          <w:p>
            <w:pPr>
              <w:pStyle w:val="54"/>
              <w:rPr>
                <w:bCs/>
                <w:sz w:val="20"/>
                <w:szCs w:val="20"/>
                <w:lang w:val="sr-Cyrl-RS"/>
              </w:rPr>
            </w:pPr>
            <w:r>
              <w:rPr>
                <w:rFonts w:cs="Calibri"/>
                <w:sz w:val="20"/>
                <w:lang w:eastAsia="sr-Latn-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tabs>
                <w:tab w:val="left" w:pos="1774"/>
              </w:tabs>
              <w:autoSpaceDE w:val="0"/>
              <w:autoSpaceDN w:val="0"/>
              <w:adjustRightInd w:val="0"/>
              <w:rPr>
                <w:sz w:val="20"/>
                <w:szCs w:val="20"/>
                <w:lang w:val="sr-Cyrl-RS" w:eastAsia="sr-Latn-CS"/>
              </w:rPr>
            </w:pPr>
            <w:r>
              <w:rPr>
                <w:rFonts w:cs="Trebuchet MS"/>
                <w:bCs/>
                <w:sz w:val="20"/>
                <w:lang w:val="sr-Cyrl-RS" w:eastAsia="hr-HR"/>
              </w:rPr>
              <w:t xml:space="preserve">П. 3.3.1.3. </w:t>
            </w:r>
            <w:r>
              <w:rPr>
                <w:rFonts w:cs="Trebuchet MS"/>
                <w:sz w:val="20"/>
                <w:lang w:val="sr-Cyrl-RS" w:eastAsia="sr-Latn-CS"/>
              </w:rPr>
              <w:t xml:space="preserve">Изградња и реконструкција секундарне водоводне мреже </w:t>
            </w:r>
            <w:r>
              <w:rPr>
                <w:rFonts w:cs="Calibri"/>
                <w:sz w:val="20"/>
                <w:lang w:val="hr-HR" w:eastAsia="hr-HR"/>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tabs>
                <w:tab w:val="left" w:pos="1774"/>
              </w:tabs>
              <w:rPr>
                <w:rFonts w:ascii="Calibri" w:hAnsi="Calibri"/>
                <w:bCs/>
                <w:sz w:val="20"/>
                <w:szCs w:val="20"/>
                <w:lang w:val="sr-Cyrl-RS"/>
              </w:rPr>
            </w:pPr>
            <w:r>
              <w:rPr>
                <w:rFonts w:ascii="Calibri" w:hAnsi="Calibri"/>
                <w:bCs/>
                <w:sz w:val="20"/>
                <w:lang w:val="sr-Cyrl-RS"/>
              </w:rPr>
              <w:t xml:space="preserve">П. 3.3.1.4. </w:t>
            </w:r>
            <w:r>
              <w:rPr>
                <w:rFonts w:ascii="Calibri" w:hAnsi="Calibri"/>
                <w:sz w:val="20"/>
                <w:lang w:val="sr-Cyrl-RS"/>
              </w:rPr>
              <w:t xml:space="preserve">Изградња нових и проширење постојећих резервоара </w:t>
            </w: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tabs>
                <w:tab w:val="left" w:pos="1774"/>
              </w:tabs>
              <w:rPr>
                <w:rFonts w:ascii="Calibri" w:hAnsi="Calibri"/>
                <w:sz w:val="20"/>
                <w:szCs w:val="20"/>
                <w:lang w:val="sr-Cyrl-RS"/>
              </w:rPr>
            </w:pPr>
            <w:r>
              <w:rPr>
                <w:rFonts w:ascii="Calibri" w:hAnsi="Calibri"/>
                <w:bCs/>
                <w:sz w:val="20"/>
                <w:lang w:val="sr-Cyrl-RS"/>
              </w:rPr>
              <w:t>П. 3.3.1.5.</w:t>
            </w:r>
            <w:r>
              <w:rPr>
                <w:rFonts w:ascii="Calibri" w:hAnsi="Calibri"/>
                <w:sz w:val="20"/>
                <w:lang w:val="sr-Cyrl-RS"/>
              </w:rPr>
              <w:t xml:space="preserve"> </w:t>
            </w:r>
            <w:r>
              <w:rPr>
                <w:rFonts w:ascii="Calibri" w:hAnsi="Calibri"/>
                <w:bCs/>
                <w:sz w:val="20"/>
                <w:lang w:val="sr-Cyrl-RS" w:eastAsia="bs-Latn-BA"/>
              </w:rPr>
              <w:t xml:space="preserve">Израда Мастер плана водоснабдијевања руралног дијела Бање Луке </w:t>
            </w:r>
            <w:r>
              <w:rPr>
                <w:rFonts w:ascii="Calibri" w:hAnsi="Calibri" w:cs="Calibri"/>
                <w:sz w:val="20"/>
              </w:rPr>
              <w:t>(2019-202</w:t>
            </w:r>
            <w:r>
              <w:rPr>
                <w:rFonts w:ascii="Calibri" w:hAnsi="Calibri" w:cs="Calibri"/>
                <w:sz w:val="20"/>
                <w:lang w:val="sr-Cyrl-CS"/>
              </w:rPr>
              <w:t>0</w:t>
            </w:r>
            <w:r>
              <w:rPr>
                <w:rFonts w:ascii="Calibri" w:hAnsi="Calibri" w:cs="Calibri"/>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3.3.2. РАЗВОЈ СИСТЕМА САКУПЉАЊА, ОДВОДЊЕ И ТРЕТМАНА КОМУНАЛНИХ ОТПАДНИХ ВОДА</w:t>
            </w: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rPr>
            </w:pPr>
            <w:r>
              <w:rPr>
                <w:rFonts w:ascii="Calibri" w:hAnsi="Calibri"/>
                <w:bCs/>
                <w:sz w:val="20"/>
                <w:lang w:val="sr-Cyrl-RS"/>
              </w:rPr>
              <w:t xml:space="preserve">М. 3.3.2.1. </w:t>
            </w:r>
            <w:r>
              <w:rPr>
                <w:rFonts w:ascii="Calibri" w:hAnsi="Calibri"/>
                <w:bCs/>
                <w:sz w:val="20"/>
                <w:lang w:val="sr-Cyrl-RS" w:eastAsia="bs-Latn-BA"/>
              </w:rPr>
              <w:t xml:space="preserve">Израда инвестиционо-техничке документације за изградњу канализационе мреже </w:t>
            </w: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sz w:val="20"/>
                <w:szCs w:val="20"/>
                <w:lang w:val="sr-Cyrl-RS"/>
              </w:rPr>
            </w:pPr>
            <w:r>
              <w:rPr>
                <w:rFonts w:ascii="Calibri" w:hAnsi="Calibri"/>
                <w:bCs/>
                <w:sz w:val="20"/>
                <w:lang w:val="sr-Cyrl-RS"/>
              </w:rPr>
              <w:t xml:space="preserve">П. 3.3.2.2. </w:t>
            </w:r>
            <w:r>
              <w:rPr>
                <w:rFonts w:ascii="Calibri" w:hAnsi="Calibri"/>
                <w:bCs/>
                <w:sz w:val="20"/>
                <w:lang w:val="sr-Cyrl-RS" w:eastAsia="bs-Latn-BA"/>
              </w:rPr>
              <w:t xml:space="preserve">Изградња колектора </w:t>
            </w: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rPr>
            </w:pPr>
            <w:r>
              <w:rPr>
                <w:rFonts w:ascii="Calibri" w:hAnsi="Calibri"/>
                <w:bCs/>
                <w:sz w:val="20"/>
                <w:lang w:val="sr-Cyrl-RS"/>
              </w:rPr>
              <w:t xml:space="preserve">П. 3.3.2.3. </w:t>
            </w:r>
            <w:r>
              <w:rPr>
                <w:rFonts w:ascii="Calibri" w:hAnsi="Calibri"/>
                <w:bCs/>
                <w:sz w:val="20"/>
                <w:lang w:val="sr-Cyrl-RS" w:eastAsia="bs-Latn-BA"/>
              </w:rPr>
              <w:t xml:space="preserve">Изградња секундарне канализационе мреже </w:t>
            </w: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eastAsia="bs-Latn-BA"/>
              </w:rPr>
            </w:pPr>
            <w:r>
              <w:rPr>
                <w:rFonts w:ascii="Calibri" w:hAnsi="Calibri"/>
                <w:bCs/>
                <w:sz w:val="20"/>
                <w:lang w:val="sr-Cyrl-RS"/>
              </w:rPr>
              <w:t>П. 3.3.2.4.</w:t>
            </w:r>
            <w:r>
              <w:rPr>
                <w:rFonts w:ascii="Calibri" w:hAnsi="Calibri"/>
                <w:sz w:val="20"/>
                <w:lang w:val="sr-Cyrl-RS"/>
              </w:rPr>
              <w:t xml:space="preserve"> </w:t>
            </w:r>
            <w:r>
              <w:rPr>
                <w:rFonts w:ascii="Calibri" w:hAnsi="Calibri"/>
                <w:bCs/>
                <w:sz w:val="20"/>
                <w:lang w:val="sr-Cyrl-RS" w:eastAsia="bs-Latn-BA"/>
              </w:rPr>
              <w:t xml:space="preserve">Изградња централног градског постројења за пречишћавање отпадних вода и/или више рејонских постројења </w:t>
            </w:r>
            <w:r>
              <w:rPr>
                <w:rFonts w:ascii="Calibri" w:hAnsi="Calibri" w:cs="Calibri"/>
                <w:sz w:val="20"/>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rPr>
                <w:b/>
                <w:sz w:val="20"/>
                <w:szCs w:val="20"/>
                <w:lang w:val="sr-Cyrl-RS"/>
              </w:rPr>
            </w:pPr>
            <w:r>
              <w:rPr>
                <w:b/>
                <w:sz w:val="20"/>
                <w:szCs w:val="20"/>
                <w:lang w:val="sr-Cyrl-RS"/>
              </w:rPr>
              <w:t>ПРОГРАМ 3.4.1. ОПШТЕ МЈЕРЕ ПОБОЉШАЊА КВАЛИТЕТА ВАЗДУХА</w:t>
            </w:r>
          </w:p>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Theme="minorHAnsi" w:hAnsiTheme="minorHAnsi" w:cstheme="minorHAnsi"/>
                <w:sz w:val="20"/>
                <w:szCs w:val="20"/>
                <w:lang w:val="sr-Cyrl-RS"/>
              </w:rPr>
            </w:pPr>
            <w:r>
              <w:rPr>
                <w:rFonts w:ascii="Calibri" w:hAnsi="Calibri" w:cs="Times New Roman"/>
                <w:bCs/>
                <w:sz w:val="20"/>
                <w:lang w:val="sr-Cyrl-RS"/>
              </w:rPr>
              <w:t>П. 3.4.1.</w:t>
            </w:r>
            <w:r>
              <w:rPr>
                <w:rFonts w:ascii="Calibri" w:hAnsi="Calibri" w:cs="Times New Roman"/>
                <w:bCs/>
                <w:sz w:val="20"/>
              </w:rPr>
              <w:t>1</w:t>
            </w:r>
            <w:r>
              <w:rPr>
                <w:rFonts w:ascii="Calibri" w:hAnsi="Calibri" w:cs="Times New Roman"/>
                <w:bCs/>
                <w:sz w:val="20"/>
                <w:lang w:val="sr-Cyrl-RS"/>
              </w:rPr>
              <w:t>.</w:t>
            </w:r>
            <w:r>
              <w:rPr>
                <w:rFonts w:ascii="Calibri" w:hAnsi="Calibri" w:cs="Times New Roman"/>
                <w:sz w:val="20"/>
                <w:lang w:val="sr-Cyrl-RS"/>
              </w:rPr>
              <w:t xml:space="preserve"> </w:t>
            </w:r>
            <w:r>
              <w:rPr>
                <w:rFonts w:ascii="Calibri" w:hAnsi="Calibri" w:cs="Times New Roman"/>
                <w:sz w:val="20"/>
                <w:lang w:val="sr-Cyrl-RS" w:eastAsia="sr-Latn-CS"/>
              </w:rPr>
              <w:t xml:space="preserve">Мониторинг аерозагађења </w:t>
            </w:r>
            <w:r>
              <w:rPr>
                <w:rFonts w:ascii="Calibri" w:hAnsi="Calibri"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lang w:val="sr-Cyrl-RS"/>
              </w:rPr>
              <w:t>П. 3.4.1.</w:t>
            </w:r>
            <w:r>
              <w:rPr>
                <w:bCs/>
                <w:sz w:val="20"/>
              </w:rPr>
              <w:t>2</w:t>
            </w:r>
            <w:r>
              <w:rPr>
                <w:bCs/>
                <w:sz w:val="20"/>
                <w:lang w:val="sr-Cyrl-RS"/>
              </w:rPr>
              <w:t xml:space="preserve">. Постављање зелених баријера у урбаној зони Града </w:t>
            </w: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Latn-CS"/>
              </w:rPr>
            </w:pPr>
            <w:r>
              <w:rPr>
                <w:bCs/>
                <w:sz w:val="20"/>
                <w:lang w:val="sr-Cyrl-RS"/>
              </w:rPr>
              <w:t>М. 3.4.1.</w:t>
            </w:r>
            <w:r>
              <w:rPr>
                <w:bCs/>
                <w:sz w:val="20"/>
              </w:rPr>
              <w:t>3</w:t>
            </w:r>
            <w:r>
              <w:rPr>
                <w:bCs/>
                <w:sz w:val="20"/>
                <w:lang w:val="sr-Cyrl-RS"/>
              </w:rPr>
              <w:t>. Растерећење ужег урбаног центра од аутомобилског саобраћаја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hr-BA"/>
              </w:rPr>
              <w:t>(</w:t>
            </w:r>
            <w:r>
              <w:rPr>
                <w:b/>
                <w:sz w:val="20"/>
                <w:szCs w:val="20"/>
                <w:lang w:val="sr-Cyrl-RS"/>
              </w:rPr>
              <w:t>ПРОГРАМ 3.4.2. ПОВЕЋАЊЕ НИВОА ЕНЕРГЕТСКЕ ЕФИКАСНОСТИ</w:t>
            </w: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bCs/>
                <w:sz w:val="20"/>
                <w:lang w:val="sr-Cyrl-RS"/>
              </w:rPr>
              <w:t xml:space="preserve">П 3.4.2.1. </w:t>
            </w:r>
            <w:r>
              <w:rPr>
                <w:sz w:val="20"/>
                <w:lang w:val="sr-Cyrl-RS"/>
              </w:rPr>
              <w:t xml:space="preserve">Израда Акционог плана енергетске ефикасности Града </w:t>
            </w:r>
            <w:r>
              <w:rPr>
                <w:rFonts w:cs="Calibri"/>
                <w:sz w:val="20"/>
                <w:lang w:val="bs-Latn-BA"/>
              </w:rPr>
              <w:t>(20</w:t>
            </w:r>
            <w:r>
              <w:rPr>
                <w:rFonts w:cs="Calibri"/>
                <w:sz w:val="20"/>
                <w:lang w:val="sr-Cyrl-RS"/>
              </w:rPr>
              <w:t>19. и 2022.</w:t>
            </w:r>
            <w:r>
              <w:rPr>
                <w:rFonts w:cs="Calibri"/>
                <w:sz w:val="20"/>
                <w:lang w:val="bs-Latn-B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rPr>
                <w:bCs/>
                <w:sz w:val="20"/>
                <w:szCs w:val="20"/>
                <w:lang w:val="sr-Cyrl-RS"/>
              </w:rPr>
            </w:pPr>
            <w:r>
              <w:rPr>
                <w:rFonts w:cs="Trebuchet MS"/>
                <w:bCs/>
                <w:sz w:val="20"/>
                <w:lang w:val="sr-Cyrl-RS" w:eastAsia="hr-HR"/>
              </w:rPr>
              <w:t>П 3.4.2.2. Имплементација Акционог плана енергетске ефикасности Града - Енергетски ефикасно кориштење енергије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lang w:val="sr-Cyrl-RS"/>
              </w:rPr>
            </w:pPr>
            <w:r>
              <w:rPr>
                <w:rFonts w:ascii="Calibri" w:hAnsi="Calibri"/>
                <w:bCs/>
                <w:sz w:val="20"/>
                <w:lang w:val="sr-Cyrl-RS"/>
              </w:rPr>
              <w:t xml:space="preserve">П 3.4.2.3. Имплементација Акционог плана енергетске ефикасности Града -Енергетски ефикасна обнова постојећих и изградња нових јавних објеката према принципима ЕЕ </w:t>
            </w:r>
          </w:p>
          <w:p>
            <w:pPr>
              <w:pStyle w:val="53"/>
              <w:rPr>
                <w:rFonts w:ascii="Calibri" w:hAnsi="Calibri"/>
                <w:bCs/>
                <w:sz w:val="20"/>
                <w:szCs w:val="20"/>
                <w:lang w:val="sr-Cyrl-RS"/>
              </w:rPr>
            </w:pP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rPr>
            </w:pPr>
            <w:r>
              <w:rPr>
                <w:rFonts w:ascii="Calibri" w:hAnsi="Calibri"/>
                <w:bCs/>
                <w:sz w:val="20"/>
                <w:lang w:val="sr-Cyrl-RS"/>
              </w:rPr>
              <w:t xml:space="preserve">П 3.4.2.4. Имплементација Акционог плана енергетске ефикасности Града: Реконструкција и побољшање ЕЕ јавне расвјете </w:t>
            </w: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rPr>
                <w:rFonts w:cs="Trebuchet MS"/>
                <w:bCs/>
                <w:sz w:val="20"/>
                <w:lang w:val="sr-Cyrl-RS" w:eastAsia="hr-HR"/>
              </w:rPr>
            </w:pPr>
            <w:r>
              <w:rPr>
                <w:rFonts w:cs="Trebuchet MS"/>
                <w:bCs/>
                <w:sz w:val="20"/>
                <w:lang w:val="sr-Cyrl-RS" w:eastAsia="hr-HR"/>
              </w:rPr>
              <w:t xml:space="preserve">П. 3.4.2.5. Имплементација Акционог плана енергетске ефикасности Града: Побољшање ЕЕ система даљинског гријања </w:t>
            </w:r>
            <w:r>
              <w:rPr>
                <w:rFonts w:cs="Calibri"/>
                <w:sz w:val="20"/>
              </w:rPr>
              <w:t>(2018-202</w:t>
            </w:r>
            <w:r>
              <w:rPr>
                <w:rFonts w:cs="Calibri"/>
                <w:sz w:val="20"/>
                <w:lang w:val="sr-Cyrl-CS"/>
              </w:rPr>
              <w:t>2</w:t>
            </w:r>
            <w:r>
              <w:rPr>
                <w:rFonts w:cs="Calibri"/>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rPr>
            </w:pPr>
            <w:r>
              <w:rPr>
                <w:rFonts w:ascii="Calibri" w:hAnsi="Calibri"/>
                <w:bCs/>
                <w:sz w:val="20"/>
                <w:lang w:val="sr-Cyrl-RS"/>
              </w:rPr>
              <w:t xml:space="preserve">П. 3.4.2.6. Имплементација Акционог плана енергетске ефикасности Града - Суфинансирање заједница етажних власника на санацији објеката колективног становања у смислу побољшања ЕЕ </w:t>
            </w: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rPr>
            </w:pPr>
            <w:r>
              <w:rPr>
                <w:rFonts w:ascii="Calibri" w:hAnsi="Calibri"/>
                <w:bCs/>
                <w:sz w:val="20"/>
                <w:lang w:val="sr-Cyrl-RS"/>
              </w:rPr>
              <w:t xml:space="preserve">П. 3.4.2.7. </w:t>
            </w:r>
            <w:r>
              <w:rPr>
                <w:rFonts w:ascii="Calibri" w:hAnsi="Calibri"/>
                <w:bCs/>
                <w:sz w:val="20"/>
                <w:lang w:val="sr-Cyrl-RS" w:eastAsia="bs-Latn-BA"/>
              </w:rPr>
              <w:t xml:space="preserve">Израда Студије оправданости топлификације насеља Лауш, Паприковац, Петрићевац и Лазарево </w:t>
            </w:r>
            <w:r>
              <w:rPr>
                <w:rFonts w:ascii="Calibri" w:hAnsi="Calibri" w:cs="Calibri"/>
                <w:sz w:val="20"/>
              </w:rPr>
              <w:t>(201</w:t>
            </w:r>
            <w:r>
              <w:rPr>
                <w:rFonts w:ascii="Calibri" w:hAnsi="Calibri" w:cs="Calibri"/>
                <w:sz w:val="20"/>
                <w:lang w:val="sr-Cyrl-CS"/>
              </w:rPr>
              <w:t>9</w:t>
            </w:r>
            <w:r>
              <w:rPr>
                <w:rFonts w:ascii="Calibri" w:hAnsi="Calibri" w:cs="Calibri"/>
                <w:sz w:val="20"/>
              </w:rPr>
              <w:t>-20</w:t>
            </w:r>
            <w:r>
              <w:rPr>
                <w:rFonts w:ascii="Calibri" w:hAnsi="Calibri" w:cs="Calibri"/>
                <w:sz w:val="20"/>
                <w:lang w:val="sr-Cyrl-CS"/>
              </w:rPr>
              <w:t>20</w:t>
            </w:r>
            <w:r>
              <w:rPr>
                <w:rFonts w:ascii="Calibri" w:hAnsi="Calibri" w:cs="Calibri"/>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rFonts w:eastAsia="Calibri"/>
                <w:b/>
                <w:sz w:val="20"/>
                <w:szCs w:val="20"/>
                <w:lang w:val="sr-Cyrl-RS" w:eastAsia="zh-CN"/>
              </w:rPr>
              <w:t>ПРОГРАМ 3.5.1. ИЗГРАДЊА САОБРАЋАЈНИЦА, МОСТОВА, ПАРКИНГ ПРОСТОРА, ПЈЕШАЧКИХ И БИЦИКЛИСТИЧКИХ СТАЗА</w:t>
            </w:r>
          </w:p>
        </w:tc>
        <w:tc>
          <w:tcPr>
            <w:tcW w:w="4341" w:type="dxa"/>
            <w:tcBorders>
              <w:top w:val="single" w:color="000000" w:sz="4" w:space="0"/>
              <w:left w:val="single" w:color="000000" w:sz="4" w:space="0"/>
              <w:bottom w:val="single" w:color="000000" w:sz="4" w:space="0"/>
              <w:right w:val="single" w:color="000000" w:sz="4" w:space="0"/>
            </w:tcBorders>
          </w:tcPr>
          <w:p>
            <w:pPr>
              <w:pStyle w:val="53"/>
              <w:rPr>
                <w:rFonts w:cs="Calibri" w:asciiTheme="minorHAnsi" w:hAnsiTheme="minorHAnsi"/>
                <w:sz w:val="20"/>
                <w:szCs w:val="20"/>
              </w:rPr>
            </w:pPr>
            <w:r>
              <w:rPr>
                <w:rFonts w:ascii="Calibri" w:hAnsi="Calibri" w:cs="Times New Roman"/>
                <w:sz w:val="20"/>
                <w:lang w:val="sr-Cyrl-RS"/>
              </w:rPr>
              <w:t xml:space="preserve">П. 3.5.1.1. Изградња модернизација, реконструкција и инвестиционо одржавање градске уличне мреже </w:t>
            </w:r>
            <w:r>
              <w:rPr>
                <w:rFonts w:ascii="Calibri" w:hAnsi="Calibri"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cs="Times New Roman"/>
                <w:sz w:val="20"/>
                <w:lang w:val="sr-Cyrl-RS"/>
              </w:rPr>
            </w:pPr>
            <w:r>
              <w:rPr>
                <w:rFonts w:ascii="Calibri" w:hAnsi="Calibri" w:cs="Times New Roman"/>
                <w:sz w:val="20"/>
                <w:lang w:val="sr-Cyrl-RS"/>
              </w:rPr>
              <w:t xml:space="preserve">П. 3.5.1.2. Изградња саобраћајне инфраструктуре у приградском подручју </w:t>
            </w:r>
          </w:p>
          <w:p>
            <w:pPr>
              <w:pStyle w:val="53"/>
              <w:rPr>
                <w:rFonts w:asciiTheme="minorHAnsi" w:hAnsiTheme="minorHAnsi"/>
                <w:bCs/>
                <w:sz w:val="20"/>
                <w:szCs w:val="20"/>
                <w:lang w:val="sr-Cyrl-RS"/>
              </w:rPr>
            </w:pPr>
            <w:r>
              <w:rPr>
                <w:rFonts w:ascii="Calibri" w:hAnsi="Calibri"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rPr>
            </w:pPr>
            <w:r>
              <w:rPr>
                <w:sz w:val="20"/>
                <w:lang w:val="sr-Cyrl-RS"/>
              </w:rPr>
              <w:t xml:space="preserve">П.3.5.1.3. Изградња Источног транзита </w:t>
            </w:r>
          </w:p>
          <w:p>
            <w:pPr>
              <w:pStyle w:val="53"/>
              <w:rPr>
                <w:rFonts w:asciiTheme="minorHAnsi" w:hAnsiTheme="minorHAnsi"/>
                <w:bCs/>
                <w:sz w:val="20"/>
                <w:szCs w:val="20"/>
                <w:lang w:val="sr-Cyrl-RS"/>
              </w:rPr>
            </w:pPr>
            <w:r>
              <w:rPr>
                <w:rFonts w:ascii="Calibri" w:hAnsi="Calibri" w:cs="Calibri"/>
                <w:sz w:val="20"/>
                <w:lang w:val="bs-Latn-BA"/>
              </w:rPr>
              <w:t>(2018-20</w:t>
            </w:r>
            <w:r>
              <w:rPr>
                <w:rFonts w:ascii="Calibri" w:hAnsi="Calibri" w:cs="Calibri"/>
                <w:sz w:val="20"/>
                <w:lang w:val="sr-Cyrl-CS"/>
              </w:rPr>
              <w:t>19</w:t>
            </w:r>
            <w:r>
              <w:rPr>
                <w:rFonts w:ascii="Calibri" w:hAnsi="Calibri" w:cs="Calibri"/>
                <w:sz w:val="20"/>
                <w:lang w:val="bs-Latn-B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Theme="minorHAnsi" w:hAnsiTheme="minorHAnsi"/>
                <w:bCs/>
                <w:sz w:val="20"/>
                <w:szCs w:val="20"/>
                <w:lang w:val="sr-Cyrl-RS"/>
              </w:rPr>
            </w:pPr>
            <w:r>
              <w:rPr>
                <w:rFonts w:ascii="Calibri" w:hAnsi="Calibri" w:cs="Times New Roman"/>
                <w:sz w:val="20"/>
                <w:lang w:val="sr-Cyrl-RS"/>
              </w:rPr>
              <w:t xml:space="preserve">П. 3.5.1.4. Изградња мостова на подручју града </w:t>
            </w:r>
            <w:r>
              <w:rPr>
                <w:rFonts w:ascii="Calibri" w:hAnsi="Calibri"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cs="Times New Roman"/>
                <w:sz w:val="20"/>
                <w:lang w:val="sr-Cyrl-RS"/>
              </w:rPr>
            </w:pPr>
            <w:r>
              <w:rPr>
                <w:rFonts w:ascii="Calibri" w:hAnsi="Calibri" w:cs="Times New Roman"/>
                <w:sz w:val="20"/>
                <w:lang w:val="sr-Cyrl-RS"/>
              </w:rPr>
              <w:t xml:space="preserve">П. 3.5.1.5. Изградња гаражног и паркинг простора и имплементација Студије гаражног и паркинг простора на подручју Града </w:t>
            </w:r>
          </w:p>
          <w:p>
            <w:pPr>
              <w:pStyle w:val="53"/>
              <w:rPr>
                <w:rFonts w:asciiTheme="minorHAnsi" w:hAnsiTheme="minorHAnsi"/>
                <w:bCs/>
                <w:sz w:val="20"/>
                <w:szCs w:val="20"/>
                <w:lang w:val="sr-Cyrl-RS"/>
              </w:rPr>
            </w:pPr>
            <w:r>
              <w:rPr>
                <w:rFonts w:ascii="Calibri" w:hAnsi="Calibri"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Theme="minorHAnsi" w:hAnsiTheme="minorHAnsi"/>
                <w:bCs/>
                <w:sz w:val="20"/>
                <w:szCs w:val="20"/>
                <w:lang w:val="sr-Cyrl-RS"/>
              </w:rPr>
            </w:pPr>
            <w:r>
              <w:rPr>
                <w:rFonts w:ascii="Calibri" w:hAnsi="Calibri" w:cs="Times New Roman"/>
                <w:sz w:val="20"/>
                <w:lang w:val="sr-Cyrl-RS"/>
              </w:rPr>
              <w:t xml:space="preserve">П. 3.5.1.6. Изградња кружних раскрсница на територији Града Бања Лука </w:t>
            </w:r>
            <w:r>
              <w:rPr>
                <w:rFonts w:ascii="Calibri" w:hAnsi="Calibri"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Theme="minorHAnsi" w:hAnsiTheme="minorHAnsi"/>
                <w:bCs/>
                <w:sz w:val="20"/>
                <w:szCs w:val="20"/>
                <w:lang w:val="sr-Cyrl-RS"/>
              </w:rPr>
            </w:pPr>
            <w:r>
              <w:rPr>
                <w:rFonts w:ascii="Calibri" w:hAnsi="Calibri" w:cs="Times New Roman"/>
                <w:sz w:val="20"/>
                <w:lang w:val="sr-Cyrl-RS"/>
              </w:rPr>
              <w:t>П. 3.5.1.</w:t>
            </w:r>
            <w:r>
              <w:rPr>
                <w:rFonts w:ascii="Calibri" w:hAnsi="Calibri" w:cs="Times New Roman"/>
                <w:sz w:val="20"/>
                <w:lang w:val="sr-Latn-RS"/>
              </w:rPr>
              <w:t>7</w:t>
            </w:r>
            <w:r>
              <w:rPr>
                <w:rFonts w:ascii="Calibri" w:hAnsi="Calibri" w:cs="Times New Roman"/>
                <w:sz w:val="20"/>
                <w:lang w:val="sr-Cyrl-RS"/>
              </w:rPr>
              <w:t xml:space="preserve">. Изградња пјешачких и бициклистичких стаза на територији Града Бања Лука </w:t>
            </w:r>
            <w:r>
              <w:rPr>
                <w:rFonts w:ascii="Calibri" w:hAnsi="Calibri"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Theme="minorHAnsi" w:hAnsiTheme="minorHAnsi"/>
                <w:sz w:val="20"/>
                <w:szCs w:val="20"/>
                <w:lang w:val="sr-Cyrl-RS"/>
              </w:rPr>
            </w:pPr>
            <w:r>
              <w:rPr>
                <w:rFonts w:ascii="Calibri" w:hAnsi="Calibri" w:cs="Times New Roman"/>
                <w:sz w:val="20"/>
                <w:lang w:val="sr-Cyrl-RS"/>
              </w:rPr>
              <w:t>П. 3.5.1.8. Изградња, реконструкција и модернизација локалних и некатегорисаних путева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 xml:space="preserve">ПРОГРАМ 3.6.1. </w:t>
            </w:r>
            <w:r>
              <w:rPr>
                <w:rFonts w:cs="Cambria"/>
                <w:b/>
                <w:bCs/>
                <w:sz w:val="20"/>
                <w:szCs w:val="20"/>
                <w:lang w:val="sr-Cyrl-RS" w:eastAsia="bs-Latn-BA"/>
              </w:rPr>
              <w:t>ОЧУВАЊЕ СТАНИШТА И БИОЛОШКЕ РАЗНОВРСНОСТИ</w:t>
            </w:r>
          </w:p>
        </w:tc>
        <w:tc>
          <w:tcPr>
            <w:tcW w:w="434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rPr>
                <w:rFonts w:cs="Trebuchet MS"/>
                <w:bCs/>
                <w:sz w:val="20"/>
                <w:lang w:val="sr-Cyrl-RS" w:eastAsia="bs-Latn-BA"/>
              </w:rPr>
            </w:pPr>
            <w:r>
              <w:rPr>
                <w:rFonts w:cs="Trebuchet MS"/>
                <w:bCs/>
                <w:sz w:val="20"/>
                <w:lang w:val="sr-Cyrl-RS" w:eastAsia="hr-HR"/>
              </w:rPr>
              <w:t xml:space="preserve">П. 3.6.1.1. </w:t>
            </w:r>
            <w:r>
              <w:rPr>
                <w:rFonts w:cs="Trebuchet MS"/>
                <w:bCs/>
                <w:sz w:val="20"/>
                <w:lang w:val="sr-Cyrl-RS" w:eastAsia="bs-Latn-BA"/>
              </w:rPr>
              <w:t xml:space="preserve">Проглашење и уређење нових заштићених подручја на подручју Града </w:t>
            </w:r>
          </w:p>
          <w:p>
            <w:pPr>
              <w:pStyle w:val="53"/>
              <w:rPr>
                <w:rFonts w:ascii="Calibri" w:hAnsi="Calibri" w:cs="Calibri"/>
                <w:color w:val="auto"/>
                <w:sz w:val="20"/>
                <w:szCs w:val="20"/>
                <w:lang w:val="sr-Cyrl-RS"/>
              </w:rPr>
            </w:pPr>
            <w:r>
              <w:rPr>
                <w:rFonts w:ascii="Calibri" w:hAnsi="Calibri" w:cs="Calibri"/>
                <w:sz w:val="20"/>
              </w:rPr>
              <w:t>(201</w:t>
            </w:r>
            <w:r>
              <w:rPr>
                <w:rFonts w:ascii="Calibri" w:hAnsi="Calibri" w:cs="Calibri"/>
                <w:sz w:val="20"/>
                <w:lang w:val="sr-Cyrl-CS"/>
              </w:rPr>
              <w:t>9</w:t>
            </w:r>
            <w:r>
              <w:rPr>
                <w:rFonts w:ascii="Calibri" w:hAnsi="Calibri" w:cs="Calibri"/>
                <w:sz w:val="20"/>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46"/>
              <w:ind w:left="0"/>
              <w:jc w:val="left"/>
              <w:rPr>
                <w:bCs/>
                <w:sz w:val="20"/>
                <w:szCs w:val="20"/>
                <w:lang w:val="sr-Cyrl-RS"/>
              </w:rPr>
            </w:pPr>
            <w:r>
              <w:rPr>
                <w:rFonts w:eastAsia="Calibri"/>
                <w:bCs/>
                <w:sz w:val="20"/>
                <w:lang w:val="sr-Cyrl-RS" w:eastAsia="zh-CN"/>
              </w:rPr>
              <w:t xml:space="preserve">П. 3.6.1.2. Валоризација природних вриједности на подручју Града Бања Лука (2019-2022.)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46"/>
              <w:ind w:left="0"/>
              <w:jc w:val="left"/>
              <w:rPr>
                <w:bCs/>
                <w:sz w:val="20"/>
                <w:szCs w:val="20"/>
                <w:lang w:val="sr-Cyrl-CS"/>
              </w:rPr>
            </w:pPr>
            <w:r>
              <w:rPr>
                <w:rFonts w:eastAsia="Calibri"/>
                <w:bCs/>
                <w:sz w:val="20"/>
                <w:lang w:val="sr-Cyrl-RS" w:eastAsia="zh-CN"/>
              </w:rPr>
              <w:t xml:space="preserve">П. 3.6.1.3. </w:t>
            </w:r>
            <w:r>
              <w:rPr>
                <w:rFonts w:eastAsia="Calibri"/>
                <w:bCs/>
                <w:sz w:val="20"/>
                <w:lang w:val="bs-Latn-BA" w:eastAsia="zh-CN"/>
              </w:rPr>
              <w:t>Изградња</w:t>
            </w:r>
            <w:r>
              <w:rPr>
                <w:rFonts w:eastAsia="Calibri"/>
                <w:bCs/>
                <w:sz w:val="20"/>
                <w:lang w:val="sr-Cyrl-RS" w:eastAsia="zh-CN"/>
              </w:rPr>
              <w:t xml:space="preserve"> </w:t>
            </w:r>
            <w:r>
              <w:rPr>
                <w:rFonts w:eastAsia="Calibri"/>
                <w:bCs/>
                <w:sz w:val="20"/>
                <w:lang w:val="bs-Latn-BA" w:eastAsia="zh-CN"/>
              </w:rPr>
              <w:t>А</w:t>
            </w:r>
            <w:r>
              <w:rPr>
                <w:rFonts w:eastAsia="Calibri"/>
                <w:bCs/>
                <w:sz w:val="20"/>
                <w:lang w:val="sr-Cyrl-RS" w:eastAsia="zh-CN"/>
              </w:rPr>
              <w:t>р</w:t>
            </w:r>
            <w:r>
              <w:rPr>
                <w:rFonts w:eastAsia="Calibri"/>
                <w:bCs/>
                <w:sz w:val="20"/>
                <w:lang w:val="bs-Latn-BA" w:eastAsia="zh-CN"/>
              </w:rPr>
              <w:t>боретума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3.6.2. ИЗГРАДЊА НОВИХ И OДРЖАВАЊЕ И</w:t>
            </w:r>
            <w:r>
              <w:rPr>
                <w:b/>
                <w:bCs/>
                <w:sz w:val="20"/>
                <w:szCs w:val="20"/>
                <w:lang w:val="sr-Cyrl-RS" w:eastAsia="bs-Latn-BA"/>
              </w:rPr>
              <w:t xml:space="preserve"> </w:t>
            </w:r>
            <w:r>
              <w:rPr>
                <w:b/>
                <w:sz w:val="20"/>
                <w:szCs w:val="20"/>
                <w:lang w:val="sr-Cyrl-RS"/>
              </w:rPr>
              <w:t>У</w:t>
            </w:r>
            <w:r>
              <w:rPr>
                <w:b/>
                <w:bCs/>
                <w:sz w:val="20"/>
                <w:szCs w:val="20"/>
                <w:lang w:val="sr-Cyrl-RS" w:eastAsia="bs-Latn-BA"/>
              </w:rPr>
              <w:t xml:space="preserve">РЕЂЕЊЕ ПОСТОЈЕЋИХ </w:t>
            </w:r>
            <w:r>
              <w:rPr>
                <w:b/>
                <w:sz w:val="20"/>
                <w:szCs w:val="20"/>
                <w:lang w:val="sr-Cyrl-RS"/>
              </w:rPr>
              <w:t>ПАРКОВСКИХ, ЗЕЛЕНИХ И ДРУГИХ  ЈАВНИХ  ПОВРШИНА</w:t>
            </w:r>
          </w:p>
        </w:tc>
        <w:tc>
          <w:tcPr>
            <w:tcW w:w="434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rPr>
                <w:sz w:val="20"/>
                <w:lang w:val="sr-Cyrl-RS" w:eastAsia="hr-HR"/>
              </w:rPr>
            </w:pPr>
            <w:r>
              <w:rPr>
                <w:rFonts w:cs="Trebuchet MS"/>
                <w:bCs/>
                <w:sz w:val="20"/>
                <w:lang w:val="sr-Cyrl-RS" w:eastAsia="hr-HR"/>
              </w:rPr>
              <w:t xml:space="preserve">П. 3.6.2.1. </w:t>
            </w:r>
            <w:r>
              <w:rPr>
                <w:rFonts w:cs="Trebuchet MS"/>
                <w:bCs/>
                <w:sz w:val="20"/>
                <w:lang w:val="sr-Cyrl-RS" w:eastAsia="bs-Latn-BA"/>
              </w:rPr>
              <w:t>Уређење постојећих и изградња нових јавних зелених површина</w:t>
            </w:r>
            <w:r>
              <w:rPr>
                <w:sz w:val="20"/>
                <w:lang w:val="sr-Cyrl-RS" w:eastAsia="hr-HR"/>
              </w:rPr>
              <w:t xml:space="preserve"> и паркова</w:t>
            </w:r>
          </w:p>
          <w:p>
            <w:pPr>
              <w:pStyle w:val="53"/>
              <w:rPr>
                <w:rFonts w:ascii="Calibri" w:hAnsi="Calibri" w:cs="Calibri"/>
                <w:color w:val="auto"/>
                <w:sz w:val="20"/>
                <w:szCs w:val="20"/>
                <w:lang w:val="sr-Cyrl-RS"/>
              </w:rPr>
            </w:pPr>
            <w:r>
              <w:rPr>
                <w:rFonts w:ascii="Calibri" w:hAnsi="Calibri" w:cs="Times New Roman"/>
                <w:sz w:val="20"/>
                <w:lang w:val="sr-Cyrl-RS"/>
              </w:rPr>
              <w:t xml:space="preserve"> </w:t>
            </w:r>
            <w:r>
              <w:rPr>
                <w:rFonts w:ascii="Calibri" w:hAnsi="Calibri" w:cs="Calibri"/>
                <w:sz w:val="20"/>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1"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3"/>
              <w:rPr>
                <w:rFonts w:ascii="Calibri" w:hAnsi="Calibri"/>
                <w:bCs/>
                <w:sz w:val="20"/>
                <w:szCs w:val="20"/>
                <w:lang w:val="sr-Cyrl-RS"/>
              </w:rPr>
            </w:pPr>
            <w:r>
              <w:rPr>
                <w:rFonts w:ascii="Calibri" w:hAnsi="Calibri"/>
                <w:bCs/>
                <w:sz w:val="20"/>
                <w:lang w:val="sr-Cyrl-RS"/>
              </w:rPr>
              <w:t>П. 3.6.2.2. Уређење обала Врбаса (2020-2022)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rPr>
                <w:rFonts w:cs="Trebuchet MS"/>
                <w:bCs/>
                <w:sz w:val="20"/>
                <w:lang w:val="sr-Cyrl-RS" w:eastAsia="hr-HR"/>
              </w:rPr>
            </w:pPr>
            <w:r>
              <w:rPr>
                <w:rFonts w:cs="Trebuchet MS"/>
                <w:bCs/>
                <w:sz w:val="20"/>
                <w:lang w:val="sr-Cyrl-RS" w:eastAsia="hr-HR"/>
              </w:rPr>
              <w:t xml:space="preserve">П. 3.6.2.3. Израда студија и катастра зеленила </w:t>
            </w:r>
          </w:p>
          <w:p>
            <w:pPr>
              <w:pStyle w:val="53"/>
              <w:rPr>
                <w:rFonts w:ascii="Calibri" w:hAnsi="Calibri"/>
                <w:bCs/>
                <w:sz w:val="20"/>
                <w:szCs w:val="20"/>
                <w:lang w:val="sr-Cyrl-RS"/>
              </w:rPr>
            </w:pPr>
            <w:r>
              <w:rPr>
                <w:rFonts w:ascii="Calibri" w:hAnsi="Calibri" w:cs="Calibri"/>
                <w:sz w:val="20"/>
              </w:rPr>
              <w:t>(201</w:t>
            </w:r>
            <w:r>
              <w:rPr>
                <w:rFonts w:ascii="Calibri" w:hAnsi="Calibri" w:cs="Calibri"/>
                <w:sz w:val="20"/>
                <w:lang w:val="sr-Cyrl-CS"/>
              </w:rPr>
              <w:t>9</w:t>
            </w:r>
            <w:r>
              <w:rPr>
                <w:rFonts w:ascii="Calibri" w:hAnsi="Calibri" w:cs="Calibri"/>
                <w:sz w:val="20"/>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5"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spacing w:after="120"/>
              <w:rPr>
                <w:bCs/>
                <w:sz w:val="20"/>
                <w:szCs w:val="20"/>
                <w:lang w:val="sr-Cyrl-RS"/>
              </w:rPr>
            </w:pPr>
            <w:r>
              <w:rPr>
                <w:bCs/>
                <w:sz w:val="20"/>
                <w:lang w:val="sr-Cyrl-RS"/>
              </w:rPr>
              <w:t xml:space="preserve">П 3.6.2.4. Едукација грађана о заштити животне средине и подизању еколошке свијести </w:t>
            </w: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rPr>
            </w:pPr>
            <w:r>
              <w:rPr>
                <w:sz w:val="20"/>
                <w:lang w:val="sr-Cyrl-RS"/>
              </w:rPr>
              <w:t xml:space="preserve">П 3.6.2.5. Изградња градских тргова </w:t>
            </w:r>
          </w:p>
          <w:p>
            <w:pPr>
              <w:rPr>
                <w:sz w:val="20"/>
                <w:szCs w:val="20"/>
                <w:lang w:val="sr-Cyrl-RS"/>
              </w:rPr>
            </w:pP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lang w:val="sr-Cyrl-RS"/>
              </w:rPr>
            </w:pPr>
            <w:r>
              <w:rPr>
                <w:sz w:val="20"/>
                <w:lang w:val="sr-Cyrl-RS"/>
              </w:rPr>
              <w:t xml:space="preserve">М 3.6.2.6. Мале интервенције у простору </w:t>
            </w:r>
          </w:p>
          <w:p>
            <w:pPr>
              <w:rPr>
                <w:rFonts w:cs="Calibri"/>
                <w:sz w:val="20"/>
                <w:lang w:val="bs-Latn-BA"/>
              </w:rPr>
            </w:pP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rPr>
            </w:pPr>
            <w:r>
              <w:rPr>
                <w:sz w:val="20"/>
                <w:lang w:val="sr-Cyrl-RS"/>
              </w:rPr>
              <w:t xml:space="preserve">П. </w:t>
            </w:r>
            <w:r>
              <w:rPr>
                <w:sz w:val="20"/>
              </w:rPr>
              <w:t>3</w:t>
            </w:r>
            <w:r>
              <w:rPr>
                <w:sz w:val="20"/>
                <w:lang w:val="sr-Cyrl-RS"/>
              </w:rPr>
              <w:t>.6.2.</w:t>
            </w:r>
            <w:r>
              <w:rPr>
                <w:sz w:val="20"/>
              </w:rPr>
              <w:t>7</w:t>
            </w:r>
            <w:r>
              <w:rPr>
                <w:sz w:val="20"/>
                <w:lang w:val="sr-Cyrl-RS"/>
              </w:rPr>
              <w:t xml:space="preserve">. Изградња градског гробља </w:t>
            </w:r>
          </w:p>
          <w:p>
            <w:pPr>
              <w:rPr>
                <w:bCs/>
                <w:sz w:val="20"/>
                <w:szCs w:val="20"/>
                <w:lang w:val="sr-Cyrl-RS"/>
              </w:rPr>
            </w:pPr>
            <w:r>
              <w:rPr>
                <w:sz w:val="20"/>
                <w:lang w:val="sr-Cyrl-RS"/>
              </w:rPr>
              <w:t>(друга фаза изградње) (2020-2022.)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3.7.1. ПРЕВЕНТИВНО ДЈЕЛОВАЊЕ И ПРИПРЕМА ЗА ЕФИКАСНО РЕАГОВАЊЕ У УСЛОВИМА ПРИРОДНИХ  И ДРУГИХ НЕПОГОДА</w:t>
            </w: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lang w:val="sr-Cyrl-RS" w:eastAsia="sr-Latn-CS"/>
              </w:rPr>
              <w:t>П. 3.7.1.1. Опремање и обука Градског штаба за ванредне ситуације (</w:t>
            </w:r>
            <w:r>
              <w:rPr>
                <w:rFonts w:cs="Calibri"/>
                <w:sz w:val="20"/>
                <w:lang w:eastAsia="sr-Latn-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4"/>
              <w:rPr>
                <w:bCs/>
                <w:sz w:val="20"/>
                <w:lang w:val="sr-Cyrl-RS" w:eastAsia="sr-Latn-CS"/>
              </w:rPr>
            </w:pPr>
            <w:r>
              <w:rPr>
                <w:bCs/>
                <w:sz w:val="20"/>
                <w:lang w:val="sr-Cyrl-RS" w:eastAsia="sr-Latn-CS"/>
              </w:rPr>
              <w:t xml:space="preserve">П. 3.7.1.2. Доградња система за обавјештавање и узбуњивање грађана о надолазећој опасности на подручју Града Бања Лука </w:t>
            </w:r>
          </w:p>
          <w:p>
            <w:pPr>
              <w:pStyle w:val="54"/>
              <w:rPr>
                <w:bCs/>
                <w:sz w:val="20"/>
                <w:szCs w:val="20"/>
                <w:lang w:val="sr-Cyrl-RS"/>
              </w:rPr>
            </w:pPr>
            <w:r>
              <w:rPr>
                <w:rFonts w:cs="Calibri"/>
                <w:sz w:val="20"/>
                <w:lang w:eastAsia="sr-Latn-CS"/>
              </w:rPr>
              <w:t>(201</w:t>
            </w:r>
            <w:r>
              <w:rPr>
                <w:rFonts w:cs="Calibri"/>
                <w:sz w:val="20"/>
                <w:lang w:val="sr-Cyrl-CS" w:eastAsia="sr-Latn-CS"/>
              </w:rPr>
              <w:t>9</w:t>
            </w:r>
            <w:r>
              <w:rPr>
                <w:rFonts w:cs="Calibri"/>
                <w:sz w:val="20"/>
                <w:lang w:eastAsia="sr-Latn-CS"/>
              </w:rPr>
              <w:t>-2020.)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lang w:val="sr-Cyrl-RS" w:eastAsia="sr-Latn-CS"/>
              </w:rPr>
              <w:t xml:space="preserve">П 3.7.1.3. </w:t>
            </w:r>
            <w:r>
              <w:rPr>
                <w:sz w:val="20"/>
                <w:lang w:val="sr-Cyrl-RS" w:eastAsia="sr-Latn-CS"/>
              </w:rPr>
              <w:t xml:space="preserve">Главни пројекат уређења водног режима и корита ријеке Врбас кроз урбано подручје Града Бањалуке </w:t>
            </w:r>
            <w:r>
              <w:rPr>
                <w:rFonts w:cs="Calibri"/>
                <w:sz w:val="20"/>
                <w:lang w:eastAsia="sr-Latn-CS"/>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bCs/>
                <w:sz w:val="20"/>
                <w:lang w:val="sr-Latn-RS"/>
              </w:rPr>
              <w:t>M.</w:t>
            </w:r>
            <w:r>
              <w:rPr>
                <w:bCs/>
                <w:sz w:val="20"/>
                <w:lang w:val="sr-Cyrl-RS"/>
              </w:rPr>
              <w:t xml:space="preserve"> 3.7.1.</w:t>
            </w:r>
            <w:r>
              <w:rPr>
                <w:bCs/>
                <w:sz w:val="20"/>
                <w:lang w:val="sr-Latn-RS"/>
              </w:rPr>
              <w:t>4</w:t>
            </w:r>
            <w:r>
              <w:rPr>
                <w:bCs/>
                <w:sz w:val="20"/>
                <w:lang w:val="sr-Cyrl-RS"/>
              </w:rPr>
              <w:t xml:space="preserve">. </w:t>
            </w:r>
            <w:r>
              <w:rPr>
                <w:sz w:val="20"/>
                <w:lang w:val="sr-Cyrl-RS"/>
              </w:rPr>
              <w:t xml:space="preserve">Регулација осталих водотокова на територији града Бања Лука </w:t>
            </w: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CS"/>
              </w:rPr>
            </w:pPr>
            <w:r>
              <w:rPr>
                <w:bCs/>
                <w:sz w:val="20"/>
                <w:lang w:val="sr-Cyrl-CS"/>
              </w:rPr>
              <w:t>М. 3.7.1.5. Санација клизишта на подручју града</w:t>
            </w:r>
          </w:p>
          <w:p>
            <w:pPr>
              <w:rPr>
                <w:bCs/>
                <w:sz w:val="20"/>
                <w:szCs w:val="20"/>
                <w:lang w:val="sr-Cyrl-CS"/>
              </w:rPr>
            </w:pPr>
            <w:r>
              <w:rPr>
                <w:bCs/>
                <w:sz w:val="20"/>
                <w:lang w:val="sr-Cyrl-CS"/>
              </w:rPr>
              <w:t>(2019-2022)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highlight w:val="yellow"/>
                <w:lang w:val="sr-Cyrl-CS"/>
              </w:rPr>
            </w:pPr>
            <w:r>
              <w:rPr>
                <w:bCs/>
                <w:sz w:val="20"/>
                <w:lang w:val="sr-Cyrl-CS"/>
              </w:rPr>
              <w:t xml:space="preserve">М. 3.7.1.6. </w:t>
            </w:r>
            <w:r>
              <w:rPr>
                <w:bCs/>
                <w:sz w:val="20"/>
                <w:lang w:val="sr-Cyrl-RS"/>
              </w:rPr>
              <w:t>Провођење кампање о значају цивилне и противпожарне заштите (2018-2022)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CS"/>
              </w:rPr>
            </w:pPr>
            <w:r>
              <w:rPr>
                <w:bCs/>
                <w:sz w:val="20"/>
                <w:lang w:val="sr-Cyrl-CS"/>
              </w:rPr>
              <w:t>П. 3.7.1.7. Израда Плана комуникације у условима природних и других непогода и ванредним ситуацијама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restart"/>
            <w:tcBorders>
              <w:left w:val="single" w:color="000000" w:sz="4" w:space="0"/>
              <w:right w:val="single" w:color="000000" w:sz="4" w:space="0"/>
            </w:tcBorders>
            <w:vAlign w:val="center"/>
          </w:tcPr>
          <w:p>
            <w:pPr>
              <w:pStyle w:val="46"/>
              <w:spacing w:before="0" w:line="240" w:lineRule="auto"/>
              <w:ind w:left="0"/>
              <w:jc w:val="left"/>
              <w:rPr>
                <w:b/>
                <w:sz w:val="20"/>
                <w:szCs w:val="20"/>
                <w:lang w:val="sr-Cyrl-RS"/>
              </w:rPr>
            </w:pPr>
            <w:r>
              <w:rPr>
                <w:b/>
                <w:sz w:val="20"/>
                <w:szCs w:val="20"/>
                <w:lang w:val="sr-Cyrl-RS"/>
              </w:rPr>
              <w:t>ПРОГРАМ 3.7.2. ЈАЧАЊЕ КАПАЦИТЕТА И ИЗГРАДЊА ИНФРАСТРУКТУРЕ ЗА СПАШАВАЊЕ У СЛУЧАЈУ ПРИРОДНИХ И ДРУГИХ НЕПОГОДА</w:t>
            </w:r>
          </w:p>
        </w:tc>
        <w:tc>
          <w:tcPr>
            <w:tcW w:w="4341" w:type="dxa"/>
            <w:tcBorders>
              <w:top w:val="single" w:color="000000" w:sz="4" w:space="0"/>
              <w:left w:val="single" w:color="000000" w:sz="4" w:space="0"/>
              <w:bottom w:val="single" w:color="000000" w:sz="4" w:space="0"/>
              <w:right w:val="single" w:color="000000" w:sz="4" w:space="0"/>
            </w:tcBorders>
          </w:tcPr>
          <w:p>
            <w:pPr>
              <w:pStyle w:val="54"/>
              <w:rPr>
                <w:bCs/>
                <w:sz w:val="20"/>
                <w:szCs w:val="20"/>
                <w:lang w:val="sr-Cyrl-RS"/>
              </w:rPr>
            </w:pPr>
            <w:r>
              <w:rPr>
                <w:bCs/>
                <w:sz w:val="20"/>
                <w:lang w:val="sr-Cyrl-RS" w:eastAsia="sr-Latn-CS"/>
              </w:rPr>
              <w:t>П. 3.7.2.1 Унапријеђење организационих капацитета и људских ресурса у области цивилне и противпожарне заштите (2018-2019)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RS" w:eastAsia="sr-Latn-CS"/>
              </w:rPr>
            </w:pPr>
            <w:r>
              <w:rPr>
                <w:bCs/>
                <w:sz w:val="20"/>
                <w:lang w:val="sr-Cyrl-RS" w:eastAsia="sr-Latn-CS"/>
              </w:rPr>
              <w:t xml:space="preserve">П. 3.7.2.2. Израда интерактивне мапе ризика за подручје Града </w:t>
            </w:r>
          </w:p>
          <w:p>
            <w:pPr>
              <w:pStyle w:val="54"/>
              <w:rPr>
                <w:bCs/>
                <w:sz w:val="20"/>
                <w:szCs w:val="20"/>
                <w:lang w:val="sr-Cyrl-RS"/>
              </w:rPr>
            </w:pPr>
            <w:r>
              <w:rPr>
                <w:bCs/>
                <w:sz w:val="20"/>
                <w:lang w:val="sr-Cyrl-RS" w:eastAsia="sr-Latn-CS"/>
              </w:rPr>
              <w:t>(2020-2022)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4"/>
              <w:rPr>
                <w:bCs/>
                <w:sz w:val="20"/>
                <w:szCs w:val="20"/>
                <w:lang w:val="sr-Cyrl-RS"/>
              </w:rPr>
            </w:pPr>
            <w:r>
              <w:rPr>
                <w:bCs/>
                <w:sz w:val="20"/>
                <w:lang w:val="sr-Cyrl-RS" w:eastAsia="sr-Latn-CS"/>
              </w:rPr>
              <w:t xml:space="preserve">П. 3.7.2.3. </w:t>
            </w:r>
            <w:r>
              <w:rPr>
                <w:sz w:val="20"/>
                <w:lang w:val="sr-Cyrl-CS" w:eastAsia="sr-Latn-CS"/>
              </w:rPr>
              <w:t>Изградња монтажно-демонтажног објекта намјене магацински простор и центра за обуку за потребе Цивилне заштите и ПТВЈ (2018-2020)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pStyle w:val="54"/>
              <w:rPr>
                <w:sz w:val="20"/>
                <w:lang w:val="sr-Cyrl-RS" w:eastAsia="sr-Latn-CS"/>
              </w:rPr>
            </w:pPr>
            <w:r>
              <w:rPr>
                <w:bCs/>
                <w:sz w:val="20"/>
                <w:lang w:val="sr-Cyrl-RS" w:eastAsia="sr-Latn-CS"/>
              </w:rPr>
              <w:t>П. 3.7.2.4. Опремање специјализованих јединица и тимова Цивилне заштите</w:t>
            </w:r>
            <w:r>
              <w:rPr>
                <w:sz w:val="20"/>
                <w:lang w:val="sr-Cyrl-RS" w:eastAsia="sr-Latn-CS"/>
              </w:rPr>
              <w:t xml:space="preserve"> </w:t>
            </w:r>
          </w:p>
          <w:p>
            <w:pPr>
              <w:pStyle w:val="54"/>
              <w:rPr>
                <w:bCs/>
                <w:sz w:val="20"/>
                <w:szCs w:val="20"/>
                <w:lang w:val="sr-Cyrl-RS"/>
              </w:rPr>
            </w:pPr>
            <w:r>
              <w:rPr>
                <w:rFonts w:cs="Calibri"/>
                <w:sz w:val="20"/>
                <w:lang w:eastAsia="sr-Latn-CS"/>
              </w:rPr>
              <w:t>(201</w:t>
            </w:r>
            <w:r>
              <w:rPr>
                <w:rFonts w:cs="Calibri"/>
                <w:sz w:val="20"/>
                <w:lang w:val="sr-Cyrl-CS" w:eastAsia="sr-Latn-CS"/>
              </w:rPr>
              <w:t>8</w:t>
            </w:r>
            <w:r>
              <w:rPr>
                <w:rFonts w:cs="Calibri"/>
                <w:sz w:val="20"/>
                <w:lang w:eastAsia="sr-Latn-CS"/>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bCs/>
                <w:sz w:val="20"/>
                <w:lang w:val="sr-Cyrl-RS"/>
              </w:rPr>
              <w:t>П. 3.7.2.5. Обучавање структура Цивилне заштите</w:t>
            </w:r>
            <w:r>
              <w:rPr>
                <w:sz w:val="20"/>
                <w:lang w:val="sr-Cyrl-RS"/>
              </w:rPr>
              <w:t xml:space="preserve"> </w:t>
            </w:r>
            <w:r>
              <w:rPr>
                <w:rFonts w:cs="Calibri"/>
                <w:sz w:val="20"/>
                <w:lang w:val="bs-Latn-BA"/>
              </w:rPr>
              <w:t>(201</w:t>
            </w:r>
            <w:r>
              <w:rPr>
                <w:rFonts w:cs="Calibri"/>
                <w:sz w:val="20"/>
                <w:lang w:val="sr-Cyrl-CS"/>
              </w:rPr>
              <w:t>9</w:t>
            </w:r>
            <w:r>
              <w:rPr>
                <w:rFonts w:cs="Calibri"/>
                <w:sz w:val="20"/>
                <w:lang w:val="bs-Latn-BA"/>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sz w:val="20"/>
                <w:szCs w:val="20"/>
                <w:lang w:val="sr-Cyrl-RS"/>
              </w:rPr>
            </w:pPr>
            <w:r>
              <w:rPr>
                <w:bCs/>
                <w:sz w:val="20"/>
                <w:lang w:val="sr-Cyrl-RS"/>
              </w:rPr>
              <w:t>М. 3.7.2.6. Утврђивање здравствене способности грађана за учешће у заштити и спашавању</w:t>
            </w:r>
            <w:r>
              <w:rPr>
                <w:sz w:val="20"/>
                <w:lang w:val="sr-Cyrl-RS"/>
              </w:rPr>
              <w:t xml:space="preserve"> </w:t>
            </w:r>
            <w:r>
              <w:rPr>
                <w:rFonts w:cs="Calibri"/>
                <w:sz w:val="20"/>
                <w:lang w:val="bs-Latn-BA"/>
              </w:rPr>
              <w:t>(2018-2022.)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RS"/>
              </w:rPr>
            </w:pPr>
            <w:r>
              <w:rPr>
                <w:bCs/>
                <w:sz w:val="20"/>
                <w:lang w:val="sr-Cyrl-RS"/>
              </w:rPr>
              <w:t xml:space="preserve">П 3.7.2.7. Изградња новог ватрогасног дома на десној обали ријеке Врбас </w:t>
            </w:r>
          </w:p>
          <w:p>
            <w:pPr>
              <w:rPr>
                <w:bCs/>
                <w:sz w:val="20"/>
                <w:szCs w:val="20"/>
                <w:lang w:val="sr-Cyrl-RS"/>
              </w:rPr>
            </w:pPr>
            <w:r>
              <w:rPr>
                <w:rFonts w:cs="Calibri"/>
                <w:sz w:val="20"/>
                <w:lang w:val="bs-Latn-BA"/>
              </w:rPr>
              <w:t>(20</w:t>
            </w:r>
            <w:r>
              <w:rPr>
                <w:rFonts w:cs="Calibri"/>
                <w:sz w:val="20"/>
                <w:lang w:val="sr-Cyrl-CS"/>
              </w:rPr>
              <w:t>20</w:t>
            </w:r>
            <w:r>
              <w:rPr>
                <w:rFonts w:cs="Calibri"/>
                <w:sz w:val="20"/>
                <w:lang w:val="bs-Latn-BA"/>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RS"/>
              </w:rPr>
            </w:pPr>
            <w:r>
              <w:rPr>
                <w:bCs/>
                <w:sz w:val="20"/>
                <w:lang w:val="sr-Cyrl-RS"/>
              </w:rPr>
              <w:t xml:space="preserve">П 3.7.2.8. Изградња прилазних рампи водним површинама (р. Врбас и р. Врбања) за прилаз ватрогасних возила водоцрпилиштима </w:t>
            </w:r>
          </w:p>
          <w:p>
            <w:pPr>
              <w:rPr>
                <w:bCs/>
                <w:sz w:val="20"/>
                <w:szCs w:val="20"/>
                <w:lang w:val="sr-Cyrl-RS"/>
              </w:rPr>
            </w:pPr>
            <w:r>
              <w:rPr>
                <w:rFonts w:cs="Calibri"/>
                <w:sz w:val="20"/>
                <w:lang w:val="bs-Latn-BA"/>
              </w:rPr>
              <w:t>(20</w:t>
            </w:r>
            <w:r>
              <w:rPr>
                <w:rFonts w:cs="Calibri"/>
                <w:sz w:val="20"/>
                <w:lang w:val="sr-Cyrl-CS"/>
              </w:rPr>
              <w:t>20</w:t>
            </w:r>
            <w:r>
              <w:rPr>
                <w:rFonts w:cs="Calibri"/>
                <w:sz w:val="20"/>
                <w:lang w:val="bs-Latn-BA"/>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lang w:val="sr-Cyrl-RS"/>
              </w:rPr>
            </w:pPr>
            <w:r>
              <w:rPr>
                <w:bCs/>
                <w:sz w:val="20"/>
                <w:lang w:val="sr-Cyrl-RS"/>
              </w:rPr>
              <w:t xml:space="preserve">П 3.7.2.9. Развој сателитског система радио-веза на подручју Града Бања Лука за потребе Цивилне заштите </w:t>
            </w:r>
          </w:p>
          <w:p>
            <w:pPr>
              <w:rPr>
                <w:bCs/>
                <w:sz w:val="20"/>
                <w:szCs w:val="20"/>
                <w:lang w:val="sr-Cyrl-RS"/>
              </w:rPr>
            </w:pPr>
            <w:r>
              <w:rPr>
                <w:rFonts w:cs="Calibri"/>
                <w:sz w:val="20"/>
                <w:lang w:val="bs-Latn-BA"/>
              </w:rPr>
              <w:t>(20</w:t>
            </w:r>
            <w:r>
              <w:rPr>
                <w:rFonts w:cs="Calibri"/>
                <w:sz w:val="20"/>
                <w:lang w:val="sr-Cyrl-CS"/>
              </w:rPr>
              <w:t>20</w:t>
            </w:r>
            <w:r>
              <w:rPr>
                <w:rFonts w:cs="Calibri"/>
                <w:sz w:val="20"/>
                <w:lang w:val="bs-Latn-BA"/>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4901" w:type="dxa"/>
            <w:vMerge w:val="continue"/>
            <w:tcBorders>
              <w:left w:val="single" w:color="000000" w:sz="4" w:space="0"/>
              <w:right w:val="single" w:color="000000" w:sz="4" w:space="0"/>
            </w:tcBorders>
            <w:vAlign w:val="center"/>
          </w:tcPr>
          <w:p>
            <w:pPr>
              <w:pStyle w:val="46"/>
              <w:spacing w:before="0" w:line="240" w:lineRule="auto"/>
              <w:ind w:left="0"/>
              <w:rPr>
                <w:b/>
                <w:lang w:val="sr-Cyrl-RS"/>
              </w:rPr>
            </w:pPr>
          </w:p>
        </w:tc>
        <w:tc>
          <w:tcPr>
            <w:tcW w:w="4341" w:type="dxa"/>
            <w:tcBorders>
              <w:top w:val="single" w:color="000000" w:sz="4" w:space="0"/>
              <w:left w:val="single" w:color="000000" w:sz="4" w:space="0"/>
              <w:bottom w:val="single" w:color="000000" w:sz="4" w:space="0"/>
              <w:right w:val="single" w:color="000000" w:sz="4" w:space="0"/>
            </w:tcBorders>
          </w:tcPr>
          <w:p>
            <w:pPr>
              <w:rPr>
                <w:bCs/>
                <w:sz w:val="20"/>
                <w:szCs w:val="20"/>
                <w:lang w:val="sr-Cyrl-RS"/>
              </w:rPr>
            </w:pPr>
            <w:r>
              <w:rPr>
                <w:bCs/>
                <w:sz w:val="20"/>
                <w:lang w:val="sr-Cyrl-RS"/>
              </w:rPr>
              <w:t xml:space="preserve">П 3.7.2.10. Опремање и обучавање припадника Професионалне територијалне ватрогасне јединице (ПТВЈ) </w:t>
            </w:r>
            <w:r>
              <w:rPr>
                <w:rFonts w:cs="Calibri"/>
                <w:sz w:val="20"/>
                <w:lang w:val="bs-Latn-BA"/>
              </w:rPr>
              <w:t>(2018-2022.)</w:t>
            </w:r>
          </w:p>
        </w:tc>
      </w:tr>
    </w:tbl>
    <w:p>
      <w:pPr>
        <w:jc w:val="both"/>
      </w:pPr>
    </w:p>
    <w:p>
      <w:pPr>
        <w:jc w:val="both"/>
      </w:pPr>
      <w:r>
        <w:t xml:space="preserve">Укупна очекивана улагања за реализацију секторског плана </w:t>
      </w:r>
      <w:r>
        <w:rPr>
          <w:lang w:val="sr-Cyrl-RS"/>
        </w:rPr>
        <w:t>заштите животне средине и развоја комуналне инфраструктуре</w:t>
      </w:r>
      <w:r>
        <w:t xml:space="preserve"> за период 201</w:t>
      </w:r>
      <w:r>
        <w:rPr>
          <w:lang w:val="sr-Cyrl-RS"/>
        </w:rPr>
        <w:t>8</w:t>
      </w:r>
      <w:r>
        <w:t>-202</w:t>
      </w:r>
      <w:r>
        <w:rPr>
          <w:lang w:val="sr-Cyrl-RS"/>
        </w:rPr>
        <w:t>2</w:t>
      </w:r>
      <w:r>
        <w:t xml:space="preserve">. године износе </w:t>
      </w:r>
      <w:r>
        <w:rPr>
          <w:b/>
        </w:rPr>
        <w:t>136.259.912</w:t>
      </w:r>
      <w:r>
        <w:rPr>
          <w:b/>
          <w:lang w:val="sr-Cyrl-RS"/>
        </w:rPr>
        <w:t xml:space="preserve"> </w:t>
      </w:r>
      <w:r>
        <w:rPr>
          <w:b/>
        </w:rPr>
        <w:t>КМ</w:t>
      </w:r>
      <w:r>
        <w:t xml:space="preserve">. </w:t>
      </w:r>
    </w:p>
    <w:p>
      <w:pPr>
        <w:pStyle w:val="13"/>
        <w:spacing w:before="120" w:after="120"/>
        <w:jc w:val="both"/>
        <w:rPr>
          <w:rFonts w:cs="Helvetica"/>
          <w:b/>
          <w:sz w:val="22"/>
          <w:szCs w:val="22"/>
          <w:shd w:val="clear" w:color="auto" w:fill="FFFFFF"/>
          <w:lang w:val="sr-Cyrl-RS"/>
        </w:rPr>
      </w:pPr>
      <w:r>
        <w:rPr>
          <w:rFonts w:cs="Helvetica"/>
          <w:sz w:val="22"/>
          <w:szCs w:val="22"/>
          <w:shd w:val="clear" w:color="auto" w:fill="FFFFFF"/>
          <w:lang w:val="sr-Cyrl-RS"/>
        </w:rPr>
        <w:t xml:space="preserve">Укупна планирана средства за реализацију свих секторских планова у периоду 2018-2022., из буџета и екстерних извора износе: </w:t>
      </w:r>
      <w:r>
        <w:rPr>
          <w:rFonts w:cs="Helvetica"/>
          <w:b/>
          <w:sz w:val="22"/>
          <w:szCs w:val="22"/>
          <w:shd w:val="clear" w:color="auto" w:fill="FFFFFF"/>
        </w:rPr>
        <w:t>338.431.412</w:t>
      </w:r>
      <w:r>
        <w:rPr>
          <w:rFonts w:cs="Helvetica"/>
          <w:b/>
          <w:sz w:val="22"/>
          <w:szCs w:val="22"/>
          <w:shd w:val="clear" w:color="auto" w:fill="FFFFFF"/>
          <w:lang w:val="sr-Cyrl-RS"/>
        </w:rPr>
        <w:t xml:space="preserve"> КМ.</w:t>
      </w:r>
    </w:p>
    <w:p>
      <w:pPr>
        <w:spacing w:after="160" w:line="259" w:lineRule="auto"/>
        <w:rPr>
          <w:rFonts w:cs="Helvetica"/>
          <w:b/>
          <w:color w:val="000000"/>
          <w:shd w:val="clear" w:color="auto" w:fill="FFFFFF"/>
          <w:lang w:val="sr-Cyrl-RS"/>
        </w:rPr>
      </w:pPr>
      <w:r>
        <w:rPr>
          <w:rFonts w:cs="Helvetica"/>
          <w:b/>
          <w:color w:val="000000"/>
          <w:shd w:val="clear" w:color="auto" w:fill="FFFFFF"/>
          <w:lang w:val="sr-Cyrl-RS"/>
        </w:rPr>
        <w:br w:type="page"/>
      </w:r>
    </w:p>
    <w:p>
      <w:pPr>
        <w:pStyle w:val="13"/>
        <w:spacing w:before="120" w:after="120"/>
        <w:jc w:val="both"/>
        <w:rPr>
          <w:rFonts w:cs="Helvetica"/>
          <w:b/>
          <w:color w:val="000000"/>
          <w:sz w:val="22"/>
          <w:szCs w:val="22"/>
          <w:shd w:val="clear" w:color="auto" w:fill="FFFFFF"/>
          <w:lang w:val="sr-Cyrl-RS"/>
        </w:rPr>
      </w:pPr>
    </w:p>
    <w:p>
      <w:pPr>
        <w:pStyle w:val="2"/>
        <w:spacing w:before="120" w:after="120" w:line="240" w:lineRule="auto"/>
        <w:rPr>
          <w:szCs w:val="22"/>
          <w:lang w:val="hr-BA"/>
        </w:rPr>
      </w:pPr>
      <w:bookmarkStart w:id="169" w:name="_Toc473095882"/>
      <w:bookmarkStart w:id="170" w:name="_Toc452886800"/>
      <w:bookmarkStart w:id="171" w:name="_Toc461719864"/>
      <w:bookmarkStart w:id="172" w:name="_Toc526761944"/>
      <w:r>
        <w:rPr>
          <w:szCs w:val="22"/>
          <w:lang w:val="hr-BA"/>
        </w:rPr>
        <w:t xml:space="preserve">VI. </w:t>
      </w:r>
      <w:r>
        <w:rPr>
          <w:szCs w:val="22"/>
          <w:lang w:val="sr-Cyrl-RS"/>
        </w:rPr>
        <w:t>Оперативни</w:t>
      </w:r>
      <w:r>
        <w:rPr>
          <w:szCs w:val="22"/>
          <w:lang w:val="hr-BA"/>
        </w:rPr>
        <w:t xml:space="preserve"> </w:t>
      </w:r>
      <w:r>
        <w:rPr>
          <w:szCs w:val="22"/>
          <w:lang w:val="sr-Cyrl-RS"/>
        </w:rPr>
        <w:t>дио</w:t>
      </w:r>
      <w:bookmarkEnd w:id="169"/>
      <w:bookmarkEnd w:id="170"/>
      <w:bookmarkEnd w:id="171"/>
      <w:bookmarkEnd w:id="172"/>
    </w:p>
    <w:p>
      <w:pPr>
        <w:pStyle w:val="4"/>
        <w:rPr>
          <w:lang w:val="hr-BA"/>
        </w:rPr>
      </w:pPr>
      <w:bookmarkStart w:id="173" w:name="_Toc461719865"/>
      <w:bookmarkStart w:id="174" w:name="_Toc526761945"/>
      <w:bookmarkStart w:id="175" w:name="_Toc452886801"/>
      <w:bookmarkStart w:id="176" w:name="_Toc473095883"/>
      <w:r>
        <w:rPr>
          <w:lang w:val="hr-BA"/>
        </w:rPr>
        <w:t xml:space="preserve">VI.1. </w:t>
      </w:r>
      <w:r>
        <w:rPr>
          <w:lang w:val="sr-Cyrl-RS"/>
        </w:rPr>
        <w:t>План</w:t>
      </w:r>
      <w:r>
        <w:rPr>
          <w:lang w:val="hr-BA"/>
        </w:rPr>
        <w:t xml:space="preserve"> </w:t>
      </w:r>
      <w:r>
        <w:rPr>
          <w:lang w:val="sr-Cyrl-RS"/>
        </w:rPr>
        <w:t>имплементације</w:t>
      </w:r>
      <w:r>
        <w:rPr>
          <w:lang w:val="hr-BA"/>
        </w:rPr>
        <w:t xml:space="preserve"> </w:t>
      </w:r>
      <w:r>
        <w:rPr>
          <w:lang w:val="sr-Cyrl-RS"/>
        </w:rPr>
        <w:t>пројеката</w:t>
      </w:r>
      <w:r>
        <w:rPr>
          <w:lang w:val="hr-BA"/>
        </w:rPr>
        <w:t xml:space="preserve"> </w:t>
      </w:r>
      <w:r>
        <w:rPr>
          <w:lang w:val="sr-Cyrl-RS"/>
        </w:rPr>
        <w:t>и</w:t>
      </w:r>
      <w:r>
        <w:rPr>
          <w:lang w:val="hr-BA"/>
        </w:rPr>
        <w:t xml:space="preserve"> </w:t>
      </w:r>
      <w:r>
        <w:rPr>
          <w:lang w:val="sr-Cyrl-RS"/>
        </w:rPr>
        <w:t>мјера</w:t>
      </w:r>
      <w:r>
        <w:rPr>
          <w:lang w:val="hr-BA"/>
        </w:rPr>
        <w:t xml:space="preserve"> </w:t>
      </w:r>
      <w:r>
        <w:rPr>
          <w:lang w:val="sr-Cyrl-RS"/>
        </w:rPr>
        <w:t>за</w:t>
      </w:r>
      <w:r>
        <w:rPr>
          <w:lang w:val="hr-BA"/>
        </w:rPr>
        <w:t xml:space="preserve"> 3 </w:t>
      </w:r>
      <w:r>
        <w:rPr>
          <w:lang w:val="sr-Cyrl-RS"/>
        </w:rPr>
        <w:t>године</w:t>
      </w:r>
      <w:r>
        <w:rPr>
          <w:lang w:val="hr-BA"/>
        </w:rPr>
        <w:t xml:space="preserve"> (1+2)</w:t>
      </w:r>
      <w:bookmarkEnd w:id="173"/>
      <w:bookmarkEnd w:id="174"/>
      <w:bookmarkEnd w:id="175"/>
      <w:bookmarkEnd w:id="176"/>
    </w:p>
    <w:p/>
    <w:p>
      <w:pPr>
        <w:pStyle w:val="13"/>
        <w:spacing w:before="120" w:after="120"/>
        <w:jc w:val="both"/>
      </w:pPr>
      <w:r>
        <w:rPr>
          <w:lang w:val="sr-Latn-CS" w:eastAsia="sr-Latn-CS"/>
        </w:rPr>
        <w:drawing>
          <wp:inline distT="0" distB="0" distL="0" distR="0">
            <wp:extent cx="5943600" cy="1337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3600" cy="1337310"/>
                    </a:xfrm>
                    <a:prstGeom prst="rect">
                      <a:avLst/>
                    </a:prstGeom>
                    <a:noFill/>
                    <a:ln>
                      <a:noFill/>
                    </a:ln>
                  </pic:spPr>
                </pic:pic>
              </a:graphicData>
            </a:graphic>
          </wp:inline>
        </w:drawing>
      </w:r>
    </w:p>
    <w:p>
      <w:pPr>
        <w:pStyle w:val="13"/>
        <w:spacing w:before="120" w:after="120"/>
        <w:jc w:val="both"/>
        <w:rPr>
          <w:rFonts w:cs="Helvetica"/>
          <w:color w:val="000000"/>
          <w:sz w:val="22"/>
          <w:szCs w:val="22"/>
          <w:shd w:val="clear" w:color="auto" w:fill="FFFFFF"/>
          <w:lang w:val="sr-Cyrl-RS"/>
        </w:rPr>
      </w:pPr>
    </w:p>
    <w:p>
      <w:pPr>
        <w:pStyle w:val="13"/>
        <w:jc w:val="both"/>
        <w:rPr>
          <w:rFonts w:eastAsia="Times New Roman"/>
          <w:bCs/>
          <w:kern w:val="32"/>
          <w:sz w:val="22"/>
          <w:szCs w:val="22"/>
        </w:rPr>
      </w:pPr>
      <w:r>
        <w:rPr>
          <w:rFonts w:eastAsia="Times New Roman"/>
          <w:bCs/>
          <w:kern w:val="32"/>
          <w:sz w:val="22"/>
          <w:szCs w:val="22"/>
        </w:rPr>
        <w:t xml:space="preserve">Детаљан План имплементације Стратегије </w:t>
      </w:r>
      <w:r>
        <w:rPr>
          <w:rFonts w:eastAsia="Times New Roman"/>
          <w:bCs/>
          <w:kern w:val="32"/>
          <w:sz w:val="22"/>
          <w:szCs w:val="22"/>
          <w:lang w:val="sr-Cyrl-RS"/>
        </w:rPr>
        <w:t>интегрисаног развоја града Бања Лука</w:t>
      </w:r>
      <w:r>
        <w:rPr>
          <w:rFonts w:eastAsia="Times New Roman"/>
          <w:bCs/>
          <w:kern w:val="32"/>
          <w:sz w:val="22"/>
          <w:szCs w:val="22"/>
        </w:rPr>
        <w:t xml:space="preserve"> за период 201</w:t>
      </w:r>
      <w:r>
        <w:rPr>
          <w:rFonts w:eastAsia="Times New Roman"/>
          <w:bCs/>
          <w:kern w:val="32"/>
          <w:sz w:val="22"/>
          <w:szCs w:val="22"/>
          <w:lang w:val="sr-Cyrl-RS"/>
        </w:rPr>
        <w:t>8</w:t>
      </w:r>
      <w:r>
        <w:rPr>
          <w:rFonts w:eastAsia="Times New Roman"/>
          <w:bCs/>
          <w:kern w:val="32"/>
          <w:sz w:val="22"/>
          <w:szCs w:val="22"/>
        </w:rPr>
        <w:t>-20</w:t>
      </w:r>
      <w:r>
        <w:rPr>
          <w:rFonts w:eastAsia="Times New Roman"/>
          <w:bCs/>
          <w:kern w:val="32"/>
          <w:sz w:val="22"/>
          <w:szCs w:val="22"/>
          <w:lang w:val="sr-Cyrl-RS"/>
        </w:rPr>
        <w:t>20</w:t>
      </w:r>
      <w:r>
        <w:rPr>
          <w:rFonts w:eastAsia="Times New Roman"/>
          <w:bCs/>
          <w:kern w:val="32"/>
          <w:sz w:val="22"/>
          <w:szCs w:val="22"/>
        </w:rPr>
        <w:t xml:space="preserve">. године, доступан </w:t>
      </w:r>
      <w:r>
        <w:rPr>
          <w:rFonts w:eastAsia="Times New Roman"/>
          <w:bCs/>
          <w:kern w:val="32"/>
          <w:sz w:val="22"/>
          <w:szCs w:val="22"/>
          <w:lang w:val="sr-Cyrl-RS"/>
        </w:rPr>
        <w:t xml:space="preserve">је </w:t>
      </w:r>
      <w:r>
        <w:rPr>
          <w:rFonts w:eastAsia="Times New Roman"/>
          <w:bCs/>
          <w:kern w:val="32"/>
          <w:sz w:val="22"/>
          <w:szCs w:val="22"/>
        </w:rPr>
        <w:t xml:space="preserve">у </w:t>
      </w:r>
      <w:r>
        <w:rPr>
          <w:rFonts w:eastAsia="Times New Roman"/>
          <w:bCs/>
          <w:kern w:val="32"/>
          <w:sz w:val="22"/>
          <w:szCs w:val="22"/>
          <w:lang w:val="bs-Latn-BA"/>
        </w:rPr>
        <w:t xml:space="preserve">Excel </w:t>
      </w:r>
      <w:r>
        <w:rPr>
          <w:rFonts w:eastAsia="Times New Roman"/>
          <w:bCs/>
          <w:kern w:val="32"/>
          <w:sz w:val="22"/>
          <w:szCs w:val="22"/>
        </w:rPr>
        <w:t>формату</w:t>
      </w:r>
      <w:r>
        <w:rPr>
          <w:rFonts w:eastAsia="Times New Roman"/>
          <w:bCs/>
          <w:kern w:val="32"/>
          <w:sz w:val="22"/>
          <w:szCs w:val="22"/>
          <w:lang w:val="sr-Cyrl-RS"/>
        </w:rPr>
        <w:t xml:space="preserve"> и дат је као прилог овом документу</w:t>
      </w:r>
      <w:r>
        <w:rPr>
          <w:rFonts w:eastAsia="Times New Roman"/>
          <w:bCs/>
          <w:kern w:val="32"/>
          <w:sz w:val="22"/>
          <w:szCs w:val="22"/>
        </w:rPr>
        <w:t>, док је у наставку дат сажет преглед планираних средстава по секторима и изворима финансирања:</w:t>
      </w:r>
    </w:p>
    <w:p>
      <w:pPr>
        <w:pStyle w:val="13"/>
        <w:jc w:val="both"/>
        <w:rPr>
          <w:rFonts w:eastAsia="Times New Roman"/>
          <w:bCs/>
          <w:kern w:val="32"/>
          <w:sz w:val="22"/>
          <w:szCs w:val="22"/>
        </w:rPr>
      </w:pPr>
    </w:p>
    <w:p>
      <w:pPr>
        <w:pStyle w:val="13"/>
        <w:jc w:val="both"/>
        <w:rPr>
          <w:rFonts w:eastAsia="Times New Roman"/>
          <w:bCs/>
          <w:kern w:val="32"/>
          <w:sz w:val="22"/>
          <w:szCs w:val="22"/>
        </w:rPr>
      </w:pPr>
      <w:r>
        <w:rPr>
          <w:rFonts w:eastAsia="Times New Roman"/>
          <w:bCs/>
          <w:kern w:val="32"/>
          <w:sz w:val="22"/>
          <w:szCs w:val="22"/>
        </w:rPr>
        <w:t>Укупна планирана средства за реализацију секторских циљева за период 2018-20</w:t>
      </w:r>
      <w:r>
        <w:rPr>
          <w:rFonts w:eastAsia="Times New Roman"/>
          <w:bCs/>
          <w:kern w:val="32"/>
          <w:sz w:val="22"/>
          <w:szCs w:val="22"/>
          <w:lang w:val="sr-Cyrl-RS"/>
        </w:rPr>
        <w:t>20</w:t>
      </w:r>
      <w:r>
        <w:rPr>
          <w:rFonts w:eastAsia="Times New Roman"/>
          <w:bCs/>
          <w:kern w:val="32"/>
          <w:sz w:val="22"/>
          <w:szCs w:val="22"/>
        </w:rPr>
        <w:t xml:space="preserve">. године износе </w:t>
      </w:r>
      <w:r>
        <w:rPr>
          <w:rFonts w:eastAsia="Times New Roman"/>
          <w:b/>
          <w:bCs/>
          <w:kern w:val="32"/>
          <w:sz w:val="22"/>
          <w:szCs w:val="22"/>
          <w:lang w:val="sr-Cyrl-RS"/>
        </w:rPr>
        <w:t>196</w:t>
      </w:r>
      <w:r>
        <w:rPr>
          <w:rFonts w:eastAsia="Times New Roman"/>
          <w:b/>
          <w:bCs/>
          <w:kern w:val="32"/>
          <w:sz w:val="22"/>
          <w:szCs w:val="22"/>
        </w:rPr>
        <w:t>.</w:t>
      </w:r>
      <w:r>
        <w:rPr>
          <w:rFonts w:eastAsia="Times New Roman"/>
          <w:b/>
          <w:bCs/>
          <w:kern w:val="32"/>
          <w:sz w:val="22"/>
          <w:szCs w:val="22"/>
          <w:lang w:val="sr-Cyrl-RS"/>
        </w:rPr>
        <w:t>974</w:t>
      </w:r>
      <w:r>
        <w:rPr>
          <w:rFonts w:eastAsia="Times New Roman"/>
          <w:b/>
          <w:bCs/>
          <w:kern w:val="32"/>
          <w:sz w:val="22"/>
          <w:szCs w:val="22"/>
        </w:rPr>
        <w:t>.</w:t>
      </w:r>
      <w:r>
        <w:rPr>
          <w:rFonts w:eastAsia="Times New Roman"/>
          <w:b/>
          <w:bCs/>
          <w:kern w:val="32"/>
          <w:sz w:val="22"/>
          <w:szCs w:val="22"/>
          <w:lang w:val="sr-Cyrl-RS"/>
        </w:rPr>
        <w:t>382</w:t>
      </w:r>
      <w:r>
        <w:rPr>
          <w:rFonts w:eastAsia="Times New Roman"/>
          <w:b/>
          <w:bCs/>
          <w:kern w:val="32"/>
          <w:sz w:val="22"/>
          <w:szCs w:val="22"/>
        </w:rPr>
        <w:t xml:space="preserve"> КМ</w:t>
      </w:r>
      <w:r>
        <w:rPr>
          <w:rFonts w:eastAsia="Times New Roman"/>
          <w:bCs/>
          <w:kern w:val="32"/>
          <w:sz w:val="22"/>
          <w:szCs w:val="22"/>
        </w:rPr>
        <w:t xml:space="preserve">. Највећи број пројеката/мјера планираних за имплементацију у првом трогодишњем периоду (87) припада </w:t>
      </w:r>
      <w:r>
        <w:rPr>
          <w:rFonts w:eastAsia="Times New Roman"/>
          <w:bCs/>
          <w:kern w:val="32"/>
          <w:sz w:val="22"/>
          <w:szCs w:val="22"/>
          <w:lang w:val="sr-Cyrl-RS"/>
        </w:rPr>
        <w:t xml:space="preserve">друштвеном сектору, </w:t>
      </w:r>
      <w:r>
        <w:rPr>
          <w:rFonts w:eastAsia="Times New Roman"/>
          <w:bCs/>
          <w:kern w:val="32"/>
          <w:sz w:val="22"/>
          <w:szCs w:val="22"/>
        </w:rPr>
        <w:t>док су за сектор</w:t>
      </w:r>
      <w:r>
        <w:rPr>
          <w:rFonts w:eastAsia="Times New Roman"/>
          <w:bCs/>
          <w:kern w:val="32"/>
          <w:sz w:val="22"/>
          <w:szCs w:val="22"/>
          <w:lang w:val="sr-Cyrl-RS"/>
        </w:rPr>
        <w:t xml:space="preserve"> заштите животне средине</w:t>
      </w:r>
      <w:r>
        <w:rPr>
          <w:rFonts w:eastAsia="Times New Roman"/>
          <w:bCs/>
          <w:kern w:val="32"/>
          <w:sz w:val="22"/>
          <w:szCs w:val="22"/>
        </w:rPr>
        <w:t xml:space="preserve"> планирана </w:t>
      </w:r>
      <w:r>
        <w:rPr>
          <w:rFonts w:eastAsia="Times New Roman"/>
          <w:bCs/>
          <w:kern w:val="32"/>
          <w:sz w:val="22"/>
          <w:szCs w:val="22"/>
          <w:lang w:val="sr-Cyrl-RS"/>
        </w:rPr>
        <w:t>6</w:t>
      </w:r>
      <w:r>
        <w:rPr>
          <w:rFonts w:eastAsia="Times New Roman"/>
          <w:bCs/>
          <w:kern w:val="32"/>
          <w:sz w:val="22"/>
          <w:szCs w:val="22"/>
        </w:rPr>
        <w:t xml:space="preserve">4, а за сектор </w:t>
      </w:r>
      <w:r>
        <w:rPr>
          <w:rFonts w:eastAsia="Times New Roman"/>
          <w:bCs/>
          <w:kern w:val="32"/>
          <w:sz w:val="22"/>
          <w:szCs w:val="22"/>
          <w:lang w:val="sr-Cyrl-RS"/>
        </w:rPr>
        <w:t>економског развоја 56</w:t>
      </w:r>
      <w:r>
        <w:rPr>
          <w:rFonts w:eastAsia="Times New Roman"/>
          <w:bCs/>
          <w:kern w:val="32"/>
          <w:sz w:val="22"/>
          <w:szCs w:val="22"/>
        </w:rPr>
        <w:t xml:space="preserve"> пројеката/мјера. За имплементацију укупно </w:t>
      </w:r>
      <w:r>
        <w:rPr>
          <w:rFonts w:eastAsia="Times New Roman"/>
          <w:bCs/>
          <w:kern w:val="32"/>
          <w:sz w:val="22"/>
          <w:szCs w:val="22"/>
          <w:lang w:val="sr-Cyrl-RS"/>
        </w:rPr>
        <w:t>207</w:t>
      </w:r>
      <w:r>
        <w:rPr>
          <w:rFonts w:eastAsia="Times New Roman"/>
          <w:bCs/>
          <w:kern w:val="32"/>
          <w:sz w:val="22"/>
          <w:szCs w:val="22"/>
        </w:rPr>
        <w:t xml:space="preserve"> пројеката/мјера у оквиру сва три сектора, за период 2018-202</w:t>
      </w:r>
      <w:r>
        <w:rPr>
          <w:rFonts w:eastAsia="Times New Roman"/>
          <w:bCs/>
          <w:kern w:val="32"/>
          <w:sz w:val="22"/>
          <w:szCs w:val="22"/>
          <w:lang w:val="sr-Cyrl-RS"/>
        </w:rPr>
        <w:t>0</w:t>
      </w:r>
      <w:r>
        <w:rPr>
          <w:rFonts w:eastAsia="Times New Roman"/>
          <w:bCs/>
          <w:kern w:val="32"/>
          <w:sz w:val="22"/>
          <w:szCs w:val="22"/>
        </w:rPr>
        <w:t xml:space="preserve">. године из буџета </w:t>
      </w:r>
      <w:r>
        <w:rPr>
          <w:rFonts w:eastAsia="Times New Roman"/>
          <w:bCs/>
          <w:kern w:val="32"/>
          <w:sz w:val="22"/>
          <w:szCs w:val="22"/>
          <w:lang w:val="sr-Cyrl-RS"/>
        </w:rPr>
        <w:t xml:space="preserve">града Бања Лука биће издвојено </w:t>
      </w:r>
      <w:r>
        <w:rPr>
          <w:rFonts w:eastAsia="Times New Roman"/>
          <w:bCs/>
          <w:kern w:val="32"/>
          <w:sz w:val="22"/>
          <w:szCs w:val="22"/>
        </w:rPr>
        <w:t xml:space="preserve"> </w:t>
      </w:r>
      <w:r>
        <w:rPr>
          <w:rFonts w:eastAsia="Times New Roman"/>
          <w:bCs/>
          <w:kern w:val="32"/>
          <w:sz w:val="22"/>
          <w:szCs w:val="22"/>
          <w:lang w:val="sr-Cyrl-RS"/>
        </w:rPr>
        <w:t>103</w:t>
      </w:r>
      <w:r>
        <w:rPr>
          <w:rFonts w:eastAsia="Times New Roman"/>
          <w:bCs/>
          <w:kern w:val="32"/>
          <w:sz w:val="22"/>
          <w:szCs w:val="22"/>
        </w:rPr>
        <w:t>.</w:t>
      </w:r>
      <w:r>
        <w:rPr>
          <w:rFonts w:eastAsia="Times New Roman"/>
          <w:bCs/>
          <w:kern w:val="32"/>
          <w:sz w:val="22"/>
          <w:szCs w:val="22"/>
          <w:lang w:val="sr-Cyrl-RS"/>
        </w:rPr>
        <w:t>998</w:t>
      </w:r>
      <w:r>
        <w:rPr>
          <w:rFonts w:eastAsia="Times New Roman"/>
          <w:bCs/>
          <w:kern w:val="32"/>
          <w:sz w:val="22"/>
          <w:szCs w:val="22"/>
        </w:rPr>
        <w:t>.</w:t>
      </w:r>
      <w:r>
        <w:rPr>
          <w:rFonts w:eastAsia="Times New Roman"/>
          <w:bCs/>
          <w:kern w:val="32"/>
          <w:sz w:val="22"/>
          <w:szCs w:val="22"/>
          <w:lang w:val="sr-Cyrl-RS"/>
        </w:rPr>
        <w:t>920</w:t>
      </w:r>
      <w:r>
        <w:rPr>
          <w:rFonts w:eastAsia="Times New Roman"/>
          <w:bCs/>
          <w:kern w:val="32"/>
          <w:sz w:val="22"/>
          <w:szCs w:val="22"/>
        </w:rPr>
        <w:t xml:space="preserve"> КМ, док ће се средства у висини од </w:t>
      </w:r>
      <w:r>
        <w:rPr>
          <w:rFonts w:eastAsia="Times New Roman"/>
          <w:bCs/>
          <w:kern w:val="32"/>
          <w:sz w:val="22"/>
          <w:szCs w:val="22"/>
          <w:lang w:val="sr-Cyrl-RS"/>
        </w:rPr>
        <w:t>92</w:t>
      </w:r>
      <w:r>
        <w:rPr>
          <w:rFonts w:eastAsia="Times New Roman"/>
          <w:bCs/>
          <w:kern w:val="32"/>
          <w:sz w:val="22"/>
          <w:szCs w:val="22"/>
        </w:rPr>
        <w:t>.</w:t>
      </w:r>
      <w:r>
        <w:rPr>
          <w:rFonts w:eastAsia="Times New Roman"/>
          <w:bCs/>
          <w:kern w:val="32"/>
          <w:sz w:val="22"/>
          <w:szCs w:val="22"/>
          <w:lang w:val="sr-Cyrl-RS"/>
        </w:rPr>
        <w:t>975.362</w:t>
      </w:r>
      <w:r>
        <w:rPr>
          <w:rFonts w:eastAsia="Times New Roman"/>
          <w:bCs/>
          <w:kern w:val="32"/>
          <w:sz w:val="22"/>
          <w:szCs w:val="22"/>
        </w:rPr>
        <w:t xml:space="preserve"> КМ тражити из екстерних извора (углавном са републичког нивоа, разних донатора, као и из приватних извора).</w:t>
      </w:r>
    </w:p>
    <w:p>
      <w:pPr>
        <w:pStyle w:val="13"/>
        <w:jc w:val="both"/>
        <w:rPr>
          <w:rFonts w:eastAsia="Times New Roman"/>
          <w:bCs/>
          <w:kern w:val="32"/>
          <w:sz w:val="22"/>
          <w:szCs w:val="22"/>
        </w:rPr>
      </w:pPr>
    </w:p>
    <w:p>
      <w:pPr>
        <w:pStyle w:val="13"/>
        <w:jc w:val="both"/>
        <w:rPr>
          <w:rFonts w:eastAsia="Times New Roman"/>
          <w:bCs/>
          <w:kern w:val="32"/>
          <w:sz w:val="22"/>
          <w:szCs w:val="22"/>
          <w:lang w:val="sr-Cyrl-RS"/>
        </w:rPr>
      </w:pPr>
      <w:r>
        <w:rPr>
          <w:rFonts w:eastAsia="Times New Roman"/>
          <w:bCs/>
          <w:kern w:val="32"/>
          <w:sz w:val="22"/>
          <w:szCs w:val="22"/>
        </w:rPr>
        <w:t xml:space="preserve">У оквиру </w:t>
      </w:r>
      <w:r>
        <w:rPr>
          <w:rFonts w:eastAsia="Times New Roman"/>
          <w:b/>
          <w:bCs/>
          <w:kern w:val="32"/>
          <w:sz w:val="22"/>
          <w:szCs w:val="22"/>
        </w:rPr>
        <w:t>сектора економског развоја</w:t>
      </w:r>
      <w:r>
        <w:rPr>
          <w:rFonts w:eastAsia="Times New Roman"/>
          <w:bCs/>
          <w:kern w:val="32"/>
          <w:sz w:val="22"/>
          <w:szCs w:val="22"/>
        </w:rPr>
        <w:t>, планирани су капитални пројекти изградње  комуналн</w:t>
      </w:r>
      <w:r>
        <w:rPr>
          <w:rFonts w:eastAsia="Times New Roman"/>
          <w:bCs/>
          <w:kern w:val="32"/>
          <w:sz w:val="22"/>
          <w:szCs w:val="22"/>
          <w:lang w:val="sr-Cyrl-RS"/>
        </w:rPr>
        <w:t>е</w:t>
      </w:r>
      <w:r>
        <w:rPr>
          <w:rFonts w:eastAsia="Times New Roman"/>
          <w:bCs/>
          <w:kern w:val="32"/>
          <w:sz w:val="22"/>
          <w:szCs w:val="22"/>
        </w:rPr>
        <w:t xml:space="preserve"> инфраструктур</w:t>
      </w:r>
      <w:r>
        <w:rPr>
          <w:rFonts w:eastAsia="Times New Roman"/>
          <w:bCs/>
          <w:kern w:val="32"/>
          <w:sz w:val="22"/>
          <w:szCs w:val="22"/>
          <w:lang w:val="sr-Cyrl-RS"/>
        </w:rPr>
        <w:t>е,</w:t>
      </w:r>
      <w:r>
        <w:rPr>
          <w:rFonts w:eastAsia="Times New Roman"/>
          <w:bCs/>
          <w:kern w:val="32"/>
          <w:sz w:val="22"/>
          <w:szCs w:val="22"/>
        </w:rPr>
        <w:t xml:space="preserve"> у складу са техничком документацијом</w:t>
      </w:r>
      <w:r>
        <w:rPr>
          <w:rFonts w:eastAsia="Times New Roman"/>
          <w:bCs/>
          <w:kern w:val="32"/>
          <w:sz w:val="22"/>
          <w:szCs w:val="22"/>
          <w:lang w:val="sr-Cyrl-RS"/>
        </w:rPr>
        <w:t>,</w:t>
      </w:r>
      <w:r>
        <w:rPr>
          <w:rFonts w:eastAsia="Times New Roman"/>
          <w:bCs/>
          <w:kern w:val="32"/>
          <w:sz w:val="22"/>
          <w:szCs w:val="22"/>
        </w:rPr>
        <w:t xml:space="preserve"> у оквиру 3 зоне за инвестирање:</w:t>
      </w:r>
      <w:r>
        <w:rPr>
          <w:rFonts w:eastAsia="Times New Roman"/>
          <w:bCs/>
          <w:kern w:val="32"/>
          <w:sz w:val="22"/>
          <w:szCs w:val="22"/>
          <w:lang w:val="sr-Cyrl-RS"/>
        </w:rPr>
        <w:t xml:space="preserve"> </w:t>
      </w:r>
      <w:r>
        <w:rPr>
          <w:rFonts w:eastAsia="Times New Roman"/>
          <w:bCs/>
          <w:kern w:val="32"/>
          <w:sz w:val="22"/>
          <w:szCs w:val="22"/>
        </w:rPr>
        <w:t>1</w:t>
      </w:r>
      <w:r>
        <w:rPr>
          <w:rFonts w:eastAsia="Times New Roman"/>
          <w:bCs/>
          <w:kern w:val="32"/>
          <w:sz w:val="22"/>
          <w:szCs w:val="22"/>
          <w:lang w:val="sr-Cyrl-RS"/>
        </w:rPr>
        <w:t>)</w:t>
      </w:r>
      <w:r>
        <w:rPr>
          <w:rFonts w:eastAsia="Times New Roman"/>
          <w:bCs/>
          <w:kern w:val="32"/>
          <w:sz w:val="22"/>
          <w:szCs w:val="22"/>
        </w:rPr>
        <w:t xml:space="preserve"> </w:t>
      </w:r>
      <w:r>
        <w:rPr>
          <w:rFonts w:eastAsia="Times New Roman"/>
          <w:bCs/>
          <w:kern w:val="32"/>
          <w:sz w:val="22"/>
          <w:szCs w:val="22"/>
          <w:lang w:val="sr-Cyrl-RS"/>
        </w:rPr>
        <w:t>л</w:t>
      </w:r>
      <w:r>
        <w:rPr>
          <w:rFonts w:eastAsia="Times New Roman"/>
          <w:bCs/>
          <w:kern w:val="32"/>
          <w:sz w:val="22"/>
          <w:szCs w:val="22"/>
        </w:rPr>
        <w:t>окациј</w:t>
      </w:r>
      <w:r>
        <w:rPr>
          <w:rFonts w:eastAsia="Times New Roman"/>
          <w:bCs/>
          <w:kern w:val="32"/>
          <w:sz w:val="22"/>
          <w:szCs w:val="22"/>
          <w:lang w:val="sr-Cyrl-RS"/>
        </w:rPr>
        <w:t>е</w:t>
      </w:r>
      <w:r>
        <w:rPr>
          <w:rFonts w:eastAsia="Times New Roman"/>
          <w:bCs/>
          <w:kern w:val="32"/>
          <w:sz w:val="22"/>
          <w:szCs w:val="22"/>
        </w:rPr>
        <w:t xml:space="preserve"> „Јелшинград“</w:t>
      </w:r>
      <w:r>
        <w:rPr>
          <w:rFonts w:eastAsia="Times New Roman"/>
          <w:bCs/>
          <w:kern w:val="32"/>
          <w:sz w:val="22"/>
          <w:szCs w:val="22"/>
          <w:lang w:val="sr-Cyrl-RS"/>
        </w:rPr>
        <w:t xml:space="preserve">, </w:t>
      </w:r>
      <w:r>
        <w:rPr>
          <w:rFonts w:eastAsia="Times New Roman"/>
          <w:bCs/>
          <w:kern w:val="32"/>
          <w:sz w:val="22"/>
          <w:szCs w:val="22"/>
        </w:rPr>
        <w:t>2</w:t>
      </w:r>
      <w:r>
        <w:rPr>
          <w:rFonts w:eastAsia="Times New Roman"/>
          <w:bCs/>
          <w:kern w:val="32"/>
          <w:sz w:val="22"/>
          <w:szCs w:val="22"/>
          <w:lang w:val="sr-Cyrl-RS"/>
        </w:rPr>
        <w:t>)</w:t>
      </w:r>
      <w:r>
        <w:rPr>
          <w:rFonts w:eastAsia="Times New Roman"/>
          <w:bCs/>
          <w:kern w:val="32"/>
          <w:sz w:val="22"/>
          <w:szCs w:val="22"/>
        </w:rPr>
        <w:t xml:space="preserve"> Прошире</w:t>
      </w:r>
      <w:r>
        <w:rPr>
          <w:rFonts w:eastAsia="Times New Roman"/>
          <w:bCs/>
          <w:kern w:val="32"/>
          <w:sz w:val="22"/>
          <w:szCs w:val="22"/>
          <w:lang w:val="sr-Cyrl-RS"/>
        </w:rPr>
        <w:t>не</w:t>
      </w:r>
      <w:r>
        <w:rPr>
          <w:rFonts w:eastAsia="Times New Roman"/>
          <w:bCs/>
          <w:kern w:val="32"/>
          <w:sz w:val="22"/>
          <w:szCs w:val="22"/>
        </w:rPr>
        <w:t xml:space="preserve"> пословне зоне „Рамићи-Бања Лука“</w:t>
      </w:r>
      <w:r>
        <w:rPr>
          <w:rFonts w:eastAsia="Times New Roman"/>
          <w:bCs/>
          <w:kern w:val="32"/>
          <w:sz w:val="22"/>
          <w:szCs w:val="22"/>
          <w:lang w:val="sr-Cyrl-RS"/>
        </w:rPr>
        <w:t xml:space="preserve"> и 3) л</w:t>
      </w:r>
      <w:r>
        <w:rPr>
          <w:rFonts w:eastAsia="Times New Roman"/>
          <w:bCs/>
          <w:kern w:val="32"/>
          <w:sz w:val="22"/>
          <w:szCs w:val="22"/>
        </w:rPr>
        <w:t>окациј</w:t>
      </w:r>
      <w:r>
        <w:rPr>
          <w:rFonts w:eastAsia="Times New Roman"/>
          <w:bCs/>
          <w:kern w:val="32"/>
          <w:sz w:val="22"/>
          <w:szCs w:val="22"/>
          <w:lang w:val="sr-Cyrl-RS"/>
        </w:rPr>
        <w:t>е</w:t>
      </w:r>
      <w:r>
        <w:rPr>
          <w:rFonts w:eastAsia="Times New Roman"/>
          <w:bCs/>
          <w:kern w:val="32"/>
          <w:sz w:val="22"/>
          <w:szCs w:val="22"/>
        </w:rPr>
        <w:t xml:space="preserve"> „Вујиновићи – Запад“. Значајан дио средстава издвојен је за </w:t>
      </w:r>
      <w:r>
        <w:rPr>
          <w:rFonts w:eastAsia="Times New Roman"/>
          <w:bCs/>
          <w:kern w:val="32"/>
          <w:sz w:val="22"/>
          <w:szCs w:val="22"/>
          <w:lang w:val="sr-Cyrl-RS"/>
        </w:rPr>
        <w:t xml:space="preserve">мјере јачања капацитета за подршку локалном економском развоју, успостављање, институционално јачање и унапређење капацитета Развојно-едукативног центра, Иновационог центра Бања Лука, Центра за развој пољопривреде и села и Пољопривредног машинског сервиса. У фокусу Плана имплементације за период 2018-2020. године су и за </w:t>
      </w:r>
      <w:r>
        <w:rPr>
          <w:rFonts w:eastAsia="Times New Roman"/>
          <w:bCs/>
          <w:kern w:val="32"/>
          <w:sz w:val="22"/>
          <w:szCs w:val="22"/>
        </w:rPr>
        <w:t>подстицај</w:t>
      </w:r>
      <w:r>
        <w:rPr>
          <w:rFonts w:eastAsia="Times New Roman"/>
          <w:bCs/>
          <w:kern w:val="32"/>
          <w:sz w:val="22"/>
          <w:szCs w:val="22"/>
          <w:lang w:val="sr-Cyrl-RS"/>
        </w:rPr>
        <w:t>и</w:t>
      </w:r>
      <w:r>
        <w:rPr>
          <w:rFonts w:eastAsia="Times New Roman"/>
          <w:bCs/>
          <w:kern w:val="32"/>
          <w:sz w:val="22"/>
          <w:szCs w:val="22"/>
        </w:rPr>
        <w:t xml:space="preserve"> и подршк</w:t>
      </w:r>
      <w:r>
        <w:rPr>
          <w:rFonts w:eastAsia="Times New Roman"/>
          <w:bCs/>
          <w:kern w:val="32"/>
          <w:sz w:val="22"/>
          <w:szCs w:val="22"/>
          <w:lang w:val="sr-Cyrl-RS"/>
        </w:rPr>
        <w:t>а</w:t>
      </w:r>
      <w:r>
        <w:rPr>
          <w:rFonts w:eastAsia="Times New Roman"/>
          <w:bCs/>
          <w:kern w:val="32"/>
          <w:sz w:val="22"/>
          <w:szCs w:val="22"/>
        </w:rPr>
        <w:t xml:space="preserve"> </w:t>
      </w:r>
      <w:r>
        <w:rPr>
          <w:rFonts w:eastAsia="Times New Roman"/>
          <w:bCs/>
          <w:kern w:val="32"/>
          <w:sz w:val="22"/>
          <w:szCs w:val="22"/>
          <w:lang w:val="sr-Cyrl-RS"/>
        </w:rPr>
        <w:t xml:space="preserve">малим и средњим предузећима - нарочито у области иновационе дјелатности и реализације програма запошљавања и самозапошљавања и успостаљање локалних партнерстава за запошљавање. У периоду 2018-2020. године, биће издвојена и подстицајна средства за унапређење </w:t>
      </w:r>
      <w:r>
        <w:rPr>
          <w:rFonts w:eastAsia="Times New Roman"/>
          <w:bCs/>
          <w:kern w:val="32"/>
          <w:sz w:val="22"/>
          <w:szCs w:val="22"/>
        </w:rPr>
        <w:t>пољопривред</w:t>
      </w:r>
      <w:r>
        <w:rPr>
          <w:rFonts w:eastAsia="Times New Roman"/>
          <w:bCs/>
          <w:kern w:val="32"/>
          <w:sz w:val="22"/>
          <w:szCs w:val="22"/>
          <w:lang w:val="sr-Cyrl-RS"/>
        </w:rPr>
        <w:t>не производње, а Град ће уложити напоре да побољша конкуретност малих и средњих предузећа и пољопривредних произвођача кроз улагање у различите видове едукације, изградњу рејонских тржница, подршку оснивању мини-прерађивачких и производних погона и рекултивисање запуштених парцела обрадивог пољопривредног земљишта</w:t>
      </w:r>
      <w:r>
        <w:rPr>
          <w:rFonts w:eastAsia="Times New Roman"/>
          <w:bCs/>
          <w:kern w:val="32"/>
          <w:sz w:val="22"/>
          <w:szCs w:val="22"/>
        </w:rPr>
        <w:t>.</w:t>
      </w:r>
      <w:r>
        <w:rPr>
          <w:rFonts w:eastAsia="Times New Roman"/>
          <w:bCs/>
          <w:kern w:val="32"/>
          <w:sz w:val="22"/>
          <w:szCs w:val="22"/>
          <w:lang w:val="sr-Cyrl-RS"/>
        </w:rPr>
        <w:t xml:space="preserve"> Планиране су различите промотивне активности, успостављање Центра за посјетиоце, као и битни, вриједни пројекти у области развоја различитих видова туризма: Изградња и унапређење здравствено-туристичког центра „Српске топлице“, уређење комплекса „Бањ Брдо“, изградња мултифункционалне дворане, Парка Љубави „Сафикада“, пристаништа за дајак, као и инфраструктуру за развој екстремног туризма, пјешачког и циклотуризма. Значајна средства уложиће се и у брендирање јединствених производа, интегрисање и креирање регионалних туристичких производа.</w:t>
      </w:r>
    </w:p>
    <w:p>
      <w:pPr>
        <w:pStyle w:val="13"/>
        <w:jc w:val="both"/>
        <w:rPr>
          <w:rFonts w:eastAsia="Times New Roman"/>
          <w:bCs/>
          <w:kern w:val="32"/>
          <w:sz w:val="22"/>
          <w:szCs w:val="22"/>
          <w:lang w:val="sr-Cyrl-RS"/>
        </w:rPr>
      </w:pPr>
    </w:p>
    <w:p>
      <w:pPr>
        <w:pStyle w:val="13"/>
        <w:jc w:val="both"/>
        <w:rPr>
          <w:rFonts w:eastAsia="Times New Roman"/>
          <w:bCs/>
          <w:kern w:val="32"/>
          <w:sz w:val="22"/>
          <w:szCs w:val="22"/>
          <w:lang w:val="sr-Latn-RS"/>
        </w:rPr>
      </w:pPr>
      <w:r>
        <w:rPr>
          <w:rFonts w:eastAsia="Times New Roman"/>
          <w:bCs/>
          <w:kern w:val="32"/>
          <w:sz w:val="22"/>
          <w:szCs w:val="22"/>
        </w:rPr>
        <w:t xml:space="preserve">Пројекти планирани у оквиру </w:t>
      </w:r>
      <w:r>
        <w:rPr>
          <w:rFonts w:eastAsia="Times New Roman"/>
          <w:b/>
          <w:bCs/>
          <w:kern w:val="32"/>
          <w:sz w:val="22"/>
          <w:szCs w:val="22"/>
        </w:rPr>
        <w:t>сектора друштвеног развоја</w:t>
      </w:r>
      <w:r>
        <w:rPr>
          <w:rFonts w:eastAsia="Times New Roman"/>
          <w:bCs/>
          <w:kern w:val="32"/>
          <w:sz w:val="22"/>
          <w:szCs w:val="22"/>
        </w:rPr>
        <w:t xml:space="preserve"> односе се на унапређење</w:t>
      </w:r>
      <w:r>
        <w:rPr>
          <w:rFonts w:eastAsia="Times New Roman"/>
          <w:bCs/>
          <w:kern w:val="32"/>
          <w:sz w:val="22"/>
          <w:szCs w:val="22"/>
          <w:lang w:val="sr-Cyrl-RS"/>
        </w:rPr>
        <w:t xml:space="preserve"> образовања (изградња и реконструкција вртића, предшколских и школских установа,  одржавање образовних установа у урбаном и руралном подручју, набавка опреме и учила, подршка инклузивном образовању, итд.), социјалне заштите (нарочито успостављање и унапређење институционалне и ванинституционалне подршке за осјетиљиве групе, као и побољшање </w:t>
      </w:r>
      <w:r>
        <w:rPr>
          <w:rFonts w:eastAsia="Times New Roman"/>
          <w:bCs/>
          <w:kern w:val="32"/>
          <w:sz w:val="22"/>
          <w:szCs w:val="22"/>
        </w:rPr>
        <w:t>услова</w:t>
      </w:r>
      <w:r>
        <w:rPr>
          <w:rFonts w:eastAsia="Times New Roman"/>
          <w:bCs/>
          <w:kern w:val="32"/>
          <w:sz w:val="22"/>
          <w:szCs w:val="22"/>
          <w:lang w:val="sr-Cyrl-RS"/>
        </w:rPr>
        <w:t xml:space="preserve"> за</w:t>
      </w:r>
      <w:r>
        <w:rPr>
          <w:rFonts w:eastAsia="Times New Roman"/>
          <w:bCs/>
          <w:kern w:val="32"/>
          <w:sz w:val="22"/>
          <w:szCs w:val="22"/>
        </w:rPr>
        <w:t xml:space="preserve"> живот за особе са сметњама у развоју</w:t>
      </w:r>
      <w:r>
        <w:rPr>
          <w:rFonts w:eastAsia="Times New Roman"/>
          <w:bCs/>
          <w:kern w:val="32"/>
          <w:sz w:val="22"/>
          <w:szCs w:val="22"/>
          <w:lang w:val="sr-Cyrl-RS"/>
        </w:rPr>
        <w:t xml:space="preserve">; развој </w:t>
      </w:r>
      <w:r>
        <w:rPr>
          <w:rFonts w:eastAsia="Times New Roman"/>
          <w:bCs/>
          <w:kern w:val="32"/>
          <w:sz w:val="22"/>
          <w:szCs w:val="22"/>
        </w:rPr>
        <w:t>примарне здравствене заштите</w:t>
      </w:r>
      <w:r>
        <w:rPr>
          <w:rFonts w:eastAsia="Times New Roman"/>
          <w:bCs/>
          <w:kern w:val="32"/>
          <w:sz w:val="22"/>
          <w:szCs w:val="22"/>
          <w:lang w:val="sr-Cyrl-RS"/>
        </w:rPr>
        <w:t xml:space="preserve"> (реконструкција и изградња  амбуланти породичне медицине, набавка опреме и превозних средстава за Дом здравља), изградња неопходне инфраструктуре за развој спорта и рекреације, промоција спорта, подршка спортским клубовима, као и укупно унапређење</w:t>
      </w:r>
      <w:r>
        <w:rPr>
          <w:rFonts w:eastAsia="Times New Roman"/>
          <w:bCs/>
          <w:kern w:val="32"/>
          <w:sz w:val="22"/>
          <w:szCs w:val="22"/>
        </w:rPr>
        <w:t xml:space="preserve"> услова за живот и развој младих</w:t>
      </w:r>
      <w:r>
        <w:rPr>
          <w:rFonts w:eastAsia="Times New Roman"/>
          <w:bCs/>
          <w:kern w:val="32"/>
          <w:sz w:val="22"/>
          <w:szCs w:val="22"/>
          <w:lang w:val="sr-Cyrl-RS"/>
        </w:rPr>
        <w:t xml:space="preserve">. </w:t>
      </w:r>
      <w:r>
        <w:rPr>
          <w:rFonts w:eastAsia="Times New Roman"/>
          <w:bCs/>
          <w:kern w:val="32"/>
          <w:sz w:val="22"/>
          <w:szCs w:val="22"/>
        </w:rPr>
        <w:t xml:space="preserve"> У трогодишњем плану имплементације, </w:t>
      </w:r>
      <w:r>
        <w:rPr>
          <w:rFonts w:eastAsia="Times New Roman"/>
          <w:bCs/>
          <w:kern w:val="32"/>
          <w:sz w:val="22"/>
          <w:szCs w:val="22"/>
          <w:lang w:val="sr-Cyrl-RS"/>
        </w:rPr>
        <w:t>нарочито значајно</w:t>
      </w:r>
      <w:r>
        <w:rPr>
          <w:rFonts w:eastAsia="Times New Roman"/>
          <w:bCs/>
          <w:kern w:val="32"/>
          <w:sz w:val="22"/>
          <w:szCs w:val="22"/>
        </w:rPr>
        <w:t xml:space="preserve"> мјесто </w:t>
      </w:r>
      <w:r>
        <w:rPr>
          <w:rFonts w:eastAsia="Times New Roman"/>
          <w:bCs/>
          <w:kern w:val="32"/>
          <w:sz w:val="22"/>
          <w:szCs w:val="22"/>
          <w:lang w:val="sr-Cyrl-RS"/>
        </w:rPr>
        <w:t>има развој</w:t>
      </w:r>
      <w:r>
        <w:rPr>
          <w:rFonts w:eastAsia="Times New Roman"/>
          <w:bCs/>
          <w:kern w:val="32"/>
          <w:sz w:val="22"/>
          <w:szCs w:val="22"/>
        </w:rPr>
        <w:t xml:space="preserve"> културе</w:t>
      </w:r>
      <w:r>
        <w:rPr>
          <w:rFonts w:eastAsia="Times New Roman"/>
          <w:bCs/>
          <w:kern w:val="32"/>
          <w:sz w:val="22"/>
          <w:szCs w:val="22"/>
          <w:lang w:val="sr-Cyrl-RS"/>
        </w:rPr>
        <w:t xml:space="preserve">, организован као низ пројеката и мјера усмјерених на развој инфраструктуре, културних и умјетничких садржаја, а све у циљу да Бања Лука заиста постане </w:t>
      </w:r>
      <w:r>
        <w:rPr>
          <w:rFonts w:eastAsia="Times New Roman"/>
          <w:bCs/>
          <w:i/>
          <w:kern w:val="32"/>
          <w:sz w:val="22"/>
          <w:szCs w:val="22"/>
          <w:lang w:val="sr-Cyrl-RS"/>
        </w:rPr>
        <w:t>Престоница културе</w:t>
      </w:r>
      <w:r>
        <w:rPr>
          <w:rFonts w:eastAsia="Times New Roman"/>
          <w:bCs/>
          <w:kern w:val="32"/>
          <w:sz w:val="22"/>
          <w:szCs w:val="22"/>
          <w:lang w:val="sr-Cyrl-RS"/>
        </w:rPr>
        <w:t xml:space="preserve"> 2024. године. Сарадња и партнерство са организацијама цивилног друштва адекватно је сагледана, а сваке године ће се издвајати значајна средства за суфинансирање развојних пројеката. Коначно, у области друштвеног развоја, неопходна пажња је посвећена и пројектима и мјерама за јачање опште безбједности грађана.</w:t>
      </w:r>
    </w:p>
    <w:p>
      <w:pPr>
        <w:pStyle w:val="13"/>
        <w:jc w:val="both"/>
        <w:rPr>
          <w:rFonts w:eastAsia="Times New Roman"/>
          <w:bCs/>
          <w:kern w:val="32"/>
          <w:sz w:val="22"/>
          <w:szCs w:val="22"/>
          <w:lang w:val="sr-Latn-RS"/>
        </w:rPr>
      </w:pPr>
    </w:p>
    <w:p>
      <w:pPr>
        <w:pStyle w:val="13"/>
        <w:jc w:val="both"/>
        <w:rPr>
          <w:rFonts w:eastAsia="Times New Roman"/>
          <w:bCs/>
          <w:kern w:val="32"/>
          <w:sz w:val="22"/>
          <w:szCs w:val="22"/>
          <w:lang w:val="sr-Cyrl-RS"/>
        </w:rPr>
      </w:pPr>
      <w:r>
        <w:rPr>
          <w:rFonts w:eastAsia="Times New Roman"/>
          <w:bCs/>
          <w:kern w:val="32"/>
          <w:sz w:val="22"/>
          <w:szCs w:val="22"/>
          <w:lang w:val="sr-Cyrl-RS"/>
        </w:rPr>
        <w:t>М</w:t>
      </w:r>
      <w:r>
        <w:rPr>
          <w:rFonts w:eastAsia="Times New Roman"/>
          <w:bCs/>
          <w:kern w:val="32"/>
          <w:sz w:val="22"/>
          <w:szCs w:val="22"/>
        </w:rPr>
        <w:t>одернизациј</w:t>
      </w:r>
      <w:r>
        <w:rPr>
          <w:rFonts w:eastAsia="Times New Roman"/>
          <w:bCs/>
          <w:kern w:val="32"/>
          <w:sz w:val="22"/>
          <w:szCs w:val="22"/>
          <w:lang w:val="sr-Cyrl-RS"/>
        </w:rPr>
        <w:t>а</w:t>
      </w:r>
      <w:r>
        <w:rPr>
          <w:rFonts w:eastAsia="Times New Roman"/>
          <w:bCs/>
          <w:kern w:val="32"/>
          <w:sz w:val="22"/>
          <w:szCs w:val="22"/>
        </w:rPr>
        <w:t xml:space="preserve"> локалне самоуправе</w:t>
      </w:r>
      <w:r>
        <w:rPr>
          <w:rFonts w:eastAsia="Times New Roman"/>
          <w:bCs/>
          <w:kern w:val="32"/>
          <w:sz w:val="22"/>
          <w:szCs w:val="22"/>
          <w:lang w:val="sr-Cyrl-RS"/>
        </w:rPr>
        <w:t xml:space="preserve"> и увођење концепта </w:t>
      </w:r>
      <w:r>
        <w:rPr>
          <w:rFonts w:eastAsia="Times New Roman"/>
          <w:bCs/>
          <w:i/>
          <w:kern w:val="32"/>
          <w:sz w:val="22"/>
          <w:szCs w:val="22"/>
          <w:lang w:val="sr-Latn-RS"/>
        </w:rPr>
        <w:t xml:space="preserve">Smart City </w:t>
      </w:r>
      <w:r>
        <w:rPr>
          <w:rFonts w:eastAsia="Times New Roman"/>
          <w:bCs/>
          <w:kern w:val="32"/>
          <w:sz w:val="22"/>
          <w:szCs w:val="22"/>
          <w:lang w:val="sr-Cyrl-RS"/>
        </w:rPr>
        <w:t xml:space="preserve">у периоду 2018-2020. године спроводиће се кроз низ пројеката и мјера, које се, прије свега, односе на увођење е-Управе, унапређење административних процедура, примјену информационих технологија (на примјер, кроз свеобухватнији развој и коришћење географског информационог система), унапређење финансијског управљања и инспекцијског надзора. Значајна средства издвојиће се за увођење савремене урбане инфраструктуре и коришћење разних „паметних“ рјешења (на примјер, </w:t>
      </w:r>
      <w:r>
        <w:rPr>
          <w:rFonts w:eastAsia="Times New Roman"/>
          <w:bCs/>
          <w:i/>
          <w:kern w:val="32"/>
          <w:sz w:val="22"/>
          <w:szCs w:val="22"/>
          <w:lang w:val="en-US"/>
        </w:rPr>
        <w:t>Bike</w:t>
      </w:r>
      <w:r>
        <w:rPr>
          <w:rFonts w:eastAsia="Times New Roman"/>
          <w:bCs/>
          <w:i/>
          <w:kern w:val="32"/>
          <w:sz w:val="22"/>
          <w:szCs w:val="22"/>
          <w:lang w:val="sr-Cyrl-RS"/>
        </w:rPr>
        <w:t xml:space="preserve"> </w:t>
      </w:r>
      <w:r>
        <w:rPr>
          <w:rFonts w:eastAsia="Times New Roman"/>
          <w:bCs/>
          <w:i/>
          <w:kern w:val="32"/>
          <w:sz w:val="22"/>
          <w:szCs w:val="22"/>
          <w:lang w:val="en-US"/>
        </w:rPr>
        <w:t>Sharing</w:t>
      </w:r>
      <w:r>
        <w:rPr>
          <w:rFonts w:eastAsia="Times New Roman"/>
          <w:bCs/>
          <w:kern w:val="32"/>
          <w:sz w:val="22"/>
          <w:szCs w:val="22"/>
          <w:lang w:val="sr-Cyrl-RS"/>
        </w:rPr>
        <w:t>, „паметна аутобуска стајалишта“, бесплатан интернет на више пунктова у граду, пуњачи за електрична возила, итд.)</w:t>
      </w:r>
      <w:r>
        <w:rPr>
          <w:rFonts w:eastAsia="Times New Roman"/>
          <w:bCs/>
          <w:i/>
          <w:kern w:val="32"/>
          <w:sz w:val="22"/>
          <w:szCs w:val="22"/>
          <w:lang w:val="sr-Cyrl-RS"/>
        </w:rPr>
        <w:t xml:space="preserve"> </w:t>
      </w:r>
    </w:p>
    <w:p>
      <w:pPr>
        <w:pStyle w:val="13"/>
        <w:jc w:val="both"/>
        <w:rPr>
          <w:rFonts w:eastAsia="Times New Roman"/>
          <w:bCs/>
          <w:kern w:val="32"/>
          <w:sz w:val="22"/>
          <w:szCs w:val="22"/>
        </w:rPr>
      </w:pPr>
    </w:p>
    <w:p>
      <w:pPr>
        <w:pStyle w:val="13"/>
        <w:jc w:val="both"/>
        <w:rPr>
          <w:rFonts w:eastAsia="Times New Roman"/>
          <w:bCs/>
          <w:kern w:val="32"/>
          <w:sz w:val="22"/>
          <w:szCs w:val="22"/>
          <w:lang w:val="sr-Cyrl-RS"/>
        </w:rPr>
      </w:pPr>
      <w:r>
        <w:rPr>
          <w:rFonts w:eastAsia="Times New Roman"/>
          <w:bCs/>
          <w:kern w:val="32"/>
          <w:sz w:val="22"/>
          <w:szCs w:val="22"/>
        </w:rPr>
        <w:t xml:space="preserve">У оквиру </w:t>
      </w:r>
      <w:r>
        <w:rPr>
          <w:rFonts w:eastAsia="Times New Roman"/>
          <w:b/>
          <w:bCs/>
          <w:kern w:val="32"/>
          <w:sz w:val="22"/>
          <w:szCs w:val="22"/>
        </w:rPr>
        <w:t>сектора заштите животне средине</w:t>
      </w:r>
      <w:r>
        <w:rPr>
          <w:rFonts w:eastAsia="Times New Roman"/>
          <w:bCs/>
          <w:kern w:val="32"/>
          <w:sz w:val="22"/>
          <w:szCs w:val="22"/>
        </w:rPr>
        <w:t xml:space="preserve"> планиран</w:t>
      </w:r>
      <w:r>
        <w:rPr>
          <w:rFonts w:eastAsia="Times New Roman"/>
          <w:bCs/>
          <w:kern w:val="32"/>
          <w:sz w:val="22"/>
          <w:szCs w:val="22"/>
          <w:lang w:val="sr-Cyrl-RS"/>
        </w:rPr>
        <w:t>и су капитални п</w:t>
      </w:r>
      <w:r>
        <w:rPr>
          <w:rFonts w:eastAsia="Times New Roman"/>
          <w:bCs/>
          <w:kern w:val="32"/>
          <w:sz w:val="22"/>
          <w:szCs w:val="22"/>
        </w:rPr>
        <w:t xml:space="preserve">ројекти од великог значаја и подразумјевају </w:t>
      </w:r>
      <w:r>
        <w:rPr>
          <w:rFonts w:eastAsia="Times New Roman"/>
          <w:bCs/>
          <w:kern w:val="32"/>
          <w:sz w:val="22"/>
          <w:szCs w:val="22"/>
          <w:lang w:val="sr-Cyrl-RS"/>
        </w:rPr>
        <w:t>озбиљна</w:t>
      </w:r>
      <w:r>
        <w:rPr>
          <w:rFonts w:eastAsia="Times New Roman"/>
          <w:bCs/>
          <w:kern w:val="32"/>
          <w:sz w:val="22"/>
          <w:szCs w:val="22"/>
        </w:rPr>
        <w:t xml:space="preserve"> инфраструктурна улагања у реконструкцију и изградњу </w:t>
      </w:r>
      <w:r>
        <w:rPr>
          <w:rFonts w:eastAsia="Times New Roman"/>
          <w:bCs/>
          <w:kern w:val="32"/>
          <w:sz w:val="22"/>
          <w:szCs w:val="22"/>
          <w:lang w:val="sr-Cyrl-RS"/>
        </w:rPr>
        <w:t xml:space="preserve">примарне и секундарне </w:t>
      </w:r>
      <w:r>
        <w:rPr>
          <w:rFonts w:eastAsia="Times New Roman"/>
          <w:bCs/>
          <w:kern w:val="32"/>
          <w:sz w:val="22"/>
          <w:szCs w:val="22"/>
        </w:rPr>
        <w:t xml:space="preserve">водоводне  и канализационе мреже, унапређење система </w:t>
      </w:r>
      <w:r>
        <w:rPr>
          <w:rFonts w:eastAsia="Times New Roman"/>
          <w:bCs/>
          <w:kern w:val="32"/>
          <w:sz w:val="22"/>
          <w:szCs w:val="22"/>
          <w:lang w:val="sr-Cyrl-RS"/>
        </w:rPr>
        <w:t>за одводњу отпадних вода</w:t>
      </w:r>
      <w:r>
        <w:rPr>
          <w:rFonts w:eastAsia="Times New Roman"/>
          <w:bCs/>
          <w:kern w:val="32"/>
          <w:sz w:val="22"/>
          <w:szCs w:val="22"/>
        </w:rPr>
        <w:t xml:space="preserve">, као и управљања отпадом на територији </w:t>
      </w:r>
      <w:r>
        <w:rPr>
          <w:rFonts w:eastAsia="Times New Roman"/>
          <w:bCs/>
          <w:kern w:val="32"/>
          <w:sz w:val="22"/>
          <w:szCs w:val="22"/>
          <w:lang w:val="sr-Cyrl-RS"/>
        </w:rPr>
        <w:t>града Бања Лука</w:t>
      </w:r>
      <w:r>
        <w:rPr>
          <w:rFonts w:eastAsia="Times New Roman"/>
          <w:bCs/>
          <w:kern w:val="32"/>
          <w:sz w:val="22"/>
          <w:szCs w:val="22"/>
        </w:rPr>
        <w:t xml:space="preserve"> (</w:t>
      </w:r>
      <w:r>
        <w:rPr>
          <w:rFonts w:eastAsia="Times New Roman"/>
          <w:bCs/>
          <w:kern w:val="32"/>
          <w:sz w:val="22"/>
          <w:szCs w:val="22"/>
          <w:lang w:val="sr-Cyrl-RS"/>
        </w:rPr>
        <w:t xml:space="preserve">даља улагања у регионалну депонију, </w:t>
      </w:r>
      <w:r>
        <w:rPr>
          <w:rFonts w:eastAsia="Times New Roman"/>
          <w:bCs/>
          <w:kern w:val="32"/>
          <w:sz w:val="22"/>
          <w:szCs w:val="22"/>
        </w:rPr>
        <w:t xml:space="preserve">укључивање већег броја домаћинстава у системско прикупљање отпада, набавка </w:t>
      </w:r>
      <w:r>
        <w:rPr>
          <w:rFonts w:eastAsia="Times New Roman"/>
          <w:bCs/>
          <w:kern w:val="32"/>
          <w:sz w:val="22"/>
          <w:szCs w:val="22"/>
          <w:lang w:val="sr-Cyrl-RS"/>
        </w:rPr>
        <w:t>контејнера, изградња рециклажних дворишта, итд.</w:t>
      </w:r>
      <w:r>
        <w:rPr>
          <w:rFonts w:eastAsia="Times New Roman"/>
          <w:bCs/>
          <w:kern w:val="32"/>
          <w:sz w:val="22"/>
          <w:szCs w:val="22"/>
        </w:rPr>
        <w:t>)</w:t>
      </w:r>
      <w:r>
        <w:rPr>
          <w:rFonts w:eastAsia="Times New Roman"/>
          <w:bCs/>
          <w:kern w:val="32"/>
          <w:sz w:val="22"/>
          <w:szCs w:val="22"/>
          <w:lang w:val="sr-Cyrl-RS"/>
        </w:rPr>
        <w:t>, те</w:t>
      </w:r>
      <w:r>
        <w:rPr>
          <w:rFonts w:eastAsia="Times New Roman"/>
          <w:bCs/>
          <w:kern w:val="32"/>
          <w:sz w:val="22"/>
          <w:szCs w:val="22"/>
        </w:rPr>
        <w:t xml:space="preserve"> подизање свјести грађана о неопходности заштите животне средине. </w:t>
      </w:r>
      <w:r>
        <w:rPr>
          <w:rFonts w:eastAsia="Times New Roman"/>
          <w:bCs/>
          <w:kern w:val="32"/>
          <w:sz w:val="22"/>
          <w:szCs w:val="22"/>
          <w:lang w:val="sr-Cyrl-RS"/>
        </w:rPr>
        <w:t xml:space="preserve">У </w:t>
      </w:r>
      <w:r>
        <w:rPr>
          <w:rFonts w:eastAsia="Times New Roman"/>
          <w:bCs/>
          <w:kern w:val="32"/>
          <w:sz w:val="22"/>
          <w:szCs w:val="22"/>
        </w:rPr>
        <w:t xml:space="preserve">наредне три године </w:t>
      </w:r>
      <w:r>
        <w:rPr>
          <w:rFonts w:eastAsia="Times New Roman"/>
          <w:bCs/>
          <w:kern w:val="32"/>
          <w:sz w:val="22"/>
          <w:szCs w:val="22"/>
          <w:lang w:val="sr-Cyrl-RS"/>
        </w:rPr>
        <w:t xml:space="preserve">ће се систематски промовисати и уводити концепт </w:t>
      </w:r>
      <w:r>
        <w:rPr>
          <w:rFonts w:eastAsia="Times New Roman"/>
          <w:bCs/>
          <w:i/>
          <w:kern w:val="32"/>
          <w:sz w:val="22"/>
          <w:szCs w:val="22"/>
        </w:rPr>
        <w:t>Green City</w:t>
      </w:r>
      <w:r>
        <w:rPr>
          <w:rFonts w:eastAsia="Times New Roman"/>
          <w:bCs/>
          <w:kern w:val="32"/>
          <w:sz w:val="22"/>
          <w:szCs w:val="22"/>
        </w:rPr>
        <w:t xml:space="preserve">, </w:t>
      </w:r>
      <w:r>
        <w:rPr>
          <w:rFonts w:eastAsia="Times New Roman"/>
          <w:bCs/>
          <w:kern w:val="32"/>
          <w:sz w:val="22"/>
          <w:szCs w:val="22"/>
          <w:lang w:val="sr-Cyrl-RS"/>
        </w:rPr>
        <w:t xml:space="preserve">кроз пројекте и мјере  унапређења енергетске ефикасности, коришћења обновљивих извора енергије, заштите и његовања биодиверзитета, изградњу зелених површина, са пратећим садржајима, садњом дрвореда и даљом изградњом комуналне инфраструктуре у урбаним и руралним дијеловима града. Град Бања Лука ће у наредне три године уложити велики дио планираних средстава у изградњу нових саобраћајница, кружених раскрсница, реконструкцију улица у урбаном дијелу града, изградњу и реконструкцију путева у руралним областима, изградњу мостова и паркинг простора. Значајно мјесто заузимају и пројекти и мјере који се односе на превентиву и управљање ванредним ситуацијама, кроз изградњу институционалних капацитета и јачање људских ресурса, набавку опреме и сигнализације за снаге цивилне заштите и ватрогасну јединицу (један од капиталних пројеката за који ће се у наредне три године створити основ је изградња Ватрогасног дома на десној обали Врбаса). </w:t>
      </w:r>
    </w:p>
    <w:p>
      <w:pPr>
        <w:pStyle w:val="13"/>
        <w:jc w:val="both"/>
        <w:rPr>
          <w:rFonts w:eastAsia="Times New Roman"/>
          <w:bCs/>
          <w:kern w:val="32"/>
          <w:sz w:val="22"/>
          <w:szCs w:val="22"/>
        </w:rPr>
      </w:pPr>
    </w:p>
    <w:p>
      <w:pPr>
        <w:pStyle w:val="13"/>
        <w:jc w:val="both"/>
        <w:rPr>
          <w:rFonts w:eastAsia="Times New Roman"/>
          <w:bCs/>
          <w:kern w:val="32"/>
          <w:sz w:val="22"/>
          <w:szCs w:val="22"/>
        </w:rPr>
      </w:pPr>
      <w:r>
        <w:rPr>
          <w:rFonts w:eastAsia="Times New Roman"/>
          <w:bCs/>
          <w:kern w:val="32"/>
          <w:sz w:val="22"/>
          <w:szCs w:val="22"/>
        </w:rPr>
        <w:t xml:space="preserve">У плану имплементације може се уочити да из године у годину расте износ планираних средстава. Од укупно планираних </w:t>
      </w:r>
      <w:r>
        <w:rPr>
          <w:rFonts w:eastAsia="Times New Roman"/>
          <w:bCs/>
          <w:kern w:val="32"/>
          <w:sz w:val="22"/>
          <w:szCs w:val="22"/>
          <w:lang w:val="sr-Cyrl-CS"/>
        </w:rPr>
        <w:t>средстава</w:t>
      </w:r>
      <w:r>
        <w:rPr>
          <w:rFonts w:eastAsia="Times New Roman"/>
          <w:bCs/>
          <w:kern w:val="32"/>
          <w:sz w:val="22"/>
          <w:szCs w:val="22"/>
        </w:rPr>
        <w:t xml:space="preserve"> за реализацију пројеката и мјера (</w:t>
      </w:r>
      <w:r>
        <w:rPr>
          <w:rFonts w:eastAsia="Times New Roman"/>
          <w:bCs/>
          <w:kern w:val="32"/>
          <w:sz w:val="22"/>
          <w:szCs w:val="22"/>
          <w:lang w:val="sr-Cyrl-RS"/>
        </w:rPr>
        <w:t>196</w:t>
      </w:r>
      <w:r>
        <w:rPr>
          <w:rFonts w:eastAsia="Times New Roman"/>
          <w:bCs/>
          <w:kern w:val="32"/>
          <w:sz w:val="22"/>
          <w:szCs w:val="22"/>
        </w:rPr>
        <w:t>.</w:t>
      </w:r>
      <w:r>
        <w:rPr>
          <w:rFonts w:eastAsia="Times New Roman"/>
          <w:bCs/>
          <w:kern w:val="32"/>
          <w:sz w:val="22"/>
          <w:szCs w:val="22"/>
          <w:lang w:val="sr-Cyrl-RS"/>
        </w:rPr>
        <w:t>974</w:t>
      </w:r>
      <w:r>
        <w:rPr>
          <w:rFonts w:eastAsia="Times New Roman"/>
          <w:bCs/>
          <w:kern w:val="32"/>
          <w:sz w:val="22"/>
          <w:szCs w:val="22"/>
        </w:rPr>
        <w:t>.</w:t>
      </w:r>
      <w:r>
        <w:rPr>
          <w:rFonts w:eastAsia="Times New Roman"/>
          <w:bCs/>
          <w:kern w:val="32"/>
          <w:sz w:val="22"/>
          <w:szCs w:val="22"/>
          <w:lang w:val="sr-Cyrl-RS"/>
        </w:rPr>
        <w:t>382</w:t>
      </w:r>
      <w:r>
        <w:rPr>
          <w:rFonts w:eastAsia="Times New Roman"/>
          <w:bCs/>
          <w:kern w:val="32"/>
          <w:sz w:val="22"/>
          <w:szCs w:val="22"/>
        </w:rPr>
        <w:t xml:space="preserve"> КМ), планирана средства </w:t>
      </w:r>
      <w:r>
        <w:rPr>
          <w:rFonts w:eastAsia="Times New Roman"/>
          <w:bCs/>
          <w:kern w:val="32"/>
          <w:sz w:val="22"/>
          <w:szCs w:val="22"/>
          <w:lang w:val="sr-Cyrl-RS"/>
        </w:rPr>
        <w:t xml:space="preserve">за прву годину </w:t>
      </w:r>
      <w:r>
        <w:rPr>
          <w:rFonts w:eastAsia="Times New Roman"/>
          <w:bCs/>
          <w:kern w:val="32"/>
          <w:sz w:val="22"/>
          <w:szCs w:val="22"/>
        </w:rPr>
        <w:t xml:space="preserve">износе 51.178.402 KM (26% од укупног износа за три године); у другој години 60.849.540 КМ (31%), а у трећој 84.946.440 КМ (43%). </w:t>
      </w:r>
      <w:r>
        <w:rPr>
          <w:rFonts w:eastAsia="Times New Roman"/>
          <w:bCs/>
          <w:kern w:val="32"/>
          <w:sz w:val="22"/>
          <w:szCs w:val="22"/>
          <w:lang w:val="sr-Cyrl-RS"/>
        </w:rPr>
        <w:t xml:space="preserve">Износ се из године у годину постепено повећава. </w:t>
      </w:r>
      <w:r>
        <w:rPr>
          <w:rFonts w:eastAsia="Times New Roman"/>
          <w:bCs/>
          <w:kern w:val="32"/>
          <w:sz w:val="22"/>
          <w:szCs w:val="22"/>
        </w:rPr>
        <w:t xml:space="preserve">На тај начин, остављено је довољно времена да се благовремено осигурају средства, како у буџету </w:t>
      </w:r>
      <w:r>
        <w:rPr>
          <w:rFonts w:eastAsia="Times New Roman"/>
          <w:bCs/>
          <w:kern w:val="32"/>
          <w:sz w:val="22"/>
          <w:szCs w:val="22"/>
          <w:lang w:val="sr-Cyrl-RS"/>
        </w:rPr>
        <w:t>Града</w:t>
      </w:r>
      <w:r>
        <w:rPr>
          <w:rFonts w:eastAsia="Times New Roman"/>
          <w:bCs/>
          <w:kern w:val="32"/>
          <w:sz w:val="22"/>
          <w:szCs w:val="22"/>
        </w:rPr>
        <w:t>, тако и из екстерних извора. У детаљном индикативном финансијском плану, који је у ц</w:t>
      </w:r>
      <w:r>
        <w:rPr>
          <w:rFonts w:eastAsia="Times New Roman"/>
          <w:bCs/>
          <w:kern w:val="32"/>
          <w:sz w:val="22"/>
          <w:szCs w:val="22"/>
          <w:lang w:val="sr-Cyrl-CS"/>
        </w:rPr>
        <w:t>ј</w:t>
      </w:r>
      <w:r>
        <w:rPr>
          <w:rFonts w:eastAsia="Times New Roman"/>
          <w:bCs/>
          <w:kern w:val="32"/>
          <w:sz w:val="22"/>
          <w:szCs w:val="22"/>
        </w:rPr>
        <w:t xml:space="preserve">елости дат у </w:t>
      </w:r>
      <w:r>
        <w:rPr>
          <w:rFonts w:eastAsia="Times New Roman"/>
          <w:bCs/>
          <w:kern w:val="32"/>
          <w:sz w:val="22"/>
          <w:szCs w:val="22"/>
          <w:lang w:val="sr-Cyrl-CS"/>
        </w:rPr>
        <w:t>прилогу</w:t>
      </w:r>
      <w:r>
        <w:rPr>
          <w:rFonts w:eastAsia="Times New Roman"/>
          <w:bCs/>
          <w:kern w:val="32"/>
          <w:sz w:val="22"/>
          <w:szCs w:val="22"/>
        </w:rPr>
        <w:t>, може се видети и да су за неке значајне пројекте ве</w:t>
      </w:r>
      <w:r>
        <w:rPr>
          <w:rFonts w:eastAsia="Times New Roman"/>
          <w:bCs/>
          <w:kern w:val="32"/>
          <w:sz w:val="22"/>
          <w:szCs w:val="22"/>
          <w:lang w:val="sr-Cyrl-RS"/>
        </w:rPr>
        <w:t>ћ</w:t>
      </w:r>
      <w:r>
        <w:rPr>
          <w:rFonts w:eastAsia="Times New Roman"/>
          <w:bCs/>
          <w:kern w:val="32"/>
          <w:sz w:val="22"/>
          <w:szCs w:val="22"/>
        </w:rPr>
        <w:t xml:space="preserve"> обезбијеђена средства из републичких извора и од донатора.</w:t>
      </w:r>
    </w:p>
    <w:p>
      <w:pPr>
        <w:pStyle w:val="13"/>
        <w:jc w:val="both"/>
        <w:rPr>
          <w:rFonts w:eastAsia="Times New Roman"/>
          <w:bCs/>
          <w:kern w:val="32"/>
          <w:sz w:val="22"/>
          <w:szCs w:val="22"/>
        </w:rPr>
      </w:pPr>
    </w:p>
    <w:p>
      <w:pPr>
        <w:pStyle w:val="13"/>
        <w:jc w:val="both"/>
        <w:rPr>
          <w:rFonts w:eastAsia="Times New Roman"/>
          <w:bCs/>
          <w:kern w:val="32"/>
          <w:sz w:val="22"/>
          <w:szCs w:val="22"/>
        </w:rPr>
      </w:pPr>
      <w:r>
        <w:rPr>
          <w:rFonts w:eastAsia="Times New Roman"/>
          <w:bCs/>
          <w:kern w:val="32"/>
          <w:sz w:val="22"/>
          <w:szCs w:val="22"/>
        </w:rPr>
        <w:t xml:space="preserve">У табели је </w:t>
      </w:r>
      <w:r>
        <w:rPr>
          <w:rFonts w:eastAsia="Times New Roman"/>
          <w:bCs/>
          <w:kern w:val="32"/>
          <w:sz w:val="22"/>
          <w:szCs w:val="22"/>
          <w:lang w:val="sr-Cyrl-RS"/>
        </w:rPr>
        <w:t>дата</w:t>
      </w:r>
      <w:r>
        <w:rPr>
          <w:rFonts w:eastAsia="Times New Roman"/>
          <w:bCs/>
          <w:kern w:val="32"/>
          <w:sz w:val="22"/>
          <w:szCs w:val="22"/>
        </w:rPr>
        <w:t xml:space="preserve"> рекапитулација финансирања по годинама, за сваки сектор посебно:</w:t>
      </w:r>
    </w:p>
    <w:p>
      <w:pPr>
        <w:pStyle w:val="13"/>
        <w:jc w:val="both"/>
        <w:rPr>
          <w:rFonts w:eastAsia="Times New Roman"/>
          <w:bCs/>
          <w:kern w:val="32"/>
          <w:sz w:val="22"/>
          <w:szCs w:val="22"/>
        </w:rPr>
      </w:pPr>
    </w:p>
    <w:p>
      <w:pPr>
        <w:pStyle w:val="13"/>
        <w:jc w:val="both"/>
        <w:rPr>
          <w:rFonts w:eastAsia="Times New Roman"/>
          <w:bCs/>
          <w:kern w:val="32"/>
          <w:sz w:val="22"/>
          <w:szCs w:val="22"/>
        </w:rPr>
      </w:pPr>
      <w:r>
        <w:rPr>
          <w:lang w:val="sr-Latn-CS" w:eastAsia="sr-Latn-CS"/>
        </w:rPr>
        <w:drawing>
          <wp:inline distT="0" distB="0" distL="0" distR="0">
            <wp:extent cx="5943600" cy="3941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3600" cy="3941932"/>
                    </a:xfrm>
                    <a:prstGeom prst="rect">
                      <a:avLst/>
                    </a:prstGeom>
                    <a:noFill/>
                    <a:ln>
                      <a:noFill/>
                    </a:ln>
                  </pic:spPr>
                </pic:pic>
              </a:graphicData>
            </a:graphic>
          </wp:inline>
        </w:drawing>
      </w:r>
    </w:p>
    <w:p>
      <w:pPr>
        <w:pStyle w:val="13"/>
        <w:jc w:val="both"/>
        <w:rPr>
          <w:rFonts w:eastAsia="Times New Roman"/>
          <w:bCs/>
          <w:kern w:val="32"/>
          <w:sz w:val="22"/>
          <w:szCs w:val="22"/>
        </w:rPr>
      </w:pPr>
    </w:p>
    <w:p>
      <w:pPr>
        <w:pStyle w:val="4"/>
        <w:rPr>
          <w:lang w:val="sr-Cyrl-RS"/>
        </w:rPr>
      </w:pPr>
      <w:bookmarkStart w:id="177" w:name="_Toc473095884"/>
      <w:bookmarkStart w:id="178" w:name="_Toc526761946"/>
      <w:r>
        <w:rPr>
          <w:lang w:val="hr-BA"/>
        </w:rPr>
        <w:t>VI</w:t>
      </w:r>
      <w:r>
        <w:rPr>
          <w:lang w:val="sr-Cyrl-RS"/>
        </w:rPr>
        <w:t>.2. План организационих и људских капацитета за имплементацију, праћење и вредновање стратегије</w:t>
      </w:r>
      <w:bookmarkEnd w:id="177"/>
      <w:bookmarkEnd w:id="178"/>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Реализација Стратегије интегрисаног развоја је велики изазов за јединицу локалне самоуправе. Степен и квалитет реализације Стратегије, као збир свих појединачно реализованих пројеката и мјера, јасно ће показати колико је јединица локалне самоуправе близу или далеко од остварења дефинисаних стратешких циљева и визије. За успјешну реализацију секторских планова потребно је прилагодити постојеће или успоставити нове организационе структуре и обезбиједити одговарајуће људске капацитете, те јасно дефинисати кључни оперативни механизам за управљање развојем. Задатак тог механизма је свакодневно старање о реализацији Стратегије као цјелине и сваког пројекта појединачно, координација свих активности и актера од промоције, припреме и покретања пројеката, извођења, праћења, извјештавања до иницирања ажурирања Стратегије.</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Стратегија интегрисаног развоја обједињује све секторе који су у надлежности локалних власти, као и све актере и заинтересоване стране на координиран начин. Стога је важно навести да је, поред дјелотворне успоставе и функционисања структура за планирање развоја као и структура које ће пратити провођење стратешких докумената, веома значајно јачање свеукупне координације унутар градске администрације у процесу имплементације Стратегије. Поред тога, неопходно је осигурати да провођење Стратегије буде подржано од стране социо-економских партнера у граду. Свако од њих треба да има значајне улоге у имплементацији, обезбјеђивању финансијских средстава, те у праћењу и вредновању.</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Кључни актери у имплементацији Стратегије интегрисаног развоја су:</w:t>
      </w:r>
    </w:p>
    <w:p>
      <w:pPr>
        <w:pStyle w:val="13"/>
        <w:numPr>
          <w:ilvl w:val="0"/>
          <w:numId w:val="93"/>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Скупштина Града</w:t>
      </w:r>
      <w:r>
        <w:rPr>
          <w:rFonts w:eastAsia="Times New Roman" w:asciiTheme="minorHAnsi" w:hAnsiTheme="minorHAnsi"/>
          <w:bCs/>
          <w:kern w:val="32"/>
          <w:sz w:val="22"/>
          <w:szCs w:val="22"/>
          <w:lang w:val="sr-Cyrl-RS"/>
        </w:rPr>
        <w:t xml:space="preserve"> - разматра извјештаје о реализацији стратешких докумената Града, укључујући и Стратегију развоја као водећег стратешког документа, који треба представљати основу за креирање и доношење свих осталих развојних политика и приоритета Града.</w:t>
      </w:r>
    </w:p>
    <w:p>
      <w:pPr>
        <w:pStyle w:val="13"/>
        <w:numPr>
          <w:ilvl w:val="0"/>
          <w:numId w:val="93"/>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Градоначелник и Кабинет градоначелника</w:t>
      </w:r>
      <w:r>
        <w:rPr>
          <w:rFonts w:eastAsia="Times New Roman" w:asciiTheme="minorHAnsi" w:hAnsiTheme="minorHAnsi"/>
          <w:bCs/>
          <w:kern w:val="32"/>
          <w:sz w:val="22"/>
          <w:szCs w:val="22"/>
          <w:lang w:val="sr-Cyrl-RS"/>
        </w:rPr>
        <w:t xml:space="preserve"> – кључна улога у операционализацији и имплементацији Стратегије развоја путем успостављања јасних механизама и дефинисања одговорности Одјељења у погледу имплементације дијелова Стратегије из њихове надлежности, те обезбјеђивања свеукупне координације.</w:t>
      </w:r>
    </w:p>
    <w:p>
      <w:pPr>
        <w:pStyle w:val="13"/>
        <w:numPr>
          <w:ilvl w:val="0"/>
          <w:numId w:val="93"/>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Градска управа</w:t>
      </w:r>
      <w:r>
        <w:rPr>
          <w:rFonts w:eastAsia="Times New Roman" w:asciiTheme="minorHAnsi" w:hAnsiTheme="minorHAnsi"/>
          <w:bCs/>
          <w:kern w:val="32"/>
          <w:sz w:val="22"/>
          <w:szCs w:val="22"/>
          <w:lang w:val="sr-Cyrl-RS"/>
        </w:rPr>
        <w:t xml:space="preserve"> - кључна улога у изради, реализацији, праћењу, извјештавању и ажурирању Стратегије развоја, с циљем континуираног унапрјеђења квалитета живота грађана града. Релевантна Одјељења за имплементацију Стратегије су:</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локални економски развој и стратешко планирање</w:t>
      </w:r>
      <w:r>
        <w:rPr>
          <w:rFonts w:eastAsia="Times New Roman" w:asciiTheme="minorHAnsi" w:hAnsiTheme="minorHAnsi"/>
          <w:bCs/>
          <w:kern w:val="32"/>
          <w:sz w:val="22"/>
          <w:szCs w:val="22"/>
          <w:lang w:val="sr-Cyrl-RS"/>
        </w:rPr>
        <w:t xml:space="preserve"> (у склопу којег је успостављен Одсјек за стратешко планирање, јавно-приватно партнерство и припрему пројеката, Одсјек за сарадњу са инвеститорима и пословну зону, Одсјек за евиденцију и управљање непокретном имовином Града),</w:t>
      </w:r>
    </w:p>
    <w:p>
      <w:pPr>
        <w:pStyle w:val="13"/>
        <w:numPr>
          <w:ilvl w:val="1"/>
          <w:numId w:val="93"/>
        </w:numPr>
        <w:spacing w:before="60" w:after="60"/>
        <w:ind w:left="1434" w:hanging="357"/>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привреду</w:t>
      </w:r>
      <w:r>
        <w:rPr>
          <w:rFonts w:eastAsia="Times New Roman" w:asciiTheme="minorHAnsi" w:hAnsiTheme="minorHAnsi"/>
          <w:bCs/>
          <w:kern w:val="32"/>
          <w:sz w:val="22"/>
          <w:szCs w:val="22"/>
          <w:lang w:val="sr-Cyrl-RS"/>
        </w:rPr>
        <w:t xml:space="preserve"> (у склопу којег је успостављен Одсјек за привреду и Одсјек за управно-правне послове),</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просторно уређење</w:t>
      </w:r>
      <w:r>
        <w:rPr>
          <w:rFonts w:eastAsia="Times New Roman" w:asciiTheme="minorHAnsi" w:hAnsiTheme="minorHAnsi"/>
          <w:bCs/>
          <w:kern w:val="32"/>
          <w:sz w:val="22"/>
          <w:szCs w:val="22"/>
          <w:lang w:val="sr-Cyrl-RS"/>
        </w:rPr>
        <w:t xml:space="preserve"> (у склопу којег је, између осталог, успостављен Одсјек за велике инвестиционе објекте и сложене предмете),</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финансије</w:t>
      </w:r>
      <w:r>
        <w:rPr>
          <w:rFonts w:eastAsia="Times New Roman" w:asciiTheme="minorHAnsi" w:hAnsiTheme="minorHAnsi"/>
          <w:bCs/>
          <w:kern w:val="32"/>
          <w:sz w:val="22"/>
          <w:szCs w:val="22"/>
          <w:lang w:val="sr-Cyrl-RS"/>
        </w:rPr>
        <w:t xml:space="preserve"> (у склопу којег је, између осталог, Одсјек за буџет),</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саобраћај и путеве</w:t>
      </w:r>
      <w:r>
        <w:rPr>
          <w:rFonts w:eastAsia="Times New Roman" w:asciiTheme="minorHAnsi" w:hAnsiTheme="minorHAnsi"/>
          <w:bCs/>
          <w:kern w:val="32"/>
          <w:sz w:val="22"/>
          <w:szCs w:val="22"/>
          <w:lang w:val="sr-Cyrl-RS"/>
        </w:rPr>
        <w:t xml:space="preserve"> (у склопу којег дјелује Одсјек за саобраћај и Одсјек за путеве),</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комуналне послове</w:t>
      </w:r>
      <w:r>
        <w:rPr>
          <w:rFonts w:eastAsia="Times New Roman" w:asciiTheme="minorHAnsi" w:hAnsiTheme="minorHAnsi"/>
          <w:bCs/>
          <w:kern w:val="32"/>
          <w:sz w:val="22"/>
          <w:szCs w:val="22"/>
          <w:lang w:val="sr-Cyrl-RS"/>
        </w:rPr>
        <w:t>,</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комуналне полиције</w:t>
      </w:r>
      <w:r>
        <w:rPr>
          <w:rFonts w:eastAsia="Times New Roman" w:asciiTheme="minorHAnsi" w:hAnsiTheme="minorHAnsi"/>
          <w:bCs/>
          <w:kern w:val="32"/>
          <w:sz w:val="22"/>
          <w:szCs w:val="22"/>
          <w:lang w:val="sr-Cyrl-RS"/>
        </w:rPr>
        <w:t>,</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културу, туризам и социјалну политику</w:t>
      </w:r>
      <w:r>
        <w:rPr>
          <w:rFonts w:eastAsia="Times New Roman" w:asciiTheme="minorHAnsi" w:hAnsiTheme="minorHAnsi"/>
          <w:bCs/>
          <w:kern w:val="32"/>
          <w:sz w:val="22"/>
          <w:szCs w:val="22"/>
          <w:lang w:val="sr-Cyrl-RS"/>
        </w:rPr>
        <w:t xml:space="preserve">, </w:t>
      </w:r>
    </w:p>
    <w:p>
      <w:pPr>
        <w:pStyle w:val="13"/>
        <w:numPr>
          <w:ilvl w:val="1"/>
          <w:numId w:val="93"/>
        </w:numPr>
        <w:spacing w:before="60" w:after="6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Одјељење за образовање, здравство, омладину и спорт</w:t>
      </w:r>
      <w:r>
        <w:rPr>
          <w:rFonts w:eastAsia="Times New Roman" w:asciiTheme="minorHAnsi" w:hAnsiTheme="minorHAnsi"/>
          <w:bCs/>
          <w:kern w:val="32"/>
          <w:sz w:val="22"/>
          <w:szCs w:val="22"/>
          <w:lang w:val="sr-Cyrl-RS"/>
        </w:rPr>
        <w:t>,</w:t>
      </w:r>
    </w:p>
    <w:p>
      <w:pPr>
        <w:pStyle w:val="13"/>
        <w:spacing w:before="60" w:after="60"/>
        <w:jc w:val="both"/>
        <w:rPr>
          <w:rFonts w:eastAsia="Times New Roman" w:asciiTheme="minorHAnsi" w:hAnsiTheme="minorHAnsi"/>
          <w:bCs/>
          <w:kern w:val="32"/>
          <w:sz w:val="22"/>
          <w:szCs w:val="22"/>
          <w:lang w:val="sr-Cyrl-RS"/>
        </w:rPr>
      </w:pP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У </w:t>
      </w:r>
      <w:r>
        <w:rPr>
          <w:rFonts w:eastAsia="Times New Roman" w:asciiTheme="minorHAnsi" w:hAnsiTheme="minorHAnsi"/>
          <w:b/>
          <w:bCs/>
          <w:kern w:val="32"/>
          <w:sz w:val="22"/>
          <w:szCs w:val="22"/>
          <w:lang w:val="sr-Cyrl-RS"/>
        </w:rPr>
        <w:t>Одјељењу за локални економски развој и стратешко планирање</w:t>
      </w:r>
      <w:r>
        <w:rPr>
          <w:rFonts w:eastAsia="Times New Roman" w:asciiTheme="minorHAnsi" w:hAnsiTheme="minorHAnsi"/>
          <w:bCs/>
          <w:kern w:val="32"/>
          <w:sz w:val="22"/>
          <w:szCs w:val="22"/>
          <w:lang w:val="sr-Cyrl-RS"/>
        </w:rPr>
        <w:t xml:space="preserve"> обављају се послови израде анализа, информација и извјештавање о стратешким и другим развојним документима. Ово Одјељење, између осталог, обавља и сљедеће послове: стварање амбијента за привлачење инвестиција, обезбјеђивање средстaва из доступних ЕУ фондова и програма за иницирање инвестиционих пројеката, формирање и ажурирање базе података текућих инвестиционих пројеката, формирање и вођење јединствене базе података за потребе инвеститора, вођење базе о домаћим и страним инвеститорима, обављање послова у вези са успостављањем и унапређењем јавно-приватног партнерства, и други послови. </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Поред структура Градске управе, формирана је и </w:t>
      </w:r>
      <w:r>
        <w:rPr>
          <w:rFonts w:eastAsia="Times New Roman" w:asciiTheme="minorHAnsi" w:hAnsiTheme="minorHAnsi"/>
          <w:b/>
          <w:bCs/>
          <w:kern w:val="32"/>
          <w:sz w:val="22"/>
          <w:szCs w:val="22"/>
          <w:lang w:val="sr-Cyrl-RS"/>
        </w:rPr>
        <w:t>Градска развојна агенција</w:t>
      </w:r>
      <w:r>
        <w:rPr>
          <w:rFonts w:eastAsia="Times New Roman" w:asciiTheme="minorHAnsi" w:hAnsiTheme="minorHAnsi"/>
          <w:b/>
          <w:bCs/>
          <w:kern w:val="32"/>
          <w:sz w:val="22"/>
          <w:szCs w:val="22"/>
          <w:lang w:val="sr-Latn-RS"/>
        </w:rPr>
        <w:t xml:space="preserve">, </w:t>
      </w:r>
      <w:r>
        <w:rPr>
          <w:rFonts w:eastAsia="Times New Roman" w:asciiTheme="minorHAnsi" w:hAnsiTheme="minorHAnsi"/>
          <w:bCs/>
          <w:kern w:val="32"/>
          <w:sz w:val="22"/>
          <w:szCs w:val="22"/>
          <w:lang w:val="sr-Cyrl-RS"/>
        </w:rPr>
        <w:t xml:space="preserve">као и </w:t>
      </w:r>
      <w:r>
        <w:rPr>
          <w:rFonts w:eastAsia="Times New Roman" w:asciiTheme="minorHAnsi" w:hAnsiTheme="minorHAnsi"/>
          <w:b/>
          <w:bCs/>
          <w:kern w:val="32"/>
          <w:sz w:val="22"/>
          <w:szCs w:val="22"/>
          <w:lang w:val="sr-Cyrl-RS"/>
        </w:rPr>
        <w:t>Центар за развој пољопривреде и села</w:t>
      </w:r>
      <w:r>
        <w:rPr>
          <w:rFonts w:eastAsia="Times New Roman" w:asciiTheme="minorHAnsi" w:hAnsiTheme="minorHAnsi"/>
          <w:bCs/>
          <w:kern w:val="32"/>
          <w:sz w:val="22"/>
          <w:szCs w:val="22"/>
          <w:lang w:val="sr-Cyrl-RS"/>
        </w:rPr>
        <w:t>, са циљем пружања подршке локалном економском развоју. Градска развојна агенција, у сарадњи са надлежним одјељењима Градске управе Града Бања Лука, све активности и расположиве потенцијале усмјерава на подстицање и развој малих и средњих предузећа кроз пружање што ефикаснијих услуга за подршку бизнису, а крајњи циљ је промовисање предузетништва, самозапошљавања и предузетничке културе.</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У процесу спроведеног стратешког планирања интегрисаног развоја за период 2018-2027. године, учествовале су и све остале унутрашње организационе јединице Градске управе. Такође, буџетским циклусом, дефинисан је процес који подразумијева координацију свих одјељења у оквиру Градске управе, али је у наредним годинама потребно ојачати везу стратешких циљева са буџетом и појаснити улоге и одговорности за праћење и вредновање имплементације стратегије, као и извјештавање.</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Неопходно је осигурати адекватну подршку свих </w:t>
      </w:r>
      <w:r>
        <w:rPr>
          <w:sz w:val="22"/>
          <w:szCs w:val="22"/>
          <w:lang w:val="sr-Cyrl-RS"/>
        </w:rPr>
        <w:t>огрганизационе јединица Градске управе</w:t>
      </w:r>
      <w:r>
        <w:rPr>
          <w:rFonts w:eastAsia="Times New Roman" w:asciiTheme="minorHAnsi" w:hAnsiTheme="minorHAnsi"/>
          <w:bCs/>
          <w:kern w:val="32"/>
          <w:sz w:val="22"/>
          <w:szCs w:val="22"/>
          <w:lang w:val="sr-Cyrl-RS"/>
        </w:rPr>
        <w:t xml:space="preserve">, не само у процесу стратешког планирања, већ и у процесу управљања развојем у цјелини. </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Постојећа Систематизација указује да </w:t>
      </w:r>
      <w:r>
        <w:rPr>
          <w:sz w:val="22"/>
          <w:szCs w:val="22"/>
          <w:lang w:val="sr-Cyrl-RS"/>
        </w:rPr>
        <w:t xml:space="preserve">огрганизационе јединица Градске управе већ имају јасно дефинисану </w:t>
      </w:r>
      <w:r>
        <w:rPr>
          <w:rFonts w:eastAsia="Times New Roman" w:asciiTheme="minorHAnsi" w:hAnsiTheme="minorHAnsi"/>
          <w:bCs/>
          <w:kern w:val="32"/>
          <w:sz w:val="22"/>
          <w:szCs w:val="22"/>
          <w:lang w:val="sr-Cyrl-RS"/>
        </w:rPr>
        <w:t>формалну обавезу да учествују у планирању развоја. Одјељење за привреду, Одјељење за просторно уређење, Одјељење за комуналне послове, Одјељење за саобраћај и путеве и Одјељење за локални економски развој и стратешко планирање су до сада били препознати као кључни носиоци у изради стратегије, те је систематизацијом у сваком одјељењу предвиђена сарадња са Одјељењем за локални економски развој и стратешко планирање у сврху пружања помоћи инвеститорима из надлежности Одјељења у циљу брже реализације инвестиционих пројеката од значаја за град, ажурирање и достављање података Одјељењу за локални економски развој и стратешко планирање, из надлежности одјељења у сврху формирања и вођења јединствене базе податакта за потребе инвеститора. Такође, самом руководиоцу организационе јединице је прописана обавеза достављања података Одсјеку за евиденције и управаљање имовином, које се односе на располагање и управљање имовином града.</w:t>
      </w:r>
    </w:p>
    <w:p>
      <w:pPr>
        <w:pStyle w:val="13"/>
        <w:spacing w:before="120" w:after="120"/>
        <w:jc w:val="both"/>
        <w:rPr>
          <w:sz w:val="22"/>
          <w:szCs w:val="22"/>
          <w:lang w:val="sr-Cyrl-RS"/>
        </w:rPr>
      </w:pPr>
      <w:r>
        <w:rPr>
          <w:rFonts w:eastAsia="Times New Roman" w:asciiTheme="minorHAnsi" w:hAnsiTheme="minorHAnsi"/>
          <w:bCs/>
          <w:kern w:val="32"/>
          <w:sz w:val="22"/>
          <w:szCs w:val="22"/>
          <w:lang w:val="sr-Cyrl-RS"/>
        </w:rPr>
        <w:t xml:space="preserve">Комуникација и координација активности </w:t>
      </w:r>
      <w:r>
        <w:rPr>
          <w:sz w:val="22"/>
          <w:szCs w:val="22"/>
          <w:lang w:val="sr-Cyrl-RS"/>
        </w:rPr>
        <w:t>огрганизационих јединица Градске управе</w:t>
      </w:r>
      <w:r>
        <w:rPr>
          <w:rFonts w:eastAsia="Times New Roman" w:asciiTheme="minorHAnsi" w:hAnsiTheme="minorHAnsi"/>
          <w:bCs/>
          <w:kern w:val="32"/>
          <w:sz w:val="22"/>
          <w:szCs w:val="22"/>
          <w:lang w:val="sr-Cyrl-RS"/>
        </w:rPr>
        <w:t xml:space="preserve"> са Одјељењем за локални економски развој и стратешко планирање, које обавља послове управљања развојем, се може даље унаприједити, на самом почетку спровођења Стратегије, тако што ће се усвојити  Смјернице </w:t>
      </w:r>
      <w:r>
        <w:rPr>
          <w:sz w:val="22"/>
          <w:szCs w:val="22"/>
          <w:lang w:val="sr-Cyrl-RS"/>
        </w:rPr>
        <w:t>за годишње планирање, праћење, вредновање и извјештавање, са јасно наведеним обавезама и одговорностима свих актера укључених у одговарајуће кораке овог процеса.</w:t>
      </w: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За ову Стратегију интегрисаног развоја потребно је израдити свеобухватну базу података програма, пројеката/мјера. Потребно је ојачати развојну функцију Града кроз прецизније дефинисање задатака и одговорности свих актера, ојачати капацитете запослених који ће бити директно ангажовани у припреми пројеката и имплементацији Стратегије, те успоставити дјелотворан систем за праћење и вредновање њене имплементације.</w:t>
      </w:r>
      <w:r>
        <w:rPr>
          <w:lang w:val="sr-Cyrl-RS"/>
        </w:rPr>
        <w:t xml:space="preserve"> </w:t>
      </w:r>
      <w:r>
        <w:rPr>
          <w:rFonts w:eastAsia="Times New Roman" w:asciiTheme="minorHAnsi" w:hAnsiTheme="minorHAnsi"/>
          <w:bCs/>
          <w:kern w:val="32"/>
          <w:sz w:val="22"/>
          <w:szCs w:val="22"/>
          <w:lang w:val="sr-Cyrl-RS"/>
        </w:rPr>
        <w:t>Стога, кључне препоруке за унапрјеђење организационих и људских капацитета за имплементацију Стратегије, обухватају сљедеће:</w:t>
      </w:r>
    </w:p>
    <w:p>
      <w:pPr>
        <w:pStyle w:val="13"/>
        <w:numPr>
          <w:ilvl w:val="0"/>
          <w:numId w:val="94"/>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Континуирана проактивна улога </w:t>
      </w:r>
      <w:r>
        <w:rPr>
          <w:rFonts w:eastAsia="Times New Roman" w:asciiTheme="minorHAnsi" w:hAnsiTheme="minorHAnsi"/>
          <w:b/>
          <w:bCs/>
          <w:kern w:val="32"/>
          <w:sz w:val="22"/>
          <w:szCs w:val="22"/>
          <w:lang w:val="sr-Cyrl-RS"/>
        </w:rPr>
        <w:t>Градоначелника</w:t>
      </w:r>
      <w:r>
        <w:rPr>
          <w:rFonts w:eastAsia="Times New Roman" w:asciiTheme="minorHAnsi" w:hAnsiTheme="minorHAnsi"/>
          <w:bCs/>
          <w:kern w:val="32"/>
          <w:sz w:val="22"/>
          <w:szCs w:val="22"/>
          <w:lang w:val="sr-Cyrl-RS"/>
        </w:rPr>
        <w:t xml:space="preserve"> у операционализацији и имплементацији Стратегије развоја путем додјељивања јасних задатака и одговорности одјељењима Града, те добијања редовних информација о напретку имплементације Стратегије развоја; </w:t>
      </w:r>
    </w:p>
    <w:p>
      <w:pPr>
        <w:pStyle w:val="13"/>
        <w:numPr>
          <w:ilvl w:val="0"/>
          <w:numId w:val="94"/>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Континуирана укљученост и подршка </w:t>
      </w:r>
      <w:r>
        <w:rPr>
          <w:rFonts w:eastAsia="Times New Roman" w:asciiTheme="minorHAnsi" w:hAnsiTheme="minorHAnsi"/>
          <w:b/>
          <w:bCs/>
          <w:kern w:val="32"/>
          <w:sz w:val="22"/>
          <w:szCs w:val="22"/>
          <w:lang w:val="sr-Cyrl-RS"/>
        </w:rPr>
        <w:t>Скупштине Града</w:t>
      </w:r>
      <w:r>
        <w:rPr>
          <w:rFonts w:eastAsia="Times New Roman" w:asciiTheme="minorHAnsi" w:hAnsiTheme="minorHAnsi"/>
          <w:bCs/>
          <w:kern w:val="32"/>
          <w:sz w:val="22"/>
          <w:szCs w:val="22"/>
          <w:lang w:val="sr-Cyrl-RS"/>
        </w:rPr>
        <w:t xml:space="preserve"> у имплементацији Стратегије развоја путем редовног достављања извјештаја о напретку према Скупштини, те усклађивања градских политика са приоритетима Стратегије развоја;</w:t>
      </w:r>
    </w:p>
    <w:p>
      <w:pPr>
        <w:pStyle w:val="13"/>
        <w:numPr>
          <w:ilvl w:val="0"/>
          <w:numId w:val="94"/>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Јачање </w:t>
      </w:r>
      <w:r>
        <w:rPr>
          <w:rFonts w:eastAsia="Times New Roman" w:asciiTheme="minorHAnsi" w:hAnsiTheme="minorHAnsi"/>
          <w:b/>
          <w:bCs/>
          <w:kern w:val="32"/>
          <w:sz w:val="22"/>
          <w:szCs w:val="22"/>
          <w:lang w:val="sr-Cyrl-RS"/>
        </w:rPr>
        <w:t>комуникације, сарадње и интеракције унутар Градске управе</w:t>
      </w:r>
      <w:r>
        <w:rPr>
          <w:rFonts w:eastAsia="Times New Roman" w:asciiTheme="minorHAnsi" w:hAnsiTheme="minorHAnsi"/>
          <w:bCs/>
          <w:kern w:val="32"/>
          <w:sz w:val="22"/>
          <w:szCs w:val="22"/>
          <w:lang w:val="sr-Cyrl-RS"/>
        </w:rPr>
        <w:t xml:space="preserve"> у сврху ефикаснијег и ефективнијег управљања и координације имплементације Стратегије развоја;</w:t>
      </w:r>
    </w:p>
    <w:p>
      <w:pPr>
        <w:pStyle w:val="13"/>
        <w:numPr>
          <w:ilvl w:val="0"/>
          <w:numId w:val="94"/>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Усвајање </w:t>
      </w:r>
      <w:r>
        <w:rPr>
          <w:rFonts w:eastAsia="Times New Roman" w:asciiTheme="minorHAnsi" w:hAnsiTheme="minorHAnsi"/>
          <w:b/>
          <w:bCs/>
          <w:kern w:val="32"/>
          <w:sz w:val="22"/>
          <w:szCs w:val="22"/>
          <w:lang w:val="sr-Cyrl-RS"/>
        </w:rPr>
        <w:t>Смјерница за годишње планирање, праћење, вредновање и извјештавање (ППВИ)</w:t>
      </w:r>
      <w:r>
        <w:rPr>
          <w:rFonts w:eastAsia="Times New Roman" w:asciiTheme="minorHAnsi" w:hAnsiTheme="minorHAnsi"/>
          <w:bCs/>
          <w:kern w:val="32"/>
          <w:sz w:val="22"/>
          <w:szCs w:val="22"/>
          <w:lang w:val="sr-Cyrl-RS"/>
        </w:rPr>
        <w:t xml:space="preserve"> и то у виду правилника којим се регулише поступак и процедуре планирања, праћења, вредновања и извјештавања о имплементацији Стратегије развоја. Правилник о ППВИ даје и смјернице за припрему </w:t>
      </w:r>
      <w:r>
        <w:rPr>
          <w:rFonts w:eastAsia="Times New Roman" w:asciiTheme="minorHAnsi" w:hAnsiTheme="minorHAnsi"/>
          <w:b/>
          <w:bCs/>
          <w:kern w:val="32"/>
          <w:sz w:val="22"/>
          <w:szCs w:val="22"/>
          <w:lang w:val="sr-Cyrl-RS"/>
        </w:rPr>
        <w:t>годишњег календара Одјељења за ЛЕР и стратешко планирање</w:t>
      </w:r>
      <w:r>
        <w:rPr>
          <w:rFonts w:eastAsia="Times New Roman" w:asciiTheme="minorHAnsi" w:hAnsiTheme="minorHAnsi"/>
          <w:bCs/>
          <w:kern w:val="32"/>
          <w:sz w:val="22"/>
          <w:szCs w:val="22"/>
          <w:lang w:val="sr-Cyrl-RS"/>
        </w:rPr>
        <w:t xml:space="preserve"> и припрему </w:t>
      </w:r>
      <w:r>
        <w:rPr>
          <w:rFonts w:eastAsia="Times New Roman" w:asciiTheme="minorHAnsi" w:hAnsiTheme="minorHAnsi"/>
          <w:b/>
          <w:bCs/>
          <w:kern w:val="32"/>
          <w:sz w:val="22"/>
          <w:szCs w:val="22"/>
          <w:lang w:val="sr-Cyrl-RS"/>
        </w:rPr>
        <w:t>годишњих оперативних планова одјељења</w:t>
      </w:r>
      <w:r>
        <w:rPr>
          <w:rFonts w:eastAsia="Times New Roman" w:asciiTheme="minorHAnsi" w:hAnsiTheme="minorHAnsi"/>
          <w:bCs/>
          <w:kern w:val="32"/>
          <w:sz w:val="22"/>
          <w:szCs w:val="22"/>
          <w:lang w:val="sr-Cyrl-RS"/>
        </w:rPr>
        <w:t>, који морају ускладити своје пројектне и редовне активности са календаром Одјељења за ЛЕР и стратешко планирање.</w:t>
      </w:r>
    </w:p>
    <w:p>
      <w:pPr>
        <w:pStyle w:val="13"/>
        <w:numPr>
          <w:ilvl w:val="0"/>
          <w:numId w:val="94"/>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Континуирана изградња капацитета </w:t>
      </w:r>
      <w:r>
        <w:rPr>
          <w:rFonts w:eastAsia="Times New Roman" w:asciiTheme="minorHAnsi" w:hAnsiTheme="minorHAnsi"/>
          <w:b/>
          <w:bCs/>
          <w:kern w:val="32"/>
          <w:sz w:val="22"/>
          <w:szCs w:val="22"/>
          <w:lang w:val="sr-Cyrl-RS"/>
        </w:rPr>
        <w:t>социо-економских актера</w:t>
      </w:r>
      <w:r>
        <w:rPr>
          <w:rFonts w:eastAsia="Times New Roman" w:asciiTheme="minorHAnsi" w:hAnsiTheme="minorHAnsi"/>
          <w:bCs/>
          <w:kern w:val="32"/>
          <w:sz w:val="22"/>
          <w:szCs w:val="22"/>
          <w:lang w:val="sr-Cyrl-RS"/>
        </w:rPr>
        <w:t xml:space="preserve"> за учешће у имплементацији, праћењу и оцјењивању Стратегије развоја. Имајући у виду значајну улогу Партнерске групе (локално развојно партнерство) у дјелотворној реализацији, праћењу и ажурирању Стратегије развоја, Град Бања Лука треба и даље у оквиру овог тијела наставити блиско сарађивати са свим партнерима из јавног, приватног и невладиног сектора.</w:t>
      </w:r>
    </w:p>
    <w:p>
      <w:pPr>
        <w:pStyle w:val="13"/>
        <w:numPr>
          <w:ilvl w:val="0"/>
          <w:numId w:val="94"/>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 xml:space="preserve">Усклађеност вишегодишњег и годишњег финансијског плана Града (буџет) са </w:t>
      </w:r>
      <w:r>
        <w:rPr>
          <w:rFonts w:eastAsia="Times New Roman" w:asciiTheme="minorHAnsi" w:hAnsiTheme="minorHAnsi"/>
          <w:b/>
          <w:bCs/>
          <w:kern w:val="32"/>
          <w:sz w:val="22"/>
          <w:szCs w:val="22"/>
          <w:lang w:val="sr-Cyrl-RS"/>
        </w:rPr>
        <w:t>вишегодишњим индикативним и годишњим финансијским планом</w:t>
      </w:r>
      <w:r>
        <w:rPr>
          <w:rFonts w:eastAsia="Times New Roman" w:asciiTheme="minorHAnsi" w:hAnsiTheme="minorHAnsi"/>
          <w:bCs/>
          <w:kern w:val="32"/>
          <w:sz w:val="22"/>
          <w:szCs w:val="22"/>
          <w:lang w:val="sr-Cyrl-RS"/>
        </w:rPr>
        <w:t xml:space="preserve"> имплементације Стратегије;</w:t>
      </w:r>
    </w:p>
    <w:p>
      <w:pPr>
        <w:pStyle w:val="13"/>
        <w:numPr>
          <w:ilvl w:val="0"/>
          <w:numId w:val="94"/>
        </w:numPr>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
          <w:bCs/>
          <w:kern w:val="32"/>
          <w:sz w:val="22"/>
          <w:szCs w:val="22"/>
          <w:lang w:val="sr-Cyrl-RS"/>
        </w:rPr>
        <w:t>Допуна/дорада описа</w:t>
      </w:r>
      <w:r>
        <w:rPr>
          <w:rFonts w:eastAsia="Times New Roman" w:asciiTheme="minorHAnsi" w:hAnsiTheme="minorHAnsi"/>
          <w:bCs/>
          <w:kern w:val="32"/>
          <w:sz w:val="22"/>
          <w:szCs w:val="22"/>
          <w:lang w:val="sr-Cyrl-RS"/>
        </w:rPr>
        <w:t xml:space="preserve"> посла у циљу прецизирања појединачних одговорности запослених у сљедећим областима:</w:t>
      </w:r>
    </w:p>
    <w:p>
      <w:pPr>
        <w:pStyle w:val="13"/>
        <w:numPr>
          <w:ilvl w:val="1"/>
          <w:numId w:val="94"/>
        </w:numPr>
        <w:spacing w:before="60" w:after="60"/>
        <w:ind w:left="1434" w:hanging="357"/>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Свеукупна имплементација развојне стратегије - улоге и одговорности како службеника за планирање тако и градских одјељења у процесу имплементације Стратегије у циљу осигурања неопходне интеграције;</w:t>
      </w:r>
    </w:p>
    <w:p>
      <w:pPr>
        <w:pStyle w:val="13"/>
        <w:numPr>
          <w:ilvl w:val="1"/>
          <w:numId w:val="94"/>
        </w:numPr>
        <w:spacing w:before="60" w:after="60"/>
        <w:ind w:left="1434" w:hanging="357"/>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Прикупљање података и њихово похрањивање у јединствени електронски систем како би се омогућило праћење и оцјењивање прогреса Стратегије развоја - улоге и одговорности упосленика задужених за базу података, праћење и оцјењивање – у систематизацији, задужити по једног службеника у свакој организационој јединици Градске управе за уношење податак у базу, из надлежности своје организационе јединице;</w:t>
      </w:r>
    </w:p>
    <w:p>
      <w:pPr>
        <w:pStyle w:val="13"/>
        <w:numPr>
          <w:ilvl w:val="1"/>
          <w:numId w:val="94"/>
        </w:numPr>
        <w:spacing w:before="60" w:after="60"/>
        <w:ind w:left="1434" w:hanging="357"/>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Израда, имплементација и управљање пројектима - улоге и одговорности како службеника који раде на припреми и имплементацији пројеката, тако и осталих релевантних градских одјељења, у циљу осигурања неопходне интеграције;</w:t>
      </w:r>
    </w:p>
    <w:p>
      <w:pPr>
        <w:pStyle w:val="13"/>
        <w:numPr>
          <w:ilvl w:val="1"/>
          <w:numId w:val="94"/>
        </w:numPr>
        <w:spacing w:before="60" w:after="60"/>
        <w:ind w:left="1434" w:hanging="357"/>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Сарадња са социо-економским партнерима у процесу имплементације, праћења и оцјењивања, те извјештавања о напретку у имплементацији Стратегије развоја.</w:t>
      </w:r>
    </w:p>
    <w:p>
      <w:pPr>
        <w:pStyle w:val="13"/>
        <w:spacing w:before="120" w:after="120"/>
        <w:jc w:val="both"/>
        <w:rPr>
          <w:rFonts w:eastAsia="Times New Roman" w:asciiTheme="minorHAnsi" w:hAnsiTheme="minorHAnsi"/>
          <w:bCs/>
          <w:kern w:val="32"/>
          <w:sz w:val="22"/>
          <w:szCs w:val="22"/>
          <w:lang w:val="sr-Cyrl-RS"/>
        </w:rPr>
      </w:pPr>
    </w:p>
    <w:p>
      <w:pPr>
        <w:pStyle w:val="13"/>
        <w:spacing w:before="120" w:after="120"/>
        <w:jc w:val="both"/>
        <w:rPr>
          <w:rFonts w:eastAsia="Times New Roman" w:asciiTheme="minorHAnsi" w:hAnsiTheme="minorHAnsi"/>
          <w:bCs/>
          <w:kern w:val="32"/>
          <w:sz w:val="22"/>
          <w:szCs w:val="22"/>
          <w:lang w:val="sr-Cyrl-RS"/>
        </w:rPr>
      </w:pPr>
      <w:r>
        <w:rPr>
          <w:rFonts w:eastAsia="Times New Roman" w:asciiTheme="minorHAnsi" w:hAnsiTheme="minorHAnsi"/>
          <w:bCs/>
          <w:kern w:val="32"/>
          <w:sz w:val="22"/>
          <w:szCs w:val="22"/>
          <w:lang w:val="sr-Cyrl-RS"/>
        </w:rPr>
        <w:t>Према МиПРО методологији активности праћења, вредновања и ажурирања појединих дијелова Стратегије се врше у одређеним временским периодима, датим у наредној табели.</w:t>
      </w:r>
    </w:p>
    <w:p>
      <w:pPr>
        <w:spacing w:before="120" w:after="120"/>
        <w:rPr>
          <w:b/>
          <w:bCs/>
          <w:lang w:val="sr-Cyrl-RS"/>
        </w:rPr>
      </w:pPr>
      <w:r>
        <w:rPr>
          <w:b/>
          <w:bCs/>
          <w:lang w:val="sr-Cyrl-RS"/>
        </w:rPr>
        <w:t>Преглед основних активности и одговорности за имплементацију Стратегије</w:t>
      </w:r>
    </w:p>
    <w:p>
      <w:pPr>
        <w:spacing w:before="120" w:after="120"/>
        <w:rPr>
          <w:b/>
          <w:bCs/>
          <w:lang w:val="sr-Cyrl-RS"/>
        </w:rPr>
      </w:pPr>
    </w:p>
    <w:tbl>
      <w:tblPr>
        <w:tblStyle w:val="3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6"/>
        <w:gridCol w:w="3449"/>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350" w:type="dxa"/>
            <w:gridSpan w:val="3"/>
            <w:tcBorders>
              <w:top w:val="single" w:color="auto" w:sz="4" w:space="0"/>
              <w:left w:val="single" w:color="auto" w:sz="4" w:space="0"/>
              <w:bottom w:val="single" w:color="auto" w:sz="4" w:space="0"/>
              <w:right w:val="single" w:color="auto" w:sz="4" w:space="0"/>
            </w:tcBorders>
            <w:shd w:val="clear" w:color="auto" w:fill="1F497D"/>
          </w:tcPr>
          <w:p>
            <w:pPr>
              <w:spacing w:before="40" w:after="40"/>
              <w:jc w:val="center"/>
              <w:rPr>
                <w:b/>
                <w:color w:val="FFFFFF" w:themeColor="background1"/>
                <w:sz w:val="20"/>
                <w:szCs w:val="20"/>
                <w:lang w:val="sr-Cyrl-RS"/>
                <w14:textFill>
                  <w14:solidFill>
                    <w14:schemeClr w14:val="bg1"/>
                  </w14:solidFill>
                </w14:textFill>
              </w:rPr>
            </w:pPr>
            <w:r>
              <w:rPr>
                <w:b/>
                <w:color w:val="FFFFFF" w:themeColor="background1"/>
                <w:sz w:val="20"/>
                <w:szCs w:val="20"/>
                <w:lang w:val="sr-Cyrl-RS"/>
                <w14:textFill>
                  <w14:solidFill>
                    <w14:schemeClr w14:val="bg1"/>
                  </w14:solidFill>
                </w14:textFill>
              </w:rPr>
              <w:t>Основне улоге и одговорности за планирање, праћење, вредновање и извјештавање о имплементацији Стратегије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566" w:type="dxa"/>
            <w:tcBorders>
              <w:top w:val="single" w:color="auto" w:sz="4" w:space="0"/>
              <w:left w:val="single" w:color="auto" w:sz="4" w:space="0"/>
              <w:bottom w:val="single" w:color="auto" w:sz="4" w:space="0"/>
              <w:right w:val="single" w:color="auto" w:sz="4" w:space="0"/>
            </w:tcBorders>
            <w:shd w:val="clear" w:color="auto" w:fill="B8CCE4"/>
          </w:tcPr>
          <w:p>
            <w:pPr>
              <w:spacing w:before="40" w:after="40"/>
              <w:jc w:val="center"/>
              <w:rPr>
                <w:b/>
                <w:strike/>
                <w:sz w:val="20"/>
                <w:szCs w:val="20"/>
                <w:lang w:val="sr-Cyrl-RS"/>
              </w:rPr>
            </w:pPr>
            <w:r>
              <w:rPr>
                <w:b/>
                <w:sz w:val="20"/>
                <w:szCs w:val="20"/>
                <w:lang w:val="sr-Cyrl-RS"/>
              </w:rPr>
              <w:t>Активности</w:t>
            </w:r>
            <w:r>
              <w:rPr>
                <w:b/>
                <w:sz w:val="20"/>
                <w:szCs w:val="20"/>
                <w:vertAlign w:val="superscript"/>
                <w:lang w:val="sr-Cyrl-RS"/>
              </w:rPr>
              <w:t>(*)</w:t>
            </w:r>
          </w:p>
        </w:tc>
        <w:tc>
          <w:tcPr>
            <w:tcW w:w="3449" w:type="dxa"/>
            <w:tcBorders>
              <w:top w:val="single" w:color="auto" w:sz="4" w:space="0"/>
              <w:left w:val="single" w:color="auto" w:sz="4" w:space="0"/>
              <w:bottom w:val="single" w:color="auto" w:sz="4" w:space="0"/>
              <w:right w:val="single" w:color="auto" w:sz="4" w:space="0"/>
            </w:tcBorders>
            <w:shd w:val="clear" w:color="auto" w:fill="B8CCE4"/>
          </w:tcPr>
          <w:p>
            <w:pPr>
              <w:spacing w:before="40" w:after="40"/>
              <w:jc w:val="center"/>
              <w:rPr>
                <w:b/>
                <w:sz w:val="20"/>
                <w:szCs w:val="20"/>
                <w:lang w:val="sr-Cyrl-RS"/>
              </w:rPr>
            </w:pPr>
            <w:r>
              <w:rPr>
                <w:b/>
                <w:sz w:val="20"/>
                <w:szCs w:val="20"/>
                <w:lang w:val="sr-Cyrl-RS"/>
              </w:rPr>
              <w:t xml:space="preserve">Надлежност (ко?) </w:t>
            </w:r>
          </w:p>
        </w:tc>
        <w:tc>
          <w:tcPr>
            <w:tcW w:w="2335" w:type="dxa"/>
            <w:tcBorders>
              <w:top w:val="single" w:color="auto" w:sz="4" w:space="0"/>
              <w:left w:val="single" w:color="auto" w:sz="4" w:space="0"/>
              <w:bottom w:val="single" w:color="auto" w:sz="4" w:space="0"/>
              <w:right w:val="single" w:color="auto" w:sz="4" w:space="0"/>
            </w:tcBorders>
            <w:shd w:val="clear" w:color="auto" w:fill="B8CCE4"/>
          </w:tcPr>
          <w:p>
            <w:pPr>
              <w:spacing w:before="40" w:after="40"/>
              <w:jc w:val="center"/>
              <w:rPr>
                <w:b/>
                <w:sz w:val="20"/>
                <w:szCs w:val="20"/>
                <w:lang w:val="sr-Cyrl-RS"/>
              </w:rPr>
            </w:pPr>
            <w:r>
              <w:rPr>
                <w:b/>
                <w:sz w:val="20"/>
                <w:szCs w:val="20"/>
                <w:lang w:val="sr-Cyrl-RS"/>
              </w:rPr>
              <w:t>Рок (оквирно када?)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3566" w:type="dxa"/>
            <w:tcBorders>
              <w:top w:val="single" w:color="auto" w:sz="4" w:space="0"/>
              <w:left w:val="single" w:color="auto" w:sz="4" w:space="0"/>
              <w:bottom w:val="single" w:color="auto" w:sz="4" w:space="0"/>
              <w:right w:val="single" w:color="auto" w:sz="4" w:space="0"/>
            </w:tcBorders>
          </w:tcPr>
          <w:p>
            <w:pPr>
              <w:spacing w:before="40" w:after="40"/>
              <w:jc w:val="both"/>
              <w:rPr>
                <w:sz w:val="20"/>
                <w:szCs w:val="20"/>
                <w:lang w:val="sr-Cyrl-RS"/>
              </w:rPr>
            </w:pPr>
            <w:r>
              <w:rPr>
                <w:sz w:val="20"/>
                <w:szCs w:val="20"/>
                <w:lang w:val="sr-Cyrl-RS"/>
              </w:rPr>
              <w:t xml:space="preserve">Дефинисање приоритета за </w:t>
            </w:r>
            <w:r>
              <w:rPr>
                <w:sz w:val="20"/>
                <w:szCs w:val="20"/>
                <w:u w:val="single"/>
                <w:lang w:val="sr-Cyrl-RS"/>
              </w:rPr>
              <w:t>наредну годину</w:t>
            </w:r>
            <w:r>
              <w:rPr>
                <w:sz w:val="20"/>
                <w:szCs w:val="20"/>
                <w:lang w:val="sr-Cyrl-RS"/>
              </w:rPr>
              <w:t xml:space="preserve"> на основу стратешко-програмских докумената и израда Плана имплементације (1+2)</w:t>
            </w:r>
          </w:p>
        </w:tc>
        <w:tc>
          <w:tcPr>
            <w:tcW w:w="3449" w:type="dxa"/>
            <w:tcBorders>
              <w:top w:val="single" w:color="auto" w:sz="4" w:space="0"/>
              <w:left w:val="single" w:color="auto" w:sz="4" w:space="0"/>
              <w:bottom w:val="single" w:color="auto" w:sz="4" w:space="0"/>
              <w:right w:val="single" w:color="auto" w:sz="4" w:space="0"/>
            </w:tcBorders>
          </w:tcPr>
          <w:p>
            <w:pPr>
              <w:spacing w:before="40" w:after="40"/>
              <w:rPr>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Координатор развојног тима (РТ), Начелник Одјељења за ЛЕР и стратешко планирање</w:t>
            </w:r>
          </w:p>
          <w:p>
            <w:pPr>
              <w:spacing w:before="40" w:after="40"/>
              <w:rPr>
                <w:b/>
                <w:sz w:val="20"/>
                <w:szCs w:val="20"/>
                <w:lang w:val="sr-Cyrl-RS"/>
              </w:rPr>
            </w:pPr>
            <w:r>
              <w:rPr>
                <w:b/>
                <w:sz w:val="20"/>
                <w:szCs w:val="20"/>
                <w:lang w:val="sr-Cyrl-RS"/>
              </w:rPr>
              <w:t>Носиоци и учесници у процесу:</w:t>
            </w:r>
          </w:p>
          <w:p>
            <w:pPr>
              <w:spacing w:before="40" w:after="40"/>
              <w:rPr>
                <w:sz w:val="20"/>
                <w:szCs w:val="20"/>
                <w:lang w:val="sr-Cyrl-RS"/>
              </w:rPr>
            </w:pPr>
            <w:r>
              <w:rPr>
                <w:sz w:val="20"/>
                <w:szCs w:val="20"/>
                <w:lang w:val="sr-Cyrl-RS"/>
              </w:rPr>
              <w:t xml:space="preserve">Начелници одјељења </w:t>
            </w:r>
          </w:p>
          <w:p>
            <w:pPr>
              <w:spacing w:before="40" w:after="40" w:line="256" w:lineRule="auto"/>
              <w:rPr>
                <w:rFonts w:asciiTheme="minorHAnsi" w:hAnsiTheme="minorHAnsi" w:cstheme="minorHAnsi"/>
                <w:sz w:val="20"/>
                <w:szCs w:val="20"/>
                <w:lang w:val="sr-Cyrl-RS"/>
              </w:rPr>
            </w:pPr>
            <w:r>
              <w:rPr>
                <w:rFonts w:asciiTheme="minorHAnsi" w:hAnsiTheme="minorHAnsi" w:cstheme="minorHAnsi"/>
                <w:sz w:val="20"/>
                <w:szCs w:val="20"/>
                <w:lang w:val="sr-Cyrl-RS"/>
              </w:rPr>
              <w:t xml:space="preserve">Колегијум градоначелника </w:t>
            </w:r>
          </w:p>
          <w:p>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color="auto" w:sz="4" w:space="0"/>
              <w:left w:val="single" w:color="auto" w:sz="4" w:space="0"/>
              <w:bottom w:val="single" w:color="auto" w:sz="4" w:space="0"/>
              <w:right w:val="single" w:color="auto" w:sz="4" w:space="0"/>
            </w:tcBorders>
          </w:tcPr>
          <w:p>
            <w:pPr>
              <w:spacing w:before="40" w:after="40"/>
              <w:rPr>
                <w:rFonts w:eastAsia="MS PGothic"/>
                <w:sz w:val="20"/>
                <w:szCs w:val="20"/>
                <w:lang w:val="sr-Cyrl-RS"/>
              </w:rPr>
            </w:pPr>
            <w:r>
              <w:rPr>
                <w:rFonts w:eastAsia="MS PGothic"/>
                <w:sz w:val="20"/>
                <w:szCs w:val="20"/>
                <w:lang w:val="sr-Cyrl-RS"/>
              </w:rPr>
              <w:t>Први квартал текуће године (по роковима из Закона РС о буџету)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 xml:space="preserve">Припрема планова одјељења </w:t>
            </w:r>
            <w:r>
              <w:rPr>
                <w:rFonts w:eastAsia="MS PGothic"/>
                <w:sz w:val="20"/>
                <w:szCs w:val="20"/>
                <w:u w:val="single"/>
                <w:lang w:val="sr-Cyrl-RS"/>
              </w:rPr>
              <w:t>за наредну годину</w:t>
            </w:r>
            <w:r>
              <w:rPr>
                <w:rFonts w:eastAsia="MS PGothic"/>
                <w:sz w:val="20"/>
                <w:szCs w:val="20"/>
                <w:lang w:val="sr-Cyrl-RS"/>
              </w:rPr>
              <w:t>, укључујући пројекте из Стратегије развоја и редовне послове</w:t>
            </w:r>
          </w:p>
        </w:tc>
        <w:tc>
          <w:tcPr>
            <w:tcW w:w="3449"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sz w:val="20"/>
                <w:szCs w:val="20"/>
                <w:lang w:val="sr-Cyrl-RS"/>
              </w:rPr>
            </w:pPr>
            <w:r>
              <w:rPr>
                <w:b/>
                <w:sz w:val="20"/>
                <w:szCs w:val="20"/>
                <w:lang w:val="sr-Cyrl-RS"/>
              </w:rPr>
              <w:t>Иницијатор и власник процеса:</w:t>
            </w:r>
            <w:r>
              <w:rPr>
                <w:sz w:val="20"/>
                <w:szCs w:val="20"/>
                <w:lang w:val="sr-Cyrl-RS"/>
              </w:rPr>
              <w:t xml:space="preserve"> </w:t>
            </w:r>
          </w:p>
          <w:p>
            <w:pPr>
              <w:spacing w:before="40" w:after="40"/>
              <w:rPr>
                <w:bCs/>
                <w:sz w:val="20"/>
                <w:szCs w:val="20"/>
                <w:lang w:val="sr-Cyrl-RS"/>
              </w:rPr>
            </w:pPr>
            <w:r>
              <w:rPr>
                <w:sz w:val="20"/>
                <w:szCs w:val="20"/>
                <w:lang w:val="sr-Cyrl-RS"/>
              </w:rPr>
              <w:t xml:space="preserve">Начелник Одјељења за </w:t>
            </w:r>
            <w:r>
              <w:rPr>
                <w:rFonts w:eastAsia="MS PGothic"/>
                <w:sz w:val="20"/>
                <w:szCs w:val="20"/>
                <w:lang w:val="sr-Cyrl-RS"/>
              </w:rPr>
              <w:t>ЛЕР</w:t>
            </w:r>
            <w:r>
              <w:rPr>
                <w:sz w:val="20"/>
                <w:szCs w:val="20"/>
                <w:lang w:val="sr-Cyrl-RS"/>
              </w:rPr>
              <w:t xml:space="preserve"> и стратешко планирање</w:t>
            </w:r>
          </w:p>
          <w:p>
            <w:pPr>
              <w:spacing w:before="40" w:after="40"/>
              <w:rPr>
                <w:b/>
                <w:bCs/>
                <w:sz w:val="20"/>
                <w:szCs w:val="20"/>
                <w:lang w:val="sr-Cyrl-RS"/>
              </w:rPr>
            </w:pPr>
            <w:r>
              <w:rPr>
                <w:b/>
                <w:bCs/>
                <w:sz w:val="20"/>
                <w:szCs w:val="20"/>
                <w:lang w:val="sr-Cyrl-RS"/>
              </w:rPr>
              <w:t xml:space="preserve">Носиоци и учесници: </w:t>
            </w:r>
          </w:p>
          <w:p>
            <w:pPr>
              <w:spacing w:before="40" w:after="40"/>
              <w:rPr>
                <w:sz w:val="20"/>
                <w:szCs w:val="20"/>
                <w:lang w:val="sr-Cyrl-RS"/>
              </w:rPr>
            </w:pPr>
            <w:r>
              <w:rPr>
                <w:sz w:val="20"/>
                <w:szCs w:val="20"/>
                <w:lang w:val="sr-Cyrl-RS"/>
              </w:rPr>
              <w:t xml:space="preserve">Начелници одјељења </w:t>
            </w:r>
          </w:p>
          <w:p>
            <w:pPr>
              <w:spacing w:before="40" w:after="40"/>
              <w:rPr>
                <w:rFonts w:eastAsia="MS PGothic"/>
                <w:sz w:val="20"/>
                <w:szCs w:val="20"/>
                <w:lang w:val="sr-Cyrl-RS"/>
              </w:rPr>
            </w:pPr>
            <w:r>
              <w:rPr>
                <w:rFonts w:eastAsia="MS PGothic"/>
                <w:sz w:val="20"/>
                <w:szCs w:val="20"/>
                <w:lang w:val="sr-Cyrl-RS"/>
              </w:rPr>
              <w:t>Остали службеници Одјељења</w:t>
            </w:r>
          </w:p>
          <w:p>
            <w:pPr>
              <w:spacing w:before="40" w:after="40"/>
              <w:rPr>
                <w:sz w:val="20"/>
                <w:szCs w:val="20"/>
                <w:lang w:val="sr-Cyrl-RS"/>
              </w:rPr>
            </w:pPr>
            <w:r>
              <w:rPr>
                <w:sz w:val="20"/>
                <w:szCs w:val="20"/>
                <w:lang w:val="sr-Cyrl-RS"/>
              </w:rPr>
              <w:t>Градски развојни тим</w:t>
            </w:r>
          </w:p>
        </w:tc>
        <w:tc>
          <w:tcPr>
            <w:tcW w:w="2335"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cs="Calibri"/>
                <w:sz w:val="20"/>
                <w:szCs w:val="20"/>
                <w:lang w:val="sr-Cyrl-RS"/>
              </w:rPr>
              <w:t>01.09-30.09.</w:t>
            </w:r>
          </w:p>
          <w:p>
            <w:pPr>
              <w:spacing w:before="40" w:after="40"/>
              <w:rPr>
                <w:rFonts w:eastAsia="MS PGothic"/>
                <w:sz w:val="20"/>
                <w:szCs w:val="20"/>
                <w:lang w:val="sr-Cyrl-RS"/>
              </w:rPr>
            </w:pPr>
            <w:r>
              <w:rPr>
                <w:rFonts w:eastAsia="MS PGothic"/>
                <w:sz w:val="20"/>
                <w:szCs w:val="20"/>
                <w:lang w:val="sr-Cyrl-RS"/>
              </w:rPr>
              <w:t>текуће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auto"/>
          </w:tcPr>
          <w:p>
            <w:pPr>
              <w:spacing w:before="40" w:after="40"/>
              <w:rPr>
                <w:rFonts w:eastAsia="MS PGothic"/>
                <w:sz w:val="20"/>
                <w:szCs w:val="20"/>
                <w:lang w:val="sr-Cyrl-RS"/>
              </w:rPr>
            </w:pPr>
            <w:r>
              <w:rPr>
                <w:rFonts w:eastAsia="MS PGothic"/>
                <w:sz w:val="20"/>
                <w:szCs w:val="20"/>
                <w:lang w:val="sr-Cyrl-RS"/>
              </w:rPr>
              <w:t xml:space="preserve">Укључивање стратешких пројеката и мјера у план буџета </w:t>
            </w:r>
            <w:r>
              <w:rPr>
                <w:rFonts w:eastAsia="MS PGothic"/>
                <w:sz w:val="20"/>
                <w:szCs w:val="20"/>
                <w:u w:val="single"/>
                <w:lang w:val="sr-Cyrl-RS"/>
              </w:rPr>
              <w:t>за наредну годину</w:t>
            </w:r>
          </w:p>
        </w:tc>
        <w:tc>
          <w:tcPr>
            <w:tcW w:w="3449" w:type="dxa"/>
            <w:tcBorders>
              <w:top w:val="single" w:color="auto" w:sz="4" w:space="0"/>
              <w:left w:val="single" w:color="auto" w:sz="4" w:space="0"/>
              <w:bottom w:val="single" w:color="auto" w:sz="4" w:space="0"/>
              <w:right w:val="single" w:color="auto" w:sz="4" w:space="0"/>
            </w:tcBorders>
            <w:shd w:val="clear" w:color="auto" w:fill="auto"/>
          </w:tcPr>
          <w:p>
            <w:pPr>
              <w:spacing w:before="40" w:after="40"/>
              <w:rPr>
                <w:rFonts w:eastAsia="MS PGothic"/>
                <w:sz w:val="20"/>
                <w:szCs w:val="20"/>
                <w:lang w:val="sr-Cyrl-RS"/>
              </w:rPr>
            </w:pPr>
            <w:r>
              <w:rPr>
                <w:rFonts w:eastAsia="MS PGothic"/>
                <w:b/>
                <w:sz w:val="20"/>
                <w:szCs w:val="20"/>
                <w:lang w:val="sr-Cyrl-RS"/>
              </w:rPr>
              <w:t>Иницијатор и власник процеса:</w:t>
            </w:r>
            <w:r>
              <w:rPr>
                <w:rFonts w:eastAsia="MS PGothic"/>
                <w:sz w:val="20"/>
                <w:szCs w:val="20"/>
                <w:lang w:val="sr-Cyrl-RS"/>
              </w:rPr>
              <w:t xml:space="preserve"> </w:t>
            </w:r>
          </w:p>
          <w:p>
            <w:pPr>
              <w:spacing w:before="40" w:after="40"/>
              <w:rPr>
                <w:rFonts w:eastAsia="MS PGothic"/>
                <w:sz w:val="20"/>
                <w:szCs w:val="20"/>
                <w:lang w:val="sr-Cyrl-RS"/>
              </w:rPr>
            </w:pPr>
            <w:r>
              <w:rPr>
                <w:rFonts w:eastAsia="MS PGothic"/>
                <w:sz w:val="20"/>
                <w:szCs w:val="20"/>
                <w:lang w:val="sr-Cyrl-RS"/>
              </w:rPr>
              <w:t xml:space="preserve">Начелник Одјељења за финансије </w:t>
            </w:r>
          </w:p>
          <w:p>
            <w:pPr>
              <w:spacing w:before="40" w:after="40"/>
              <w:rPr>
                <w:b/>
                <w:bCs/>
                <w:sz w:val="20"/>
                <w:szCs w:val="20"/>
                <w:lang w:val="sr-Cyrl-RS"/>
              </w:rPr>
            </w:pPr>
            <w:r>
              <w:rPr>
                <w:b/>
                <w:bCs/>
                <w:sz w:val="20"/>
                <w:szCs w:val="20"/>
                <w:lang w:val="sr-Cyrl-RS"/>
              </w:rPr>
              <w:t>Носиоци и учесници процеса:</w:t>
            </w:r>
          </w:p>
          <w:p>
            <w:pPr>
              <w:spacing w:before="40" w:after="40"/>
              <w:rPr>
                <w:rFonts w:eastAsia="MS PGothic"/>
                <w:sz w:val="20"/>
                <w:szCs w:val="20"/>
                <w:lang w:val="hr-HR"/>
              </w:rPr>
            </w:pPr>
            <w:r>
              <w:rPr>
                <w:rFonts w:eastAsia="MS PGothic"/>
                <w:sz w:val="20"/>
                <w:szCs w:val="20"/>
                <w:lang w:val="sr-Cyrl-RS"/>
              </w:rPr>
              <w:t xml:space="preserve">Координатор РТ-а </w:t>
            </w:r>
          </w:p>
          <w:p>
            <w:pPr>
              <w:spacing w:before="40" w:after="40"/>
              <w:rPr>
                <w:sz w:val="20"/>
                <w:szCs w:val="20"/>
                <w:lang w:val="hr-HR"/>
              </w:rPr>
            </w:pPr>
            <w:r>
              <w:rPr>
                <w:sz w:val="20"/>
                <w:szCs w:val="20"/>
                <w:lang w:val="sr-Cyrl-RS"/>
              </w:rPr>
              <w:t xml:space="preserve">Начелник Одјељења за </w:t>
            </w:r>
            <w:r>
              <w:rPr>
                <w:rFonts w:eastAsia="MS PGothic"/>
                <w:sz w:val="20"/>
                <w:szCs w:val="20"/>
                <w:lang w:val="sr-Cyrl-RS"/>
              </w:rPr>
              <w:t>ЛЕР</w:t>
            </w:r>
            <w:r>
              <w:rPr>
                <w:sz w:val="20"/>
                <w:szCs w:val="20"/>
                <w:lang w:val="sr-Cyrl-RS"/>
              </w:rPr>
              <w:t xml:space="preserve"> и стратешко планирање</w:t>
            </w:r>
          </w:p>
          <w:p>
            <w:pPr>
              <w:spacing w:before="40" w:after="40"/>
              <w:rPr>
                <w:sz w:val="20"/>
                <w:szCs w:val="20"/>
                <w:lang w:val="sr-Cyrl-RS"/>
              </w:rPr>
            </w:pPr>
            <w:r>
              <w:rPr>
                <w:rFonts w:asciiTheme="minorHAnsi" w:hAnsiTheme="minorHAnsi" w:cstheme="minorHAnsi"/>
                <w:sz w:val="20"/>
                <w:szCs w:val="20"/>
                <w:lang w:val="sr-Cyrl-RS"/>
              </w:rPr>
              <w:t>Колегијум градоначелника</w:t>
            </w:r>
          </w:p>
        </w:tc>
        <w:tc>
          <w:tcPr>
            <w:tcW w:w="2335" w:type="dxa"/>
            <w:tcBorders>
              <w:top w:val="single" w:color="auto" w:sz="4" w:space="0"/>
              <w:left w:val="single" w:color="auto" w:sz="4" w:space="0"/>
              <w:bottom w:val="single" w:color="auto" w:sz="4" w:space="0"/>
              <w:right w:val="single" w:color="auto" w:sz="4" w:space="0"/>
            </w:tcBorders>
            <w:shd w:val="clear" w:color="auto" w:fill="auto"/>
          </w:tcPr>
          <w:p>
            <w:pPr>
              <w:spacing w:before="40" w:after="40"/>
              <w:rPr>
                <w:rFonts w:cs="Calibri"/>
                <w:sz w:val="20"/>
                <w:szCs w:val="20"/>
                <w:lang w:val="sr-Cyrl-RS"/>
              </w:rPr>
            </w:pPr>
            <w:r>
              <w:rPr>
                <w:rFonts w:cs="Calibri"/>
                <w:sz w:val="20"/>
                <w:szCs w:val="20"/>
                <w:lang w:val="sr-Cyrl-RS"/>
              </w:rPr>
              <w:t xml:space="preserve">01-31.10 (први нацрт); </w:t>
            </w:r>
          </w:p>
          <w:p>
            <w:pPr>
              <w:spacing w:before="40" w:after="40"/>
              <w:rPr>
                <w:rFonts w:cs="Calibri"/>
                <w:sz w:val="20"/>
                <w:szCs w:val="20"/>
                <w:lang w:val="sr-Cyrl-RS"/>
              </w:rPr>
            </w:pPr>
            <w:r>
              <w:rPr>
                <w:rFonts w:cs="Calibri"/>
                <w:sz w:val="20"/>
                <w:szCs w:val="20"/>
                <w:lang w:val="sr-Cyrl-RS"/>
              </w:rPr>
              <w:t xml:space="preserve">01-30.11 (други нацрт) </w:t>
            </w:r>
          </w:p>
          <w:p>
            <w:pPr>
              <w:spacing w:before="40" w:after="40"/>
              <w:rPr>
                <w:rFonts w:cs="Calibri"/>
                <w:sz w:val="20"/>
                <w:szCs w:val="20"/>
                <w:lang w:val="sr-Cyrl-RS"/>
              </w:rPr>
            </w:pPr>
            <w:r>
              <w:rPr>
                <w:rFonts w:cs="Calibri"/>
                <w:sz w:val="20"/>
                <w:szCs w:val="20"/>
                <w:lang w:val="sr-Cyrl-RS"/>
              </w:rPr>
              <w:t>01-15.12 (трећи нацрт)</w:t>
            </w:r>
          </w:p>
          <w:p>
            <w:pPr>
              <w:spacing w:before="40" w:after="40"/>
              <w:rPr>
                <w:rFonts w:cs="Calibri"/>
                <w:sz w:val="20"/>
                <w:szCs w:val="20"/>
                <w:lang w:val="sr-Cyrl-RS"/>
              </w:rPr>
            </w:pPr>
            <w:r>
              <w:rPr>
                <w:rFonts w:cs="Calibri"/>
                <w:sz w:val="20"/>
                <w:szCs w:val="20"/>
                <w:lang w:val="sr-Cyrl-RS"/>
              </w:rPr>
              <w:t>текуће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 xml:space="preserve">Усклађивање планова рада одјељења ЈЛС са усвојеним Буџетом </w:t>
            </w:r>
            <w:r>
              <w:rPr>
                <w:rFonts w:eastAsia="MS PGothic"/>
                <w:sz w:val="20"/>
                <w:szCs w:val="20"/>
                <w:u w:val="single"/>
                <w:lang w:val="sr-Cyrl-RS"/>
              </w:rPr>
              <w:t>за наредну годину</w:t>
            </w:r>
          </w:p>
          <w:p>
            <w:pPr>
              <w:spacing w:before="40" w:after="40"/>
              <w:rPr>
                <w:rFonts w:eastAsia="MS PGothic"/>
                <w:sz w:val="20"/>
                <w:szCs w:val="20"/>
                <w:lang w:val="sr-Cyrl-RS"/>
              </w:rPr>
            </w:pPr>
          </w:p>
        </w:tc>
        <w:tc>
          <w:tcPr>
            <w:tcW w:w="3449"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sz w:val="20"/>
                <w:szCs w:val="20"/>
                <w:lang w:val="hr-HR"/>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Координатор РТ-а, Начелник Одјељења за ЛЕР и стратешко планирање</w:t>
            </w:r>
            <w:r>
              <w:rPr>
                <w:rFonts w:eastAsia="MS PGothic"/>
                <w:sz w:val="20"/>
                <w:szCs w:val="20"/>
                <w:lang w:val="hr-HR"/>
              </w:rPr>
              <w:t xml:space="preserve">, </w:t>
            </w:r>
            <w:r>
              <w:rPr>
                <w:rFonts w:eastAsia="MS PGothic"/>
                <w:sz w:val="20"/>
                <w:szCs w:val="20"/>
                <w:lang w:val="sr-Cyrl-RS"/>
              </w:rPr>
              <w:t>Начелник Одјељења за финансије</w:t>
            </w:r>
          </w:p>
          <w:p>
            <w:pPr>
              <w:spacing w:before="40" w:after="40"/>
              <w:rPr>
                <w:sz w:val="20"/>
                <w:szCs w:val="20"/>
                <w:lang w:val="sr-Cyrl-RS"/>
              </w:rPr>
            </w:pPr>
            <w:r>
              <w:rPr>
                <w:b/>
                <w:sz w:val="20"/>
                <w:szCs w:val="20"/>
                <w:lang w:val="sr-Cyrl-RS"/>
              </w:rPr>
              <w:t>Носиоци и учесници процеса:</w:t>
            </w:r>
            <w:r>
              <w:rPr>
                <w:sz w:val="20"/>
                <w:szCs w:val="20"/>
                <w:lang w:val="sr-Cyrl-RS"/>
              </w:rPr>
              <w:t xml:space="preserve"> Начелници одјељења</w:t>
            </w:r>
            <w:r>
              <w:rPr>
                <w:rFonts w:eastAsia="MS PGothic"/>
                <w:sz w:val="20"/>
                <w:szCs w:val="20"/>
                <w:lang w:val="sr-Cyrl-RS"/>
              </w:rPr>
              <w:t xml:space="preserve"> </w:t>
            </w:r>
          </w:p>
          <w:p>
            <w:pPr>
              <w:spacing w:before="40" w:after="40"/>
              <w:rPr>
                <w:rFonts w:eastAsia="MS PGothic"/>
                <w:sz w:val="20"/>
                <w:szCs w:val="20"/>
                <w:lang w:val="sr-Cyrl-RS"/>
              </w:rPr>
            </w:pPr>
            <w:r>
              <w:rPr>
                <w:rFonts w:eastAsia="MS PGothic"/>
                <w:sz w:val="20"/>
                <w:szCs w:val="20"/>
                <w:lang w:val="sr-Cyrl-RS"/>
              </w:rPr>
              <w:t>Остали службеници Одјељења</w:t>
            </w:r>
          </w:p>
          <w:p>
            <w:pPr>
              <w:spacing w:before="40" w:after="40"/>
              <w:rPr>
                <w:rFonts w:eastAsia="MS PGothic"/>
                <w:sz w:val="20"/>
                <w:szCs w:val="20"/>
                <w:lang w:val="sr-Cyrl-RS"/>
              </w:rPr>
            </w:pPr>
            <w:r>
              <w:rPr>
                <w:rFonts w:asciiTheme="minorHAnsi" w:hAnsiTheme="minorHAnsi" w:cstheme="minorHAnsi"/>
                <w:sz w:val="20"/>
                <w:szCs w:val="20"/>
                <w:lang w:val="sr-Cyrl-RS"/>
              </w:rPr>
              <w:t>Колегијум градоначелника</w:t>
            </w:r>
          </w:p>
        </w:tc>
        <w:tc>
          <w:tcPr>
            <w:tcW w:w="2335"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 xml:space="preserve">05-15. јануар </w:t>
            </w:r>
          </w:p>
          <w:p>
            <w:pPr>
              <w:spacing w:before="40" w:after="40"/>
              <w:rPr>
                <w:rFonts w:eastAsia="MS PGothic"/>
                <w:sz w:val="20"/>
                <w:szCs w:val="20"/>
                <w:lang w:val="sr-Cyrl-RS"/>
              </w:rPr>
            </w:pPr>
            <w:r>
              <w:rPr>
                <w:rFonts w:eastAsia="MS PGothic"/>
                <w:sz w:val="20"/>
                <w:szCs w:val="20"/>
                <w:lang w:val="sr-Cyrl-RS"/>
              </w:rPr>
              <w:t>наредне године</w:t>
            </w:r>
          </w:p>
          <w:p>
            <w:pPr>
              <w:spacing w:before="40" w:after="40"/>
              <w:rPr>
                <w:rFonts w:eastAsia="MS PGothic"/>
                <w:sz w:val="20"/>
                <w:szCs w:val="20"/>
                <w:lang w:val="sr-Cyrl-R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FFFFFF"/>
          </w:tcPr>
          <w:p>
            <w:pPr>
              <w:spacing w:before="40" w:after="40"/>
              <w:rPr>
                <w:rFonts w:eastAsia="MS PGothic"/>
                <w:sz w:val="20"/>
                <w:szCs w:val="20"/>
                <w:lang w:val="sr-Cyrl-RS"/>
              </w:rPr>
            </w:pPr>
            <w:r>
              <w:rPr>
                <w:rFonts w:eastAsia="MS PGothic"/>
                <w:sz w:val="20"/>
                <w:szCs w:val="20"/>
                <w:lang w:val="sr-Cyrl-RS"/>
              </w:rPr>
              <w:t>Припрема календара за праћење реализације Годишњег плана ЈЛС</w:t>
            </w:r>
          </w:p>
          <w:p>
            <w:pPr>
              <w:spacing w:before="40" w:after="40"/>
              <w:rPr>
                <w:rFonts w:eastAsia="MS PGothic"/>
                <w:sz w:val="20"/>
                <w:szCs w:val="20"/>
                <w:lang w:val="sr-Cyrl-RS"/>
              </w:rPr>
            </w:pPr>
          </w:p>
        </w:tc>
        <w:tc>
          <w:tcPr>
            <w:tcW w:w="3449" w:type="dxa"/>
            <w:tcBorders>
              <w:top w:val="single" w:color="auto" w:sz="4" w:space="0"/>
              <w:left w:val="single" w:color="auto" w:sz="4" w:space="0"/>
              <w:bottom w:val="single" w:color="auto" w:sz="4" w:space="0"/>
              <w:right w:val="single" w:color="auto" w:sz="4" w:space="0"/>
            </w:tcBorders>
          </w:tcPr>
          <w:p>
            <w:pPr>
              <w:spacing w:before="40" w:after="40"/>
              <w:rPr>
                <w:b/>
                <w:bCs/>
                <w:sz w:val="20"/>
                <w:szCs w:val="20"/>
                <w:lang w:val="sr-Cyrl-RS"/>
              </w:rPr>
            </w:pPr>
            <w:r>
              <w:rPr>
                <w:b/>
                <w:bCs/>
                <w:sz w:val="20"/>
                <w:szCs w:val="20"/>
                <w:lang w:val="sr-Cyrl-RS"/>
              </w:rPr>
              <w:t xml:space="preserve">Иницијатор и власник процеса: </w:t>
            </w:r>
          </w:p>
          <w:p>
            <w:pPr>
              <w:spacing w:before="40" w:after="40"/>
              <w:rPr>
                <w:sz w:val="20"/>
                <w:szCs w:val="20"/>
                <w:lang w:val="sr-Cyrl-RS"/>
              </w:rPr>
            </w:pPr>
            <w:r>
              <w:rPr>
                <w:rFonts w:eastAsia="MS PGothic"/>
                <w:sz w:val="20"/>
                <w:szCs w:val="20"/>
                <w:lang w:val="sr-Cyrl-RS"/>
              </w:rPr>
              <w:t xml:space="preserve">Координатор РТ-а, Начелник Одјељења за ЛЕР и стратешко планирање </w:t>
            </w:r>
          </w:p>
          <w:p>
            <w:pPr>
              <w:spacing w:before="40" w:after="40"/>
              <w:rPr>
                <w:b/>
                <w:sz w:val="20"/>
                <w:szCs w:val="20"/>
                <w:lang w:val="sr-Cyrl-RS"/>
              </w:rPr>
            </w:pPr>
            <w:r>
              <w:rPr>
                <w:b/>
                <w:bCs/>
                <w:sz w:val="20"/>
                <w:szCs w:val="20"/>
                <w:lang w:val="sr-Cyrl-RS"/>
              </w:rPr>
              <w:t>Носиоци и учесници процеса:</w:t>
            </w:r>
          </w:p>
          <w:p>
            <w:pPr>
              <w:spacing w:before="40" w:after="40"/>
              <w:rPr>
                <w:sz w:val="20"/>
                <w:szCs w:val="20"/>
                <w:lang w:val="sr-Cyrl-RS"/>
              </w:rPr>
            </w:pPr>
            <w:r>
              <w:rPr>
                <w:sz w:val="20"/>
                <w:szCs w:val="20"/>
                <w:lang w:val="sr-Cyrl-RS"/>
              </w:rPr>
              <w:t xml:space="preserve">Градски развојни тим </w:t>
            </w:r>
          </w:p>
          <w:p>
            <w:pPr>
              <w:spacing w:before="40" w:after="40"/>
              <w:rPr>
                <w:sz w:val="20"/>
                <w:szCs w:val="20"/>
                <w:lang w:val="sr-Cyrl-RS"/>
              </w:rPr>
            </w:pPr>
            <w:r>
              <w:rPr>
                <w:sz w:val="20"/>
                <w:szCs w:val="20"/>
                <w:lang w:val="sr-Cyrl-RS"/>
              </w:rPr>
              <w:t>Одјељење за ЛЕР и стратешко планирање</w:t>
            </w:r>
          </w:p>
          <w:p>
            <w:pPr>
              <w:spacing w:before="40" w:after="40"/>
              <w:rPr>
                <w:bCs/>
                <w:sz w:val="20"/>
                <w:szCs w:val="20"/>
                <w:lang w:val="sr-Cyrl-RS"/>
              </w:rPr>
            </w:pPr>
          </w:p>
        </w:tc>
        <w:tc>
          <w:tcPr>
            <w:tcW w:w="2335" w:type="dxa"/>
            <w:tcBorders>
              <w:top w:val="single" w:color="auto" w:sz="4" w:space="0"/>
              <w:left w:val="single" w:color="auto" w:sz="4" w:space="0"/>
              <w:bottom w:val="single" w:color="auto" w:sz="4" w:space="0"/>
              <w:right w:val="single" w:color="auto" w:sz="4" w:space="0"/>
            </w:tcBorders>
          </w:tcPr>
          <w:p>
            <w:pPr>
              <w:spacing w:before="40" w:after="40"/>
              <w:rPr>
                <w:rFonts w:eastAsia="MS PGothic"/>
                <w:sz w:val="20"/>
                <w:szCs w:val="20"/>
                <w:lang w:val="sr-Cyrl-RS"/>
              </w:rPr>
            </w:pPr>
            <w:r>
              <w:rPr>
                <w:rFonts w:eastAsia="MS PGothic"/>
                <w:sz w:val="20"/>
                <w:szCs w:val="20"/>
                <w:lang w:val="sr-Cyrl-RS"/>
              </w:rPr>
              <w:t>31. јануар</w:t>
            </w:r>
          </w:p>
          <w:p>
            <w:pPr>
              <w:spacing w:before="40" w:after="40"/>
              <w:rPr>
                <w:rFonts w:eastAsia="MS PGothic"/>
                <w:sz w:val="20"/>
                <w:szCs w:val="20"/>
                <w:lang w:val="sr-Cyrl-RS"/>
              </w:rPr>
            </w:pPr>
            <w:r>
              <w:rPr>
                <w:rFonts w:eastAsia="MS PGothic"/>
                <w:sz w:val="20"/>
                <w:szCs w:val="20"/>
                <w:lang w:val="sr-Cyrl-RS"/>
              </w:rPr>
              <w:t>наредне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 xml:space="preserve">Разрада пројеката </w:t>
            </w:r>
          </w:p>
        </w:tc>
        <w:tc>
          <w:tcPr>
            <w:tcW w:w="3449"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Координатор РТ-а, Начелник Одјељења за ЛЕР и стратешко планирање</w:t>
            </w:r>
          </w:p>
          <w:p>
            <w:pPr>
              <w:spacing w:before="40" w:after="40"/>
              <w:rPr>
                <w:sz w:val="20"/>
                <w:szCs w:val="20"/>
                <w:lang w:val="sr-Cyrl-RS"/>
              </w:rPr>
            </w:pPr>
            <w:r>
              <w:rPr>
                <w:b/>
                <w:sz w:val="20"/>
                <w:szCs w:val="20"/>
                <w:lang w:val="sr-Cyrl-RS"/>
              </w:rPr>
              <w:t>Носиоци и учесници процеса:</w:t>
            </w:r>
            <w:r>
              <w:rPr>
                <w:sz w:val="20"/>
                <w:szCs w:val="20"/>
                <w:lang w:val="sr-Cyrl-RS"/>
              </w:rPr>
              <w:t xml:space="preserve"> </w:t>
            </w:r>
            <w:r>
              <w:rPr>
                <w:rFonts w:eastAsia="MS PGothic"/>
                <w:sz w:val="20"/>
                <w:szCs w:val="20"/>
                <w:lang w:val="sr-Cyrl-RS"/>
              </w:rPr>
              <w:t>Надлежна одјељења</w:t>
            </w:r>
            <w:r>
              <w:rPr>
                <w:sz w:val="20"/>
                <w:szCs w:val="20"/>
                <w:lang w:val="sr-Cyrl-RS"/>
              </w:rPr>
              <w:t xml:space="preserve"> </w:t>
            </w:r>
          </w:p>
          <w:p>
            <w:pPr>
              <w:spacing w:before="40" w:after="40"/>
              <w:rPr>
                <w:sz w:val="20"/>
                <w:szCs w:val="20"/>
                <w:lang w:val="sr-Cyrl-RS"/>
              </w:rPr>
            </w:pPr>
            <w:r>
              <w:rPr>
                <w:sz w:val="20"/>
                <w:szCs w:val="20"/>
                <w:lang w:val="sr-Cyrl-RS"/>
              </w:rPr>
              <w:t>Градски развојни тим</w:t>
            </w:r>
          </w:p>
        </w:tc>
        <w:tc>
          <w:tcPr>
            <w:tcW w:w="2335"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Континуирано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tcPr>
          <w:p>
            <w:pPr>
              <w:spacing w:before="40" w:after="40"/>
              <w:rPr>
                <w:rFonts w:eastAsia="MS PGothic"/>
                <w:sz w:val="20"/>
                <w:szCs w:val="20"/>
                <w:lang w:val="sr-Cyrl-RS"/>
              </w:rPr>
            </w:pPr>
            <w:r>
              <w:rPr>
                <w:rFonts w:eastAsia="MS PGothic"/>
                <w:sz w:val="20"/>
                <w:szCs w:val="20"/>
                <w:lang w:val="sr-Cyrl-RS"/>
              </w:rPr>
              <w:t>Праћење екстерних извора финансирања</w:t>
            </w:r>
          </w:p>
        </w:tc>
        <w:tc>
          <w:tcPr>
            <w:tcW w:w="3449" w:type="dxa"/>
            <w:tcBorders>
              <w:top w:val="single" w:color="auto" w:sz="4" w:space="0"/>
              <w:left w:val="single" w:color="auto" w:sz="4" w:space="0"/>
              <w:bottom w:val="single" w:color="auto" w:sz="4" w:space="0"/>
              <w:right w:val="single" w:color="auto" w:sz="4" w:space="0"/>
            </w:tcBorders>
          </w:tcPr>
          <w:p>
            <w:pPr>
              <w:spacing w:before="40" w:after="40"/>
              <w:rPr>
                <w:bCs/>
                <w:sz w:val="20"/>
                <w:szCs w:val="20"/>
                <w:lang w:val="sr-Cyrl-RS"/>
              </w:rPr>
            </w:pPr>
            <w:r>
              <w:rPr>
                <w:b/>
                <w:bCs/>
                <w:sz w:val="20"/>
                <w:szCs w:val="20"/>
                <w:lang w:val="sr-Cyrl-RS"/>
              </w:rPr>
              <w:t>Иницијатор и власник процеса:</w:t>
            </w:r>
            <w:r>
              <w:rPr>
                <w:bCs/>
                <w:sz w:val="20"/>
                <w:szCs w:val="20"/>
                <w:lang w:val="sr-Cyrl-RS"/>
              </w:rPr>
              <w:t xml:space="preserve"> </w:t>
            </w:r>
          </w:p>
          <w:p>
            <w:pPr>
              <w:spacing w:before="40" w:after="40"/>
              <w:rPr>
                <w:sz w:val="20"/>
                <w:szCs w:val="20"/>
                <w:lang w:val="sr-Cyrl-RS"/>
              </w:rPr>
            </w:pPr>
            <w:r>
              <w:rPr>
                <w:rFonts w:eastAsia="MS PGothic"/>
                <w:sz w:val="20"/>
                <w:szCs w:val="20"/>
                <w:lang w:val="sr-Cyrl-RS"/>
              </w:rPr>
              <w:t xml:space="preserve">Начелник Одјељења за ЛЕР и стратешко планирање </w:t>
            </w:r>
          </w:p>
          <w:p>
            <w:pPr>
              <w:tabs>
                <w:tab w:val="left" w:pos="60"/>
                <w:tab w:val="left" w:pos="724"/>
                <w:tab w:val="left" w:pos="2940"/>
              </w:tabs>
              <w:autoSpaceDE w:val="0"/>
              <w:autoSpaceDN w:val="0"/>
              <w:spacing w:before="40" w:after="40"/>
              <w:jc w:val="both"/>
              <w:rPr>
                <w:rFonts w:eastAsia="MS PGothic"/>
                <w:b/>
                <w:sz w:val="20"/>
                <w:szCs w:val="20"/>
                <w:lang w:val="sr-Cyrl-RS"/>
              </w:rPr>
            </w:pPr>
            <w:r>
              <w:rPr>
                <w:rFonts w:eastAsia="MS PGothic"/>
                <w:b/>
                <w:sz w:val="20"/>
                <w:szCs w:val="20"/>
                <w:lang w:val="sr-Cyrl-RS"/>
              </w:rPr>
              <w:t xml:space="preserve">Носиоци и учесници процеса: </w:t>
            </w:r>
          </w:p>
          <w:p>
            <w:pPr>
              <w:spacing w:before="40" w:after="40"/>
              <w:rPr>
                <w:rFonts w:eastAsia="MS PGothic"/>
                <w:sz w:val="20"/>
                <w:szCs w:val="20"/>
                <w:lang w:val="sr-Cyrl-RS"/>
              </w:rPr>
            </w:pPr>
            <w:r>
              <w:rPr>
                <w:rFonts w:eastAsia="MS PGothic"/>
                <w:sz w:val="20"/>
                <w:szCs w:val="20"/>
                <w:lang w:val="sr-Cyrl-RS"/>
              </w:rPr>
              <w:t>Надлежна одјељења</w:t>
            </w:r>
          </w:p>
          <w:p>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color="auto" w:sz="4" w:space="0"/>
              <w:left w:val="single" w:color="auto" w:sz="4" w:space="0"/>
              <w:bottom w:val="single" w:color="auto" w:sz="4" w:space="0"/>
              <w:right w:val="single" w:color="auto" w:sz="4" w:space="0"/>
            </w:tcBorders>
          </w:tcPr>
          <w:p>
            <w:pPr>
              <w:spacing w:before="40" w:after="40"/>
              <w:rPr>
                <w:rFonts w:eastAsia="MS PGothic"/>
                <w:sz w:val="20"/>
                <w:szCs w:val="20"/>
                <w:lang w:val="sr-Cyrl-RS"/>
              </w:rPr>
            </w:pPr>
            <w:r>
              <w:rPr>
                <w:rFonts w:eastAsia="MS PGothic"/>
                <w:sz w:val="20"/>
                <w:szCs w:val="20"/>
                <w:lang w:val="sr-Cyrl-RS"/>
              </w:rPr>
              <w:t>Континуирано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Праћење провођења Плана имплементације стратегије</w:t>
            </w:r>
          </w:p>
        </w:tc>
        <w:tc>
          <w:tcPr>
            <w:tcW w:w="3449"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Координатор РТ-а, Начелник Одјељења за ЛЕР и стратешко планирање</w:t>
            </w:r>
          </w:p>
          <w:p>
            <w:pPr>
              <w:spacing w:before="40" w:after="40"/>
              <w:rPr>
                <w:b/>
                <w:sz w:val="20"/>
                <w:szCs w:val="20"/>
                <w:lang w:val="sr-Cyrl-RS"/>
              </w:rPr>
            </w:pPr>
            <w:r>
              <w:rPr>
                <w:b/>
                <w:sz w:val="20"/>
                <w:szCs w:val="20"/>
                <w:lang w:val="sr-Cyrl-RS"/>
              </w:rPr>
              <w:t xml:space="preserve">Носиоци и учесници процеса: </w:t>
            </w:r>
          </w:p>
          <w:p>
            <w:pPr>
              <w:spacing w:before="40" w:after="40"/>
              <w:rPr>
                <w:rFonts w:eastAsia="MS PGothic"/>
                <w:sz w:val="20"/>
                <w:szCs w:val="20"/>
                <w:lang w:val="sr-Cyrl-RS"/>
              </w:rPr>
            </w:pPr>
            <w:r>
              <w:rPr>
                <w:rFonts w:eastAsia="MS PGothic"/>
                <w:sz w:val="20"/>
                <w:szCs w:val="20"/>
                <w:lang w:val="sr-Cyrl-RS"/>
              </w:rPr>
              <w:t>Надлежна одјељења</w:t>
            </w:r>
          </w:p>
          <w:p>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Континуирано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tcPr>
          <w:p>
            <w:pPr>
              <w:spacing w:before="40" w:after="40"/>
              <w:rPr>
                <w:rFonts w:eastAsia="MS PGothic"/>
                <w:sz w:val="20"/>
                <w:szCs w:val="20"/>
                <w:lang w:val="sr-Cyrl-RS"/>
              </w:rPr>
            </w:pPr>
            <w:r>
              <w:rPr>
                <w:rFonts w:eastAsia="MS PGothic"/>
                <w:sz w:val="20"/>
                <w:szCs w:val="20"/>
                <w:lang w:val="sr-Cyrl-RS"/>
              </w:rPr>
              <w:t>Праћење имплементације и израда извјештаја о реализацији годишњих планова рада одјељења</w:t>
            </w:r>
          </w:p>
        </w:tc>
        <w:tc>
          <w:tcPr>
            <w:tcW w:w="3449" w:type="dxa"/>
            <w:tcBorders>
              <w:top w:val="single" w:color="auto" w:sz="4" w:space="0"/>
              <w:left w:val="single" w:color="auto" w:sz="4" w:space="0"/>
              <w:bottom w:val="single" w:color="auto" w:sz="4" w:space="0"/>
              <w:right w:val="single" w:color="auto" w:sz="4" w:space="0"/>
            </w:tcBorders>
          </w:tcPr>
          <w:p>
            <w:pPr>
              <w:spacing w:before="40" w:after="40"/>
              <w:rPr>
                <w:rFonts w:eastAsia="MS PGothic"/>
                <w:sz w:val="20"/>
                <w:szCs w:val="20"/>
                <w:lang w:val="sr-Cyrl-RS"/>
              </w:rPr>
            </w:pPr>
            <w:r>
              <w:rPr>
                <w:rFonts w:eastAsia="MS PGothic"/>
                <w:b/>
                <w:sz w:val="20"/>
                <w:szCs w:val="20"/>
                <w:lang w:val="sr-Cyrl-RS"/>
              </w:rPr>
              <w:t>Иницијатор и власник процеса:</w:t>
            </w:r>
            <w:r>
              <w:rPr>
                <w:rFonts w:eastAsia="MS PGothic"/>
                <w:sz w:val="20"/>
                <w:szCs w:val="20"/>
                <w:lang w:val="sr-Cyrl-RS"/>
              </w:rPr>
              <w:t xml:space="preserve"> Координатор РТ-а, Начелник Одјељења за ЛЕР и стратешко планирање </w:t>
            </w:r>
          </w:p>
          <w:p>
            <w:pPr>
              <w:spacing w:before="40" w:after="40"/>
              <w:rPr>
                <w:rFonts w:eastAsia="MS PGothic"/>
                <w:b/>
                <w:sz w:val="20"/>
                <w:szCs w:val="20"/>
                <w:lang w:val="sr-Cyrl-RS"/>
              </w:rPr>
            </w:pPr>
            <w:r>
              <w:rPr>
                <w:rFonts w:eastAsia="MS PGothic"/>
                <w:b/>
                <w:sz w:val="20"/>
                <w:szCs w:val="20"/>
                <w:lang w:val="sr-Cyrl-RS"/>
              </w:rPr>
              <w:t>Носиоци и учесници процеса:</w:t>
            </w:r>
          </w:p>
          <w:p>
            <w:pPr>
              <w:spacing w:before="40" w:after="40"/>
              <w:rPr>
                <w:rFonts w:eastAsia="MS PGothic"/>
                <w:sz w:val="20"/>
                <w:szCs w:val="20"/>
                <w:lang w:val="sr-Cyrl-RS"/>
              </w:rPr>
            </w:pPr>
            <w:r>
              <w:rPr>
                <w:rFonts w:eastAsia="MS PGothic"/>
                <w:sz w:val="20"/>
                <w:szCs w:val="20"/>
                <w:lang w:val="sr-Cyrl-RS"/>
              </w:rPr>
              <w:t>Колегијум градоначелника</w:t>
            </w:r>
          </w:p>
          <w:p>
            <w:pPr>
              <w:spacing w:before="40" w:after="40"/>
              <w:rPr>
                <w:rFonts w:eastAsia="MS PGothic"/>
                <w:sz w:val="20"/>
                <w:szCs w:val="20"/>
                <w:lang w:val="sr-Cyrl-RS"/>
              </w:rPr>
            </w:pPr>
            <w:r>
              <w:rPr>
                <w:rFonts w:eastAsia="MS PGothic"/>
                <w:sz w:val="20"/>
                <w:szCs w:val="20"/>
                <w:lang w:val="sr-Cyrl-RS"/>
              </w:rPr>
              <w:t>Надлежна одјељења</w:t>
            </w:r>
          </w:p>
          <w:p>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color="auto" w:sz="4" w:space="0"/>
              <w:left w:val="single" w:color="auto" w:sz="4" w:space="0"/>
              <w:bottom w:val="single" w:color="auto" w:sz="4" w:space="0"/>
              <w:right w:val="single" w:color="auto" w:sz="4" w:space="0"/>
            </w:tcBorders>
          </w:tcPr>
          <w:p>
            <w:pPr>
              <w:spacing w:before="40" w:after="40"/>
              <w:rPr>
                <w:rFonts w:eastAsia="MS PGothic"/>
                <w:sz w:val="20"/>
                <w:szCs w:val="20"/>
                <w:lang w:val="sr-Cyrl-RS"/>
              </w:rPr>
            </w:pPr>
            <w:r>
              <w:rPr>
                <w:rFonts w:eastAsia="MS PGothic"/>
                <w:b/>
                <w:sz w:val="20"/>
                <w:szCs w:val="20"/>
                <w:lang w:val="sr-Cyrl-RS"/>
              </w:rPr>
              <w:t>Мјесечно</w:t>
            </w:r>
            <w:r>
              <w:rPr>
                <w:rFonts w:eastAsia="MS PGothic"/>
                <w:sz w:val="20"/>
                <w:szCs w:val="20"/>
                <w:lang w:val="sr-Cyrl-RS"/>
              </w:rPr>
              <w:t xml:space="preserve">: Колегијум градоначелника </w:t>
            </w:r>
          </w:p>
          <w:p>
            <w:pPr>
              <w:spacing w:before="40" w:after="40"/>
              <w:rPr>
                <w:rFonts w:eastAsia="MS PGothic"/>
                <w:sz w:val="20"/>
                <w:szCs w:val="20"/>
                <w:lang w:val="sr-Cyrl-RS"/>
              </w:rPr>
            </w:pPr>
            <w:r>
              <w:rPr>
                <w:rFonts w:eastAsia="MS PGothic"/>
                <w:b/>
                <w:sz w:val="20"/>
                <w:szCs w:val="20"/>
                <w:lang w:val="sr-Cyrl-RS"/>
              </w:rPr>
              <w:t xml:space="preserve">Полугодишње: </w:t>
            </w:r>
            <w:r>
              <w:rPr>
                <w:rFonts w:eastAsia="MS PGothic"/>
                <w:sz w:val="20"/>
                <w:szCs w:val="20"/>
                <w:lang w:val="sr-Cyrl-RS"/>
              </w:rPr>
              <w:t>До 31. јули (за првих 6 мјесеци текуће године)</w:t>
            </w:r>
          </w:p>
          <w:p>
            <w:pPr>
              <w:spacing w:before="40" w:after="40"/>
              <w:rPr>
                <w:rFonts w:eastAsia="MS PGothic"/>
                <w:sz w:val="20"/>
                <w:szCs w:val="20"/>
                <w:lang w:val="sr-Cyrl-RS"/>
              </w:rPr>
            </w:pPr>
            <w:r>
              <w:rPr>
                <w:rFonts w:eastAsia="MS PGothic"/>
                <w:b/>
                <w:sz w:val="20"/>
                <w:szCs w:val="20"/>
                <w:lang w:val="sr-Cyrl-RS"/>
              </w:rPr>
              <w:t xml:space="preserve">Годишње: </w:t>
            </w:r>
            <w:r>
              <w:rPr>
                <w:rFonts w:eastAsia="MS PGothic"/>
                <w:sz w:val="20"/>
                <w:szCs w:val="20"/>
                <w:lang w:val="sr-Cyrl-RS"/>
              </w:rPr>
              <w:t>До 31. мај (за претходну годину)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Укључивање Партнерске групе у праћење имплементације стратегије</w:t>
            </w:r>
          </w:p>
        </w:tc>
        <w:tc>
          <w:tcPr>
            <w:tcW w:w="3449"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b/>
                <w:bCs/>
                <w:sz w:val="20"/>
                <w:szCs w:val="20"/>
                <w:lang w:val="sr-Cyrl-RS"/>
              </w:rPr>
              <w:t xml:space="preserve">Иницијатор и власник процеса: </w:t>
            </w:r>
            <w:r>
              <w:rPr>
                <w:rFonts w:eastAsia="MS PGothic"/>
                <w:sz w:val="20"/>
                <w:szCs w:val="20"/>
                <w:lang w:val="sr-Cyrl-RS"/>
              </w:rPr>
              <w:t>Координатор РТ-а, Начелник Одјељења за ЛЕР и стратешко планирање</w:t>
            </w:r>
          </w:p>
          <w:p>
            <w:pPr>
              <w:spacing w:before="40" w:after="40"/>
              <w:rPr>
                <w:b/>
                <w:sz w:val="20"/>
                <w:szCs w:val="20"/>
                <w:lang w:val="sr-Cyrl-RS"/>
              </w:rPr>
            </w:pPr>
            <w:r>
              <w:rPr>
                <w:b/>
                <w:sz w:val="20"/>
                <w:szCs w:val="20"/>
                <w:lang w:val="sr-Cyrl-RS"/>
              </w:rPr>
              <w:t>Носиоци и учесници у процесу:</w:t>
            </w:r>
          </w:p>
          <w:p>
            <w:pPr>
              <w:spacing w:before="40" w:after="40"/>
              <w:rPr>
                <w:rFonts w:eastAsia="MS PGothic"/>
                <w:sz w:val="20"/>
                <w:szCs w:val="20"/>
                <w:lang w:val="sr-Cyrl-RS"/>
              </w:rPr>
            </w:pPr>
            <w:r>
              <w:rPr>
                <w:sz w:val="20"/>
                <w:szCs w:val="20"/>
                <w:lang w:val="sr-Cyrl-RS"/>
              </w:rPr>
              <w:t>Градски развојни тим</w:t>
            </w:r>
            <w:r>
              <w:rPr>
                <w:rFonts w:eastAsia="MS PGothic"/>
                <w:sz w:val="20"/>
                <w:szCs w:val="20"/>
                <w:lang w:val="sr-Cyrl-RS"/>
              </w:rPr>
              <w:t xml:space="preserve"> </w:t>
            </w:r>
          </w:p>
          <w:p>
            <w:pPr>
              <w:spacing w:before="40" w:after="40"/>
              <w:rPr>
                <w:rFonts w:eastAsia="MS PGothic"/>
                <w:sz w:val="20"/>
                <w:szCs w:val="20"/>
                <w:lang w:val="sr-Cyrl-RS"/>
              </w:rPr>
            </w:pPr>
            <w:r>
              <w:rPr>
                <w:rFonts w:eastAsia="MS PGothic"/>
                <w:sz w:val="20"/>
                <w:szCs w:val="20"/>
                <w:lang w:val="sr-Cyrl-RS"/>
              </w:rPr>
              <w:t>Партнерска група</w:t>
            </w:r>
          </w:p>
        </w:tc>
        <w:tc>
          <w:tcPr>
            <w:tcW w:w="2335"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b/>
                <w:sz w:val="20"/>
                <w:szCs w:val="20"/>
                <w:lang w:val="sr-Cyrl-RS"/>
              </w:rPr>
            </w:pPr>
            <w:r>
              <w:rPr>
                <w:rFonts w:eastAsia="MS PGothic"/>
                <w:b/>
                <w:sz w:val="20"/>
                <w:szCs w:val="20"/>
                <w:lang w:val="sr-Cyrl-RS"/>
              </w:rPr>
              <w:t>Први састанак ПГ-а:</w:t>
            </w:r>
          </w:p>
          <w:p>
            <w:pPr>
              <w:spacing w:before="40" w:after="40"/>
              <w:rPr>
                <w:rFonts w:eastAsia="MS PGothic"/>
                <w:sz w:val="20"/>
                <w:szCs w:val="20"/>
                <w:lang w:val="sr-Cyrl-RS"/>
              </w:rPr>
            </w:pPr>
            <w:r>
              <w:rPr>
                <w:rFonts w:eastAsia="MS PGothic"/>
                <w:sz w:val="20"/>
                <w:szCs w:val="20"/>
                <w:lang w:val="sr-Cyrl-RS"/>
              </w:rPr>
              <w:t>До 31 мај (за претходну годину)</w:t>
            </w:r>
          </w:p>
          <w:p>
            <w:pPr>
              <w:spacing w:before="40" w:after="40"/>
              <w:rPr>
                <w:rFonts w:eastAsia="MS PGothic"/>
                <w:b/>
                <w:sz w:val="20"/>
                <w:szCs w:val="20"/>
                <w:lang w:val="sr-Cyrl-RS"/>
              </w:rPr>
            </w:pPr>
            <w:r>
              <w:rPr>
                <w:rFonts w:eastAsia="MS PGothic"/>
                <w:b/>
                <w:sz w:val="20"/>
                <w:szCs w:val="20"/>
                <w:lang w:val="sr-Cyrl-RS"/>
              </w:rPr>
              <w:t>Други састанак ПГ-а:</w:t>
            </w:r>
          </w:p>
          <w:p>
            <w:pPr>
              <w:spacing w:before="40" w:after="40"/>
              <w:rPr>
                <w:rFonts w:eastAsia="MS PGothic"/>
                <w:sz w:val="20"/>
                <w:szCs w:val="20"/>
                <w:lang w:val="sr-Cyrl-RS"/>
              </w:rPr>
            </w:pPr>
            <w:r>
              <w:rPr>
                <w:rFonts w:eastAsia="MS PGothic"/>
                <w:sz w:val="20"/>
                <w:szCs w:val="20"/>
                <w:lang w:val="sr-Cyrl-RS"/>
              </w:rPr>
              <w:t>До 31. јули (за првих 6 мјесеци текуће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FFFFFF"/>
          </w:tcPr>
          <w:p>
            <w:pPr>
              <w:spacing w:before="40" w:after="40"/>
              <w:rPr>
                <w:rFonts w:eastAsia="MS PGothic"/>
                <w:sz w:val="20"/>
                <w:szCs w:val="20"/>
                <w:lang w:val="sr-Cyrl-RS"/>
              </w:rPr>
            </w:pPr>
            <w:r>
              <w:rPr>
                <w:rFonts w:eastAsia="MS PGothic"/>
                <w:sz w:val="20"/>
                <w:szCs w:val="20"/>
                <w:lang w:val="sr-Cyrl-RS"/>
              </w:rPr>
              <w:t>Израда Годишњег извјештаја о реализацији стратегије развоја, његово усвајање и објављивање</w:t>
            </w:r>
          </w:p>
        </w:tc>
        <w:tc>
          <w:tcPr>
            <w:tcW w:w="3449" w:type="dxa"/>
            <w:tcBorders>
              <w:top w:val="single" w:color="auto" w:sz="4" w:space="0"/>
              <w:left w:val="single" w:color="auto" w:sz="4" w:space="0"/>
              <w:bottom w:val="single" w:color="auto" w:sz="4" w:space="0"/>
              <w:right w:val="single" w:color="auto" w:sz="4" w:space="0"/>
            </w:tcBorders>
            <w:shd w:val="clear" w:color="auto" w:fill="FFFFFF"/>
          </w:tcPr>
          <w:p>
            <w:pPr>
              <w:spacing w:before="40" w:after="40"/>
              <w:rPr>
                <w:rFonts w:eastAsia="MS PGothic"/>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Координатор РТ-а, Начелник Одјељења за ЛЕР и стратешко планирање</w:t>
            </w:r>
          </w:p>
          <w:p>
            <w:pPr>
              <w:spacing w:before="40" w:after="40"/>
              <w:rPr>
                <w:b/>
                <w:sz w:val="20"/>
                <w:szCs w:val="20"/>
                <w:lang w:val="sr-Cyrl-RS"/>
              </w:rPr>
            </w:pPr>
            <w:r>
              <w:rPr>
                <w:b/>
                <w:sz w:val="20"/>
                <w:szCs w:val="20"/>
                <w:lang w:val="sr-Cyrl-RS"/>
              </w:rPr>
              <w:t>Носиоци и учесници у процесу:</w:t>
            </w:r>
          </w:p>
          <w:p>
            <w:pPr>
              <w:spacing w:before="40" w:after="40"/>
              <w:rPr>
                <w:rFonts w:eastAsia="MS PGothic"/>
                <w:sz w:val="20"/>
                <w:szCs w:val="20"/>
                <w:lang w:val="sr-Cyrl-RS"/>
              </w:rPr>
            </w:pPr>
            <w:r>
              <w:rPr>
                <w:sz w:val="20"/>
                <w:szCs w:val="20"/>
                <w:lang w:val="sr-Cyrl-RS"/>
              </w:rPr>
              <w:t>Градски развојни тим</w:t>
            </w:r>
            <w:r>
              <w:rPr>
                <w:rFonts w:eastAsia="MS PGothic"/>
                <w:sz w:val="20"/>
                <w:szCs w:val="20"/>
                <w:lang w:val="sr-Cyrl-RS"/>
              </w:rPr>
              <w:t xml:space="preserve"> </w:t>
            </w:r>
          </w:p>
          <w:p>
            <w:pPr>
              <w:spacing w:before="40" w:after="40"/>
              <w:rPr>
                <w:rFonts w:eastAsia="MS PGothic"/>
                <w:sz w:val="20"/>
                <w:szCs w:val="20"/>
                <w:lang w:val="sr-Cyrl-RS"/>
              </w:rPr>
            </w:pPr>
            <w:r>
              <w:rPr>
                <w:rFonts w:eastAsia="MS PGothic"/>
                <w:sz w:val="20"/>
                <w:szCs w:val="20"/>
                <w:lang w:val="sr-Cyrl-RS"/>
              </w:rPr>
              <w:t>Начелници одјељења</w:t>
            </w:r>
          </w:p>
        </w:tc>
        <w:tc>
          <w:tcPr>
            <w:tcW w:w="2335" w:type="dxa"/>
            <w:tcBorders>
              <w:top w:val="single" w:color="auto" w:sz="4" w:space="0"/>
              <w:left w:val="single" w:color="auto" w:sz="4" w:space="0"/>
              <w:bottom w:val="single" w:color="auto" w:sz="4" w:space="0"/>
              <w:right w:val="single" w:color="auto" w:sz="4" w:space="0"/>
            </w:tcBorders>
            <w:shd w:val="clear" w:color="auto" w:fill="FFFFFF"/>
          </w:tcPr>
          <w:p>
            <w:pPr>
              <w:spacing w:before="40" w:after="40"/>
              <w:rPr>
                <w:rFonts w:eastAsia="MS PGothic"/>
                <w:sz w:val="20"/>
                <w:szCs w:val="20"/>
                <w:lang w:val="sr-Cyrl-RS"/>
              </w:rPr>
            </w:pPr>
            <w:r>
              <w:rPr>
                <w:rFonts w:eastAsia="MS PGothic"/>
                <w:sz w:val="20"/>
                <w:szCs w:val="20"/>
                <w:lang w:val="sr-Cyrl-RS"/>
              </w:rPr>
              <w:t xml:space="preserve">До 31. мај. </w:t>
            </w:r>
          </w:p>
          <w:p>
            <w:pPr>
              <w:spacing w:before="40" w:after="40"/>
              <w:rPr>
                <w:rFonts w:eastAsia="MS PGothic"/>
                <w:sz w:val="20"/>
                <w:szCs w:val="20"/>
                <w:lang w:val="sr-Cyrl-RS"/>
              </w:rPr>
            </w:pPr>
            <w:r>
              <w:rPr>
                <w:rFonts w:eastAsia="MS PGothic"/>
                <w:sz w:val="20"/>
                <w:szCs w:val="20"/>
                <w:lang w:val="sr-Cyrl-RS"/>
              </w:rPr>
              <w:t>наредне године у односу на ону за коју се припрема извјештај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66"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Остале важне активности:</w:t>
            </w:r>
          </w:p>
          <w:p>
            <w:pPr>
              <w:pStyle w:val="46"/>
              <w:widowControl w:val="0"/>
              <w:numPr>
                <w:ilvl w:val="0"/>
                <w:numId w:val="95"/>
              </w:numPr>
              <w:overflowPunct w:val="0"/>
              <w:adjustRightInd w:val="0"/>
              <w:spacing w:before="40" w:after="40" w:line="240" w:lineRule="auto"/>
              <w:ind w:left="144" w:hanging="144"/>
              <w:jc w:val="left"/>
              <w:rPr>
                <w:rFonts w:eastAsia="MS PGothic" w:asciiTheme="minorHAnsi" w:hAnsiTheme="minorHAnsi"/>
                <w:sz w:val="20"/>
                <w:szCs w:val="20"/>
                <w:lang w:val="sr-Cyrl-RS"/>
              </w:rPr>
            </w:pPr>
            <w:r>
              <w:rPr>
                <w:rFonts w:eastAsia="MS PGothic" w:asciiTheme="minorHAnsi" w:hAnsiTheme="minorHAnsi"/>
                <w:sz w:val="20"/>
                <w:szCs w:val="20"/>
                <w:lang w:val="sr-Cyrl-RS"/>
              </w:rPr>
              <w:t>Редовно ажурирање wеб странице ЈЛС у домену информација које се односе на развојне активности</w:t>
            </w:r>
          </w:p>
          <w:p>
            <w:pPr>
              <w:pStyle w:val="46"/>
              <w:widowControl w:val="0"/>
              <w:numPr>
                <w:ilvl w:val="0"/>
                <w:numId w:val="95"/>
              </w:numPr>
              <w:overflowPunct w:val="0"/>
              <w:adjustRightInd w:val="0"/>
              <w:spacing w:before="40" w:after="40" w:line="240" w:lineRule="auto"/>
              <w:ind w:left="144" w:hanging="144"/>
              <w:jc w:val="left"/>
              <w:rPr>
                <w:rFonts w:eastAsia="MS PGothic" w:asciiTheme="minorHAnsi" w:hAnsiTheme="minorHAnsi"/>
                <w:sz w:val="20"/>
                <w:szCs w:val="20"/>
                <w:lang w:val="sr-Cyrl-RS"/>
              </w:rPr>
            </w:pPr>
            <w:r>
              <w:rPr>
                <w:rFonts w:eastAsia="MS PGothic" w:asciiTheme="minorHAnsi" w:hAnsiTheme="minorHAnsi"/>
                <w:sz w:val="20"/>
                <w:szCs w:val="20"/>
                <w:lang w:val="sr-Cyrl-RS"/>
              </w:rPr>
              <w:t>Редовни контакти са вишим нивоима власти</w:t>
            </w:r>
          </w:p>
          <w:p>
            <w:pPr>
              <w:pStyle w:val="46"/>
              <w:widowControl w:val="0"/>
              <w:numPr>
                <w:ilvl w:val="0"/>
                <w:numId w:val="95"/>
              </w:numPr>
              <w:overflowPunct w:val="0"/>
              <w:adjustRightInd w:val="0"/>
              <w:spacing w:before="40" w:after="40" w:line="240" w:lineRule="auto"/>
              <w:ind w:left="144" w:hanging="144"/>
              <w:jc w:val="left"/>
              <w:rPr>
                <w:rFonts w:eastAsia="MS PGothic" w:asciiTheme="minorHAnsi" w:hAnsiTheme="minorHAnsi"/>
                <w:sz w:val="20"/>
                <w:szCs w:val="20"/>
                <w:lang w:val="sr-Cyrl-RS"/>
              </w:rPr>
            </w:pPr>
            <w:r>
              <w:rPr>
                <w:rFonts w:eastAsia="MS PGothic" w:asciiTheme="minorHAnsi" w:hAnsiTheme="minorHAnsi"/>
                <w:sz w:val="20"/>
                <w:szCs w:val="20"/>
                <w:lang w:val="sr-Cyrl-RS"/>
              </w:rPr>
              <w:t>Успостављање и унапређење међуопштинске сарадње</w:t>
            </w:r>
          </w:p>
        </w:tc>
        <w:tc>
          <w:tcPr>
            <w:tcW w:w="3449"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Координатор РТ-а</w:t>
            </w:r>
          </w:p>
          <w:p>
            <w:pPr>
              <w:spacing w:before="40" w:after="40"/>
              <w:rPr>
                <w:b/>
                <w:sz w:val="20"/>
                <w:szCs w:val="20"/>
                <w:lang w:val="sr-Cyrl-RS"/>
              </w:rPr>
            </w:pPr>
            <w:r>
              <w:rPr>
                <w:b/>
                <w:sz w:val="20"/>
                <w:szCs w:val="20"/>
                <w:lang w:val="sr-Cyrl-RS"/>
              </w:rPr>
              <w:t>Носиоци и учесници:</w:t>
            </w:r>
          </w:p>
          <w:p>
            <w:pPr>
              <w:spacing w:before="40" w:after="40"/>
              <w:rPr>
                <w:rFonts w:eastAsia="MS PGothic"/>
                <w:sz w:val="20"/>
                <w:szCs w:val="20"/>
                <w:lang w:val="sr-Cyrl-RS"/>
              </w:rPr>
            </w:pPr>
            <w:r>
              <w:rPr>
                <w:sz w:val="20"/>
                <w:szCs w:val="20"/>
                <w:lang w:val="sr-Cyrl-RS"/>
              </w:rPr>
              <w:t>Градски развојни тим</w:t>
            </w:r>
            <w:r>
              <w:rPr>
                <w:rFonts w:eastAsia="MS PGothic"/>
                <w:sz w:val="20"/>
                <w:szCs w:val="20"/>
                <w:lang w:val="sr-Cyrl-RS"/>
              </w:rPr>
              <w:t xml:space="preserve"> </w:t>
            </w:r>
          </w:p>
          <w:p>
            <w:pPr>
              <w:spacing w:before="40" w:after="40"/>
              <w:rPr>
                <w:rFonts w:eastAsia="MS PGothic"/>
                <w:sz w:val="20"/>
                <w:szCs w:val="20"/>
                <w:lang w:val="sr-Cyrl-RS"/>
              </w:rPr>
            </w:pPr>
            <w:r>
              <w:rPr>
                <w:rFonts w:asciiTheme="minorHAnsi" w:hAnsiTheme="minorHAnsi" w:cstheme="minorHAnsi"/>
                <w:sz w:val="20"/>
                <w:szCs w:val="20"/>
              </w:rPr>
              <w:t>ИТ администратор</w:t>
            </w:r>
          </w:p>
        </w:tc>
        <w:tc>
          <w:tcPr>
            <w:tcW w:w="2335" w:type="dxa"/>
            <w:tcBorders>
              <w:top w:val="single" w:color="auto" w:sz="4" w:space="0"/>
              <w:left w:val="single" w:color="auto" w:sz="4" w:space="0"/>
              <w:bottom w:val="single" w:color="auto" w:sz="4" w:space="0"/>
              <w:right w:val="single" w:color="auto" w:sz="4" w:space="0"/>
            </w:tcBorders>
            <w:shd w:val="clear" w:color="auto" w:fill="DEEAF6"/>
          </w:tcPr>
          <w:p>
            <w:pPr>
              <w:spacing w:before="40" w:after="40"/>
              <w:rPr>
                <w:rFonts w:eastAsia="MS PGothic"/>
                <w:sz w:val="20"/>
                <w:szCs w:val="20"/>
                <w:lang w:val="sr-Cyrl-RS"/>
              </w:rPr>
            </w:pPr>
            <w:r>
              <w:rPr>
                <w:rFonts w:eastAsia="MS PGothic"/>
                <w:sz w:val="20"/>
                <w:szCs w:val="20"/>
                <w:lang w:val="sr-Cyrl-RS"/>
              </w:rPr>
              <w:t>Континуирано</w:t>
            </w:r>
          </w:p>
        </w:tc>
      </w:tr>
    </w:tbl>
    <w:p/>
    <w:p>
      <w:pPr>
        <w:pStyle w:val="4"/>
        <w:rPr>
          <w:lang w:val="sr-Cyrl-RS"/>
        </w:rPr>
      </w:pPr>
      <w:bookmarkStart w:id="179" w:name="_Toc526761947"/>
      <w:r>
        <w:rPr>
          <w:lang w:val="sr-Cyrl-RS"/>
        </w:rPr>
        <w:t>Прилози</w:t>
      </w:r>
      <w:bookmarkEnd w:id="179"/>
      <w:r>
        <w:rPr>
          <w:lang w:val="sr-Cyrl-RS"/>
        </w:rPr>
        <w:t>:</w:t>
      </w:r>
    </w:p>
    <w:p>
      <w:pPr>
        <w:pStyle w:val="13"/>
        <w:spacing w:before="120" w:after="120"/>
        <w:jc w:val="both"/>
        <w:rPr>
          <w:rFonts w:cs="Helvetica"/>
          <w:color w:val="000000"/>
          <w:sz w:val="22"/>
          <w:szCs w:val="22"/>
          <w:shd w:val="clear" w:color="auto" w:fill="FFFFFF"/>
          <w:lang w:val="sr-Cyrl-RS"/>
        </w:rPr>
      </w:pPr>
    </w:p>
    <w:p>
      <w:pPr>
        <w:spacing w:before="120" w:after="120"/>
        <w:rPr>
          <w:b/>
          <w:lang w:val="sr-Cyrl-RS"/>
        </w:rPr>
      </w:pPr>
      <w:r>
        <w:rPr>
          <w:b/>
          <w:bCs/>
        </w:rPr>
        <w:t xml:space="preserve">Прилог 1: Интегрисани преглед пројеката и мјера Стратегије у периоду 2018-2022. године </w:t>
      </w:r>
      <w:r>
        <w:rPr>
          <w:b/>
        </w:rPr>
        <w:t>Прилог</w:t>
      </w:r>
      <w:r>
        <w:rPr>
          <w:b/>
          <w:lang w:val="sr-Cyrl-CS"/>
        </w:rPr>
        <w:t xml:space="preserve"> </w:t>
      </w:r>
      <w:r>
        <w:rPr>
          <w:b/>
        </w:rPr>
        <w:t>2</w:t>
      </w:r>
      <w:r>
        <w:t>:</w:t>
      </w:r>
      <w:r>
        <w:rPr>
          <w:lang w:val="sr-Cyrl-CS"/>
        </w:rPr>
        <w:t xml:space="preserve"> </w:t>
      </w:r>
      <w:r>
        <w:rPr>
          <w:b/>
          <w:lang w:val="sr-Cyrl-RS"/>
        </w:rPr>
        <w:t xml:space="preserve">Секторски план са дефинисаним резултатима, исходима и утицајима (таблица </w:t>
      </w:r>
      <w:r>
        <w:rPr>
          <w:b/>
          <w:lang w:val="sr-Cyrl-RS"/>
        </w:rPr>
        <w:br w:type="textWrapping"/>
      </w:r>
      <w:r>
        <w:rPr>
          <w:b/>
          <w:lang w:val="sr-Cyrl-RS"/>
        </w:rPr>
        <w:t xml:space="preserve">                    кохерентности)</w:t>
      </w:r>
    </w:p>
    <w:p>
      <w:pPr>
        <w:spacing w:before="120" w:after="120"/>
        <w:rPr>
          <w:b/>
          <w:bCs/>
          <w:lang w:val="sr-Cyrl-RS"/>
        </w:rPr>
      </w:pPr>
      <w:r>
        <w:rPr>
          <w:b/>
        </w:rPr>
        <w:t>Прилог 3</w:t>
      </w:r>
      <w:r>
        <w:t xml:space="preserve">: </w:t>
      </w:r>
      <w:r>
        <w:rPr>
          <w:b/>
        </w:rPr>
        <w:t>П</w:t>
      </w:r>
      <w:r>
        <w:rPr>
          <w:b/>
          <w:bCs/>
        </w:rPr>
        <w:t xml:space="preserve">лан имплементације стратешких пројеката и мјера за 3 године (1+2) у </w:t>
      </w:r>
      <w:r>
        <w:rPr>
          <w:b/>
          <w:bCs/>
          <w:lang w:val="en-US"/>
        </w:rPr>
        <w:t>Excel</w:t>
      </w:r>
      <w:r>
        <w:rPr>
          <w:b/>
          <w:bCs/>
          <w:lang w:val="sr-Cyrl-RS"/>
        </w:rPr>
        <w:t xml:space="preserve"> форми </w:t>
      </w:r>
      <w:r>
        <w:rPr>
          <w:b/>
          <w:bCs/>
          <w:lang w:val="sr-Cyrl-RS"/>
        </w:rPr>
        <w:br w:type="textWrapping"/>
      </w:r>
      <w:r>
        <w:rPr>
          <w:b/>
          <w:bCs/>
          <w:lang w:val="sr-Cyrl-RS"/>
        </w:rPr>
        <w:t xml:space="preserve">                    (2018-2020.)</w:t>
      </w:r>
    </w:p>
    <w:p>
      <w:pPr>
        <w:spacing w:before="120" w:after="120"/>
        <w:rPr>
          <w:b/>
          <w:bCs/>
          <w:lang w:val="sr-Cyrl-RS"/>
        </w:rPr>
      </w:pPr>
      <w:r>
        <w:rPr>
          <w:b/>
          <w:bCs/>
        </w:rPr>
        <w:t>Прилог 4: Пројектн</w:t>
      </w:r>
      <w:r>
        <w:rPr>
          <w:b/>
          <w:bCs/>
          <w:lang w:val="sr-Cyrl-RS"/>
        </w:rPr>
        <w:t>и</w:t>
      </w:r>
      <w:r>
        <w:rPr>
          <w:b/>
          <w:bCs/>
        </w:rPr>
        <w:t xml:space="preserve"> </w:t>
      </w:r>
      <w:r>
        <w:rPr>
          <w:b/>
          <w:bCs/>
          <w:lang w:val="sr-Cyrl-RS"/>
        </w:rPr>
        <w:t>листићи (пројектне фише)</w:t>
      </w:r>
    </w:p>
    <w:p>
      <w:pPr>
        <w:spacing w:before="120" w:after="120"/>
        <w:rPr>
          <w:b/>
          <w:bCs/>
          <w:lang w:val="sr-Cyrl-RS"/>
        </w:rPr>
      </w:pPr>
      <w:r>
        <w:rPr>
          <w:b/>
          <w:bCs/>
          <w:lang w:val="sr-Cyrl-RS"/>
        </w:rPr>
        <w:t xml:space="preserve">Прилог 5: Цјеловита социо-економска анализа. </w:t>
      </w:r>
    </w:p>
    <w:p>
      <w:pPr>
        <w:spacing w:before="120" w:after="120"/>
        <w:jc w:val="both"/>
        <w:rPr>
          <w:b/>
          <w:bCs/>
          <w:lang w:val="sr-Cyrl-RS"/>
        </w:rPr>
      </w:pPr>
    </w:p>
    <w:p>
      <w:pPr>
        <w:spacing w:before="120" w:after="120"/>
        <w:jc w:val="both"/>
        <w:rPr>
          <w:b/>
          <w:lang w:val="sr-Cyrl-RS"/>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lang w:val="sr-Cyrl-RS"/>
        </w:rPr>
      </w:pPr>
    </w:p>
    <w:p>
      <w:pPr>
        <w:pStyle w:val="13"/>
        <w:spacing w:before="120" w:after="120"/>
        <w:jc w:val="both"/>
        <w:rPr>
          <w:rFonts w:cs="Helvetica"/>
          <w:color w:val="000000"/>
          <w:sz w:val="22"/>
          <w:szCs w:val="22"/>
          <w:shd w:val="clear" w:color="auto" w:fill="FFFFFF"/>
          <w:lang w:val="sr-Cyrl-RS"/>
        </w:rPr>
      </w:pPr>
    </w:p>
    <w:sectPr>
      <w:footerReference r:id="rId7" w:type="first"/>
      <w:footerReference r:id="rId6" w:type="default"/>
      <w:pgSz w:w="12240" w:h="15840"/>
      <w:pgMar w:top="1440" w:right="1440" w:bottom="1440" w:left="1440" w:header="720" w:footer="720" w:gutter="0"/>
      <w:pgNumType w:start="1"/>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Arial">
    <w:panose1 w:val="020B0604020202020204"/>
    <w:charset w:val="EE"/>
    <w:family w:val="swiss"/>
    <w:pitch w:val="default"/>
    <w:sig w:usb0="E0002EFF" w:usb1="C000785B" w:usb2="00000009" w:usb3="00000000" w:csb0="400001FF" w:csb1="FFFF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EE"/>
    <w:family w:val="swiss"/>
    <w:pitch w:val="default"/>
    <w:sig w:usb0="E4002EFF" w:usb1="C000247B" w:usb2="00000009" w:usb3="00000000" w:csb0="200001FF" w:csb1="00000000"/>
  </w:font>
  <w:font w:name="Segoe UI">
    <w:panose1 w:val="020B0502040204020203"/>
    <w:charset w:val="EE"/>
    <w:family w:val="swiss"/>
    <w:pitch w:val="default"/>
    <w:sig w:usb0="E4002EFF" w:usb1="C000E47F" w:usb2="00000009" w:usb3="00000000" w:csb0="200001FF" w:csb1="00000000"/>
  </w:font>
  <w:font w:name="Trebuchet MS">
    <w:panose1 w:val="020B0603020202020204"/>
    <w:charset w:val="EE"/>
    <w:family w:val="swiss"/>
    <w:pitch w:val="default"/>
    <w:sig w:usb0="00000687" w:usb1="00000000" w:usb2="00000000" w:usb3="00000000" w:csb0="2000009F" w:csb1="00000000"/>
  </w:font>
  <w:font w:name="Cir Times Roman">
    <w:altName w:val="Courier New"/>
    <w:panose1 w:val="00000000000000000000"/>
    <w:charset w:val="00"/>
    <w:family w:val="roman"/>
    <w:pitch w:val="default"/>
    <w:sig w:usb0="00000000" w:usb1="00000000" w:usb2="00000000" w:usb3="00000000" w:csb0="00000009" w:csb1="00000000"/>
  </w:font>
  <w:font w:name="Symbol">
    <w:panose1 w:val="05050102010706020507"/>
    <w:charset w:val="02"/>
    <w:family w:val="roman"/>
    <w:pitch w:val="default"/>
    <w:sig w:usb0="00000000" w:usb1="00000000" w:usb2="00000000" w:usb3="00000000" w:csb0="80000000" w:csb1="00000000"/>
  </w:font>
  <w:font w:name="Verdana">
    <w:panose1 w:val="020B0604030504040204"/>
    <w:charset w:val="EE"/>
    <w:family w:val="swiss"/>
    <w:pitch w:val="default"/>
    <w:sig w:usb0="A00006FF" w:usb1="4000205B" w:usb2="00000010" w:usb3="00000000" w:csb0="2000019F" w:csb1="00000000"/>
  </w:font>
  <w:font w:name="Cambria Math">
    <w:panose1 w:val="02040503050406030204"/>
    <w:charset w:val="EE"/>
    <w:family w:val="roman"/>
    <w:pitch w:val="default"/>
    <w:sig w:usb0="E00006FF" w:usb1="420024FF" w:usb2="02000000" w:usb3="00000000" w:csb0="2000019F" w:csb1="00000000"/>
  </w:font>
  <w:font w:name="Courier New">
    <w:panose1 w:val="02070309020205020404"/>
    <w:charset w:val="EE"/>
    <w:family w:val="modern"/>
    <w:pitch w:val="default"/>
    <w:sig w:usb0="E0002EFF" w:usb1="C0007843"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ヒラギノ角ゴ Pro W3">
    <w:altName w:val="Times New Roman"/>
    <w:panose1 w:val="00000000000000000000"/>
    <w:charset w:val="00"/>
    <w:family w:val="roman"/>
    <w:pitch w:val="default"/>
    <w:sig w:usb0="00000000" w:usb1="00000000" w:usb2="00000000" w:usb3="00000000" w:csb0="00000000" w:csb1="00000000"/>
  </w:font>
  <w:font w:name="Calibri,Italic">
    <w:altName w:val="Yu Gothic"/>
    <w:panose1 w:val="00000000000000000000"/>
    <w:charset w:val="80"/>
    <w:family w:val="auto"/>
    <w:pitch w:val="default"/>
    <w:sig w:usb0="00000000" w:usb1="00000000" w:usb2="00000010" w:usb3="00000000" w:csb0="00020000" w:csb1="00000000"/>
  </w:font>
  <w:font w:name="Lucida Sans Unicode">
    <w:panose1 w:val="020B0602030504020204"/>
    <w:charset w:val="EE"/>
    <w:family w:val="swiss"/>
    <w:pitch w:val="default"/>
    <w:sig w:usb0="80001AFF" w:usb1="0000396B" w:usb2="00000000" w:usb3="00000000" w:csb0="200000BF" w:csb1="D7F70000"/>
  </w:font>
  <w:font w:name="Cambria">
    <w:panose1 w:val="02040503050406030204"/>
    <w:charset w:val="EE"/>
    <w:family w:val="roman"/>
    <w:pitch w:val="default"/>
    <w:sig w:usb0="E00006FF" w:usb1="420024FF" w:usb2="02000000" w:usb3="00000000" w:csb0="2000019F" w:csb1="00000000"/>
  </w:font>
  <w:font w:name="TTE1FFBE00t00">
    <w:altName w:val="Yu Gothic"/>
    <w:panose1 w:val="00000000000000000000"/>
    <w:charset w:val="80"/>
    <w:family w:val="auto"/>
    <w:pitch w:val="default"/>
    <w:sig w:usb0="00000000" w:usb1="00000000" w:usb2="00000010" w:usb3="00000000" w:csb0="00020000" w:csb1="00000000"/>
  </w:font>
  <w:font w:name="MS PGothic">
    <w:panose1 w:val="020B0600070205080204"/>
    <w:charset w:val="80"/>
    <w:family w:val="swiss"/>
    <w:pitch w:val="default"/>
    <w:sig w:usb0="E00002FF" w:usb1="6AC7FDFB" w:usb2="08000012" w:usb3="00000000" w:csb0="4002009F" w:csb1="DFD7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8984638"/>
      <w:docPartObj>
        <w:docPartGallery w:val="AutoText"/>
      </w:docPartObj>
    </w:sdtPr>
    <w:sdtContent>
      <w:p>
        <w:pPr>
          <w:pStyle w:val="16"/>
          <w:jc w:val="center"/>
        </w:pPr>
        <w:r>
          <w:fldChar w:fldCharType="begin"/>
        </w:r>
        <w:r>
          <w:instrText xml:space="preserve"> PAGE   \* MERGEFORMAT </w:instrText>
        </w:r>
        <w:r>
          <w:fldChar w:fldCharType="separate"/>
        </w:r>
        <w:r>
          <w:t>1</w:t>
        </w:r>
        <w:r>
          <w:fldChar w:fldCharType="end"/>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8069702"/>
      <w:docPartObj>
        <w:docPartGallery w:val="AutoText"/>
      </w:docPartObj>
    </w:sdtPr>
    <w:sdtContent>
      <w:p>
        <w:pPr>
          <w:pStyle w:val="16"/>
          <w:jc w:val="center"/>
        </w:pPr>
        <w:r>
          <w:fldChar w:fldCharType="begin"/>
        </w:r>
        <w:r>
          <w:instrText xml:space="preserve"> PAGE   \* MERGEFORMAT </w:instrText>
        </w:r>
        <w:r>
          <w:fldChar w:fldCharType="separate"/>
        </w:r>
        <w:r>
          <w:t>172</w:t>
        </w:r>
        <w:r>
          <w:fldChar w:fldCharType="end"/>
        </w:r>
      </w:p>
    </w:sdtContent>
  </w:sdt>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7606887"/>
      <w:docPartObj>
        <w:docPartGallery w:val="AutoText"/>
      </w:docPartObj>
    </w:sdtPr>
    <w:sdtContent>
      <w:p>
        <w:pPr>
          <w:pStyle w:val="16"/>
          <w:jc w:val="center"/>
        </w:pPr>
        <w:r>
          <w:fldChar w:fldCharType="begin"/>
        </w:r>
        <w:r>
          <w:instrText xml:space="preserve"> PAGE   \* MERGEFORMAT </w:instrText>
        </w:r>
        <w:r>
          <w:fldChar w:fldCharType="separate"/>
        </w:r>
        <w:r>
          <w:t>1</w:t>
        </w:r>
        <w:r>
          <w:fldChar w:fldCharType="end"/>
        </w:r>
      </w:p>
    </w:sdtContent>
  </w:sdt>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7"/>
        <w:rPr>
          <w:lang w:val="sr-Cyrl-RS"/>
        </w:rPr>
      </w:pPr>
      <w:r>
        <w:rPr>
          <w:rStyle w:val="31"/>
        </w:rPr>
        <w:footnoteRef/>
      </w:r>
      <w:r>
        <w:t xml:space="preserve"> </w:t>
      </w:r>
      <w:r>
        <w:rPr>
          <w:sz w:val="18"/>
          <w:szCs w:val="18"/>
          <w:lang w:val="sr-Cyrl-RS"/>
        </w:rPr>
        <w:t>Извор: Бања Лука Алејама прошлости и садашњости – водич-, четврто допуњено издање, Бања Лука, 2016. године.</w:t>
      </w:r>
    </w:p>
  </w:footnote>
  <w:footnote w:id="1">
    <w:p>
      <w:pPr>
        <w:pStyle w:val="17"/>
        <w:rPr>
          <w:lang w:val="sr-Cyrl-RS"/>
        </w:rPr>
      </w:pPr>
      <w:r>
        <w:rPr>
          <w:rStyle w:val="31"/>
        </w:rPr>
        <w:footnoteRef/>
      </w:r>
      <w:r>
        <w:t xml:space="preserve"> </w:t>
      </w:r>
      <w:r>
        <w:rPr>
          <w:sz w:val="18"/>
          <w:szCs w:val="18"/>
          <w:lang w:val="sr-Cyrl-RS"/>
        </w:rPr>
        <w:t>Извор: Бања Лука Алејама прошлости и садашњости – водич-, четврто допуњено издање, Бања Лука, 2016. године.</w:t>
      </w:r>
    </w:p>
  </w:footnote>
  <w:footnote w:id="2">
    <w:p>
      <w:pPr>
        <w:pStyle w:val="17"/>
        <w:rPr>
          <w:lang w:val="sr-Cyrl-RS"/>
        </w:rPr>
      </w:pPr>
      <w:r>
        <w:rPr>
          <w:rStyle w:val="31"/>
        </w:rPr>
        <w:footnoteRef/>
      </w:r>
      <w:r>
        <w:t xml:space="preserve"> </w:t>
      </w:r>
      <w:r>
        <w:rPr>
          <w:sz w:val="18"/>
          <w:szCs w:val="18"/>
          <w:lang w:val="sr-Cyrl-RS"/>
        </w:rPr>
        <w:t>Подаци Завода за статистику Републике Српске и Федералног завода за статистику, новембар 2017. године</w:t>
      </w:r>
    </w:p>
  </w:footnote>
  <w:footnote w:id="3">
    <w:p>
      <w:pPr>
        <w:pStyle w:val="17"/>
        <w:rPr>
          <w:lang w:val="sr-Cyrl-RS"/>
        </w:rPr>
      </w:pPr>
      <w:r>
        <w:rPr>
          <w:rStyle w:val="31"/>
        </w:rPr>
        <w:footnoteRef/>
      </w:r>
      <w:r>
        <w:t xml:space="preserve"> </w:t>
      </w:r>
      <w:r>
        <w:fldChar w:fldCharType="begin"/>
      </w:r>
      <w:r>
        <w:instrText xml:space="preserve"> HYPERLINK "http://www.banjaluka.rs.ba/front/article/16341/" </w:instrText>
      </w:r>
      <w:r>
        <w:fldChar w:fldCharType="separate"/>
      </w:r>
      <w:r>
        <w:rPr>
          <w:rStyle w:val="33"/>
        </w:rPr>
        <w:t>http://www.banjaluka.rs.ba/front/article/16341/</w:t>
      </w:r>
      <w:r>
        <w:rPr>
          <w:rStyle w:val="33"/>
        </w:rPr>
        <w:fldChar w:fldCharType="end"/>
      </w:r>
      <w:r>
        <w:rPr>
          <w:lang w:val="sr-Cyrl-RS"/>
        </w:rPr>
        <w:t xml:space="preserve"> </w:t>
      </w:r>
    </w:p>
  </w:footnote>
  <w:footnote w:id="4">
    <w:p>
      <w:pPr>
        <w:jc w:val="both"/>
        <w:rPr>
          <w:rFonts w:eastAsia="Times New Roman"/>
          <w:sz w:val="18"/>
          <w:szCs w:val="18"/>
          <w:lang w:eastAsia="sr-Latn-CS"/>
        </w:rPr>
      </w:pPr>
      <w:r>
        <w:rPr>
          <w:rStyle w:val="31"/>
          <w:sz w:val="18"/>
          <w:szCs w:val="18"/>
        </w:rPr>
        <w:footnoteRef/>
      </w:r>
      <w:r>
        <w:rPr>
          <w:sz w:val="18"/>
          <w:szCs w:val="18"/>
        </w:rPr>
        <w:t xml:space="preserve"> </w:t>
      </w:r>
      <w:r>
        <w:fldChar w:fldCharType="begin"/>
      </w:r>
      <w:r>
        <w:instrText xml:space="preserve"> HYPERLINK "http://www2.banjaluka.rs.ba/static/uploads/clanci/11/17/Banja_Luka_Investicioni_Profil_WEB" </w:instrText>
      </w:r>
      <w:r>
        <w:fldChar w:fldCharType="separate"/>
      </w:r>
      <w:r>
        <w:rPr>
          <w:rFonts w:eastAsia="Times New Roman"/>
          <w:sz w:val="18"/>
          <w:szCs w:val="18"/>
          <w:lang w:eastAsia="sr-Latn-CS"/>
        </w:rPr>
        <w:t>http://www2.banjaluka.rs.ba/static/uploads/clanci/11/17/Banja_Luka_Investicioni_Profil_WEB</w:t>
      </w:r>
      <w:r>
        <w:rPr>
          <w:rFonts w:eastAsia="Times New Roman"/>
          <w:sz w:val="18"/>
          <w:szCs w:val="18"/>
          <w:lang w:eastAsia="sr-Latn-CS"/>
        </w:rPr>
        <w:fldChar w:fldCharType="end"/>
      </w:r>
    </w:p>
  </w:footnote>
  <w:footnote w:id="5">
    <w:p>
      <w:pPr>
        <w:jc w:val="both"/>
        <w:rPr>
          <w:rFonts w:eastAsia="Times New Roman"/>
          <w:sz w:val="18"/>
          <w:szCs w:val="18"/>
          <w:lang w:eastAsia="sr-Latn-CS"/>
        </w:rPr>
      </w:pPr>
      <w:r>
        <w:rPr>
          <w:rStyle w:val="31"/>
          <w:sz w:val="18"/>
          <w:szCs w:val="18"/>
        </w:rPr>
        <w:footnoteRef/>
      </w:r>
      <w:r>
        <w:rPr>
          <w:sz w:val="18"/>
          <w:szCs w:val="18"/>
        </w:rPr>
        <w:t xml:space="preserve"> </w:t>
      </w:r>
      <w:r>
        <w:fldChar w:fldCharType="begin"/>
      </w:r>
      <w:r>
        <w:instrText xml:space="preserve"> HYPERLINK "http://www.banjaluka.rs.ba/front/article/16341/" </w:instrText>
      </w:r>
      <w:r>
        <w:fldChar w:fldCharType="separate"/>
      </w:r>
      <w:r>
        <w:rPr>
          <w:rFonts w:eastAsia="Times New Roman"/>
          <w:sz w:val="18"/>
          <w:szCs w:val="18"/>
          <w:lang w:eastAsia="sr-Latn-CS"/>
        </w:rPr>
        <w:t>http://www.banjaluka.rs.ba/front/article/16341/</w:t>
      </w:r>
      <w:r>
        <w:rPr>
          <w:rFonts w:eastAsia="Times New Roman"/>
          <w:sz w:val="18"/>
          <w:szCs w:val="18"/>
          <w:lang w:eastAsia="sr-Latn-CS"/>
        </w:rPr>
        <w:fldChar w:fldCharType="end"/>
      </w:r>
    </w:p>
    <w:p>
      <w:pPr>
        <w:pStyle w:val="17"/>
        <w:rPr>
          <w:lang w:val="sr-Cyrl-RS"/>
        </w:rPr>
      </w:pPr>
    </w:p>
  </w:footnote>
  <w:footnote w:id="6">
    <w:p>
      <w:pPr>
        <w:pStyle w:val="17"/>
        <w:rPr>
          <w:lang w:val="sr-Cyrl-RS"/>
        </w:rPr>
      </w:pPr>
      <w:r>
        <w:rPr>
          <w:rStyle w:val="31"/>
        </w:rPr>
        <w:footnoteRef/>
      </w:r>
      <w:r>
        <w:t xml:space="preserve"> </w:t>
      </w:r>
      <w:r>
        <w:rPr>
          <w:lang w:val="sr-Cyrl-RS"/>
        </w:rPr>
        <w:t>Детаљан преглед просјечне бруто и нето плате и пензија дат је у дужој верзији ситуационе анализе, у прилогу Стратегије.</w:t>
      </w:r>
    </w:p>
  </w:footnote>
  <w:footnote w:id="7">
    <w:p>
      <w:pPr>
        <w:pStyle w:val="17"/>
        <w:rPr>
          <w:lang w:val="sr-Cyrl-BA"/>
        </w:rPr>
      </w:pPr>
      <w:r>
        <w:rPr>
          <w:rStyle w:val="31"/>
        </w:rPr>
        <w:footnoteRef/>
      </w:r>
      <w:r>
        <w:t xml:space="preserve"> </w:t>
      </w:r>
      <w:r>
        <w:rPr>
          <w:sz w:val="18"/>
          <w:szCs w:val="18"/>
          <w:lang w:val="sr-Cyrl-BA"/>
        </w:rPr>
        <w:t>Републички завод за статистику РС, од 2013. године, не прати податке везане за промет у угоститељству.</w:t>
      </w:r>
    </w:p>
  </w:footnote>
  <w:footnote w:id="8">
    <w:p>
      <w:pPr>
        <w:pStyle w:val="17"/>
        <w:rPr>
          <w:sz w:val="18"/>
          <w:szCs w:val="18"/>
        </w:rPr>
      </w:pPr>
      <w:r>
        <w:rPr>
          <w:rStyle w:val="31"/>
          <w:sz w:val="18"/>
          <w:szCs w:val="18"/>
        </w:rPr>
        <w:footnoteRef/>
      </w:r>
      <w:r>
        <w:rPr>
          <w:rFonts w:cs="Calibri"/>
          <w:sz w:val="18"/>
          <w:szCs w:val="18"/>
        </w:rPr>
        <w:t>(Службени гласник РС бр. 119/08)</w:t>
      </w:r>
    </w:p>
  </w:footnote>
  <w:footnote w:id="9">
    <w:p>
      <w:pPr>
        <w:pStyle w:val="17"/>
        <w:rPr>
          <w:sz w:val="18"/>
          <w:szCs w:val="18"/>
        </w:rPr>
      </w:pPr>
      <w:r>
        <w:rPr>
          <w:rStyle w:val="31"/>
          <w:sz w:val="18"/>
          <w:szCs w:val="18"/>
        </w:rPr>
        <w:footnoteRef/>
      </w:r>
      <w:r>
        <w:rPr>
          <w:rFonts w:cs="Calibri"/>
          <w:sz w:val="18"/>
          <w:szCs w:val="18"/>
        </w:rPr>
        <w:t>(Сл. гласник Града Бања Лука бр. 25/05 и 30/07)</w:t>
      </w:r>
    </w:p>
  </w:footnote>
  <w:footnote w:id="10">
    <w:p>
      <w:pPr>
        <w:pStyle w:val="18"/>
        <w:rPr>
          <w:lang w:val="sr-Cyrl-BA"/>
        </w:rPr>
      </w:pPr>
      <w:r>
        <w:rPr>
          <w:rStyle w:val="31"/>
          <w:sz w:val="18"/>
          <w:szCs w:val="18"/>
        </w:rPr>
        <w:footnoteRef/>
      </w:r>
      <w:r>
        <w:rPr>
          <w:sz w:val="18"/>
          <w:szCs w:val="18"/>
        </w:rPr>
        <w:t xml:space="preserve"> </w:t>
      </w:r>
      <w:r>
        <w:fldChar w:fldCharType="begin"/>
      </w:r>
      <w:r>
        <w:instrText xml:space="preserve"> HYPERLINK "http://www2.banjaluka.rs.ba/static/uploads/clanci/2016/08/akcioni_plan_djeca.pdf" </w:instrText>
      </w:r>
      <w:r>
        <w:fldChar w:fldCharType="separate"/>
      </w:r>
      <w:r>
        <w:rPr>
          <w:rStyle w:val="33"/>
          <w:color w:val="auto"/>
          <w:sz w:val="18"/>
          <w:szCs w:val="18"/>
          <w:u w:val="none"/>
        </w:rPr>
        <w:t>http://www2.banjaluka.rs.ba/static/uploads/clanci/2016/08/akcioni_plan_djeca.pdf</w:t>
      </w:r>
      <w:r>
        <w:rPr>
          <w:rStyle w:val="33"/>
          <w:color w:val="auto"/>
          <w:sz w:val="18"/>
          <w:szCs w:val="18"/>
          <w:u w:val="none"/>
        </w:rPr>
        <w:fldChar w:fldCharType="end"/>
      </w:r>
    </w:p>
  </w:footnote>
  <w:footnote w:id="11">
    <w:p>
      <w:pPr>
        <w:pStyle w:val="17"/>
      </w:pPr>
      <w:r>
        <w:rPr>
          <w:rStyle w:val="31"/>
          <w:sz w:val="18"/>
          <w:szCs w:val="18"/>
        </w:rPr>
        <w:footnoteRef/>
      </w:r>
      <w:r>
        <w:rPr>
          <w:sz w:val="18"/>
          <w:szCs w:val="18"/>
        </w:rPr>
        <w:t xml:space="preserve"> </w:t>
      </w:r>
      <w:r>
        <w:rPr>
          <w:rFonts w:cs="Calibri"/>
          <w:sz w:val="18"/>
          <w:szCs w:val="18"/>
          <w:lang w:val="sr-Cyrl-BA"/>
        </w:rPr>
        <w:t>(„Службени гласник РС“, број 79/15),</w:t>
      </w:r>
    </w:p>
  </w:footnote>
  <w:footnote w:id="12">
    <w:p>
      <w:pPr>
        <w:pStyle w:val="17"/>
      </w:pPr>
      <w:r>
        <w:rPr>
          <w:rStyle w:val="31"/>
        </w:rPr>
        <w:footnoteRef/>
      </w:r>
      <w:r>
        <w:t>http://aggfbl.org/wp-content/uploads/2015/03/Pravilnik-o-pedagoskim-standardima-i-normativima-ya-oblast-predskolskog-....pdf?pismo=lat</w:t>
      </w:r>
    </w:p>
  </w:footnote>
  <w:footnote w:id="13">
    <w:p>
      <w:pPr>
        <w:pStyle w:val="17"/>
        <w:rPr>
          <w:lang w:val="sr-Cyrl-RS"/>
        </w:rPr>
      </w:pPr>
      <w:r>
        <w:rPr>
          <w:rStyle w:val="31"/>
        </w:rPr>
        <w:footnoteRef/>
      </w:r>
      <w:r>
        <w:t xml:space="preserve"> </w:t>
      </w:r>
      <w:r>
        <w:rPr>
          <w:rFonts w:cs="Calibri"/>
          <w:lang w:val="sr-Cyrl-BA"/>
        </w:rPr>
        <w:t xml:space="preserve">„Службени гласник РС“, број 44/17 </w:t>
      </w:r>
      <w:r>
        <w:rPr>
          <w:rFonts w:cs="Calibri"/>
        </w:rPr>
        <w:t>од 16.5.2017.</w:t>
      </w:r>
    </w:p>
  </w:footnote>
  <w:footnote w:id="14">
    <w:p>
      <w:pPr>
        <w:pStyle w:val="17"/>
        <w:rPr>
          <w:lang w:val="sr-Cyrl-RS"/>
        </w:rPr>
      </w:pPr>
      <w:r>
        <w:rPr>
          <w:rStyle w:val="31"/>
        </w:rPr>
        <w:footnoteRef/>
      </w:r>
      <w:r>
        <w:t xml:space="preserve"> </w:t>
      </w:r>
      <w:r>
        <w:rPr>
          <w:rFonts w:eastAsia="Times New Roman" w:cs="Calibri"/>
          <w:lang w:val="sr-Cyrl-BA"/>
        </w:rPr>
        <w:t>(„Службени гласник РС“, број: 74/08, 106/09, 104/11 и 33/14).</w:t>
      </w:r>
    </w:p>
  </w:footnote>
  <w:footnote w:id="15">
    <w:p>
      <w:pPr>
        <w:pStyle w:val="17"/>
        <w:rPr>
          <w:lang w:val="sr-Cyrl-RS"/>
        </w:rPr>
      </w:pPr>
      <w:r>
        <w:rPr>
          <w:rStyle w:val="31"/>
        </w:rPr>
        <w:footnoteRef/>
      </w:r>
      <w:r>
        <w:t xml:space="preserve"> </w:t>
      </w:r>
      <w:r>
        <w:rPr>
          <w:lang w:val="sr-Cyrl-RS"/>
        </w:rPr>
        <w:t>Детаљан опис свих установа средњошколског образовања дат је у дужој верзији ситуационе анализе која је у прилогу Стратегије.</w:t>
      </w:r>
    </w:p>
  </w:footnote>
  <w:footnote w:id="16">
    <w:p>
      <w:pPr>
        <w:pStyle w:val="17"/>
        <w:rPr>
          <w:lang w:val="sr-Cyrl-RS"/>
        </w:rPr>
      </w:pPr>
      <w:r>
        <w:rPr>
          <w:rStyle w:val="31"/>
        </w:rPr>
        <w:footnoteRef/>
      </w:r>
      <w:r>
        <w:t xml:space="preserve"> </w:t>
      </w:r>
      <w:r>
        <w:fldChar w:fldCharType="begin"/>
      </w:r>
      <w:r>
        <w:instrText xml:space="preserve"> HYPERLINK "http://www.gimnazijabanjaluka.org/IB.aspx" </w:instrText>
      </w:r>
      <w:r>
        <w:fldChar w:fldCharType="separate"/>
      </w:r>
      <w:r>
        <w:rPr>
          <w:rStyle w:val="33"/>
          <w:rFonts w:cs="Calibri"/>
          <w:color w:val="auto"/>
          <w:u w:val="none"/>
          <w:shd w:val="clear" w:color="auto" w:fill="FFFFFF"/>
        </w:rPr>
        <w:t>http://www.gimnazijabanjaluka.org/IB.aspx</w:t>
      </w:r>
      <w:r>
        <w:rPr>
          <w:rStyle w:val="33"/>
          <w:rFonts w:cs="Calibri"/>
          <w:color w:val="auto"/>
          <w:u w:val="none"/>
          <w:shd w:val="clear" w:color="auto" w:fill="FFFFFF"/>
        </w:rPr>
        <w:fldChar w:fldCharType="end"/>
      </w:r>
      <w:r>
        <w:rPr>
          <w:rStyle w:val="33"/>
          <w:rFonts w:cs="Calibri"/>
          <w:color w:val="auto"/>
          <w:u w:val="none"/>
          <w:shd w:val="clear" w:color="auto" w:fill="FFFFFF"/>
          <w:lang w:val="sr-Cyrl-RS"/>
        </w:rPr>
        <w:t xml:space="preserve"> </w:t>
      </w:r>
    </w:p>
  </w:footnote>
  <w:footnote w:id="17">
    <w:p>
      <w:pPr>
        <w:pStyle w:val="17"/>
        <w:rPr>
          <w:lang w:val="sr-Cyrl-RS"/>
        </w:rPr>
      </w:pPr>
      <w:r>
        <w:rPr>
          <w:rStyle w:val="31"/>
        </w:rPr>
        <w:footnoteRef/>
      </w:r>
      <w:r>
        <w:t xml:space="preserve"> </w:t>
      </w:r>
      <w:r>
        <w:fldChar w:fldCharType="begin"/>
      </w:r>
      <w:r>
        <w:instrText xml:space="preserve"> HYPERLINK "http://gradjevinskaskola.com/index.php" </w:instrText>
      </w:r>
      <w:r>
        <w:fldChar w:fldCharType="separate"/>
      </w:r>
      <w:r>
        <w:rPr>
          <w:rStyle w:val="33"/>
          <w:rFonts w:cs="Calibri"/>
          <w:color w:val="auto"/>
          <w:u w:val="none"/>
          <w:shd w:val="clear" w:color="auto" w:fill="FFFFFF"/>
        </w:rPr>
        <w:t>http://gradjevinskaskola.com/index.php</w:t>
      </w:r>
      <w:r>
        <w:rPr>
          <w:rStyle w:val="33"/>
          <w:rFonts w:cs="Calibri"/>
          <w:color w:val="auto"/>
          <w:u w:val="none"/>
          <w:shd w:val="clear" w:color="auto" w:fill="FFFFFF"/>
        </w:rPr>
        <w:fldChar w:fldCharType="end"/>
      </w:r>
      <w:r>
        <w:rPr>
          <w:rStyle w:val="33"/>
          <w:rFonts w:cs="Calibri"/>
          <w:color w:val="auto"/>
          <w:u w:val="none"/>
          <w:shd w:val="clear" w:color="auto" w:fill="FFFFFF"/>
          <w:lang w:val="sr-Cyrl-RS"/>
        </w:rPr>
        <w:t xml:space="preserve"> </w:t>
      </w:r>
    </w:p>
  </w:footnote>
  <w:footnote w:id="18">
    <w:p>
      <w:pPr>
        <w:pStyle w:val="17"/>
        <w:rPr>
          <w:lang w:val="sr-Cyrl-RS"/>
        </w:rPr>
      </w:pPr>
      <w:r>
        <w:rPr>
          <w:rStyle w:val="31"/>
        </w:rPr>
        <w:footnoteRef/>
      </w:r>
      <w:r>
        <w:t xml:space="preserve"> </w:t>
      </w:r>
      <w:r>
        <w:fldChar w:fldCharType="begin"/>
      </w:r>
      <w:r>
        <w:instrText xml:space="preserve"> HYPERLINK "http://www.ets.rs.ba/vijesti/index" </w:instrText>
      </w:r>
      <w:r>
        <w:fldChar w:fldCharType="separate"/>
      </w:r>
      <w:r>
        <w:rPr>
          <w:rStyle w:val="33"/>
          <w:rFonts w:cs="Calibri"/>
          <w:color w:val="auto"/>
          <w:sz w:val="18"/>
          <w:szCs w:val="18"/>
          <w:u w:val="none"/>
          <w:shd w:val="clear" w:color="auto" w:fill="FFFFFF"/>
        </w:rPr>
        <w:t>http://www.ets.rs.ba/vijesti/index</w:t>
      </w:r>
      <w:r>
        <w:rPr>
          <w:rStyle w:val="33"/>
          <w:rFonts w:cs="Calibri"/>
          <w:color w:val="auto"/>
          <w:sz w:val="18"/>
          <w:szCs w:val="18"/>
          <w:u w:val="none"/>
          <w:shd w:val="clear" w:color="auto" w:fill="FFFFFF"/>
        </w:rPr>
        <w:fldChar w:fldCharType="end"/>
      </w:r>
      <w:r>
        <w:rPr>
          <w:rStyle w:val="33"/>
          <w:rFonts w:cs="Calibri"/>
          <w:color w:val="auto"/>
          <w:sz w:val="18"/>
          <w:szCs w:val="18"/>
          <w:u w:val="none"/>
          <w:shd w:val="clear" w:color="auto" w:fill="FFFFFF"/>
          <w:lang w:val="sr-Cyrl-RS"/>
        </w:rPr>
        <w:t xml:space="preserve"> </w:t>
      </w:r>
    </w:p>
  </w:footnote>
  <w:footnote w:id="19">
    <w:p>
      <w:pPr>
        <w:pStyle w:val="17"/>
        <w:rPr>
          <w:rFonts w:cs="Calibri"/>
          <w:shd w:val="clear" w:color="auto" w:fill="FFFFFF"/>
        </w:rPr>
      </w:pPr>
      <w:r>
        <w:rPr>
          <w:rStyle w:val="31"/>
          <w:sz w:val="18"/>
          <w:szCs w:val="18"/>
        </w:rPr>
        <w:footnoteRef/>
      </w:r>
      <w:r>
        <w:rPr>
          <w:sz w:val="18"/>
          <w:szCs w:val="18"/>
        </w:rPr>
        <w:t xml:space="preserve"> </w:t>
      </w:r>
      <w:r>
        <w:fldChar w:fldCharType="begin"/>
      </w:r>
      <w:r>
        <w:instrText xml:space="preserve"> HYPERLINK "http://medicinska-skola-bl.net/" </w:instrText>
      </w:r>
      <w:r>
        <w:fldChar w:fldCharType="separate"/>
      </w:r>
      <w:r>
        <w:rPr>
          <w:rStyle w:val="33"/>
          <w:rFonts w:cs="Calibri"/>
          <w:color w:val="auto"/>
          <w:sz w:val="18"/>
          <w:szCs w:val="18"/>
          <w:u w:val="none"/>
          <w:shd w:val="clear" w:color="auto" w:fill="FFFFFF"/>
        </w:rPr>
        <w:t>http://medicinska-skola-bl.net/</w:t>
      </w:r>
      <w:r>
        <w:rPr>
          <w:rStyle w:val="33"/>
          <w:rFonts w:cs="Calibri"/>
          <w:color w:val="auto"/>
          <w:sz w:val="18"/>
          <w:szCs w:val="18"/>
          <w:u w:val="none"/>
          <w:shd w:val="clear" w:color="auto" w:fill="FFFFFF"/>
        </w:rPr>
        <w:fldChar w:fldCharType="end"/>
      </w:r>
    </w:p>
  </w:footnote>
  <w:footnote w:id="20">
    <w:p>
      <w:pPr>
        <w:pStyle w:val="17"/>
        <w:rPr>
          <w:sz w:val="18"/>
          <w:szCs w:val="18"/>
          <w:lang w:val="sr-Cyrl-RS"/>
        </w:rPr>
      </w:pPr>
      <w:r>
        <w:rPr>
          <w:rStyle w:val="31"/>
        </w:rPr>
        <w:footnoteRef/>
      </w:r>
      <w:r>
        <w:t xml:space="preserve"> </w:t>
      </w:r>
      <w:r>
        <w:fldChar w:fldCharType="begin"/>
      </w:r>
      <w:r>
        <w:instrText xml:space="preserve"> HYPERLINK "http://muzicka-skola.org/" </w:instrText>
      </w:r>
      <w:r>
        <w:fldChar w:fldCharType="separate"/>
      </w:r>
      <w:r>
        <w:rPr>
          <w:rStyle w:val="33"/>
          <w:rFonts w:cs="Calibri"/>
          <w:color w:val="auto"/>
          <w:sz w:val="18"/>
          <w:szCs w:val="18"/>
          <w:u w:val="none"/>
          <w:shd w:val="clear" w:color="auto" w:fill="FFFFFF"/>
        </w:rPr>
        <w:t>http://muzicka-skola.org/</w:t>
      </w:r>
      <w:r>
        <w:rPr>
          <w:rStyle w:val="33"/>
          <w:rFonts w:cs="Calibri"/>
          <w:color w:val="auto"/>
          <w:sz w:val="18"/>
          <w:szCs w:val="18"/>
          <w:u w:val="none"/>
          <w:shd w:val="clear" w:color="auto" w:fill="FFFFFF"/>
        </w:rPr>
        <w:fldChar w:fldCharType="end"/>
      </w:r>
    </w:p>
  </w:footnote>
  <w:footnote w:id="21">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"https://www.poljskolabl.rs.ba" </w:instrText>
      </w:r>
      <w:r>
        <w:fldChar w:fldCharType="separate"/>
      </w:r>
      <w:r>
        <w:rPr>
          <w:rStyle w:val="33"/>
          <w:rFonts w:cs="Calibri"/>
          <w:color w:val="auto"/>
          <w:sz w:val="18"/>
          <w:szCs w:val="18"/>
          <w:u w:val="none"/>
          <w:shd w:val="clear" w:color="auto" w:fill="FFFFFF"/>
        </w:rPr>
        <w:t>https://www.poljskolabl.rs.ba</w:t>
      </w:r>
      <w:r>
        <w:rPr>
          <w:rStyle w:val="33"/>
          <w:rFonts w:cs="Calibri"/>
          <w:color w:val="auto"/>
          <w:sz w:val="18"/>
          <w:szCs w:val="18"/>
          <w:u w:val="none"/>
          <w:shd w:val="clear" w:color="auto" w:fill="FFFFFF"/>
        </w:rPr>
        <w:fldChar w:fldCharType="end"/>
      </w:r>
    </w:p>
  </w:footnote>
  <w:footnote w:id="22">
    <w:p>
      <w:pPr>
        <w:pStyle w:val="17"/>
        <w:rPr>
          <w:lang w:val="sr-Cyrl-RS"/>
        </w:rPr>
      </w:pPr>
      <w:r>
        <w:rPr>
          <w:rStyle w:val="31"/>
          <w:sz w:val="18"/>
          <w:szCs w:val="18"/>
        </w:rPr>
        <w:footnoteRef/>
      </w:r>
      <w:r>
        <w:rPr>
          <w:sz w:val="18"/>
          <w:szCs w:val="18"/>
        </w:rPr>
        <w:t xml:space="preserve"> </w:t>
      </w:r>
      <w:r>
        <w:fldChar w:fldCharType="begin"/>
      </w:r>
      <w:r>
        <w:instrText xml:space="preserve"> HYPERLINK "http://www.tehnickaskolabl.com/SrednjaSkola2/" </w:instrText>
      </w:r>
      <w:r>
        <w:fldChar w:fldCharType="separate"/>
      </w:r>
      <w:r>
        <w:rPr>
          <w:rStyle w:val="33"/>
          <w:rFonts w:cs="Calibri"/>
          <w:color w:val="auto"/>
          <w:sz w:val="18"/>
          <w:szCs w:val="18"/>
          <w:u w:val="none"/>
          <w:shd w:val="clear" w:color="auto" w:fill="FFFFFF"/>
        </w:rPr>
        <w:t>http://www.tehnickaskolabl.com/SrednjaSkola2/</w:t>
      </w:r>
      <w:r>
        <w:rPr>
          <w:rStyle w:val="33"/>
          <w:rFonts w:cs="Calibri"/>
          <w:color w:val="auto"/>
          <w:sz w:val="18"/>
          <w:szCs w:val="18"/>
          <w:u w:val="none"/>
          <w:shd w:val="clear" w:color="auto" w:fill="FFFFFF"/>
        </w:rPr>
        <w:fldChar w:fldCharType="end"/>
      </w:r>
    </w:p>
  </w:footnote>
  <w:footnote w:id="23">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"http://ugostiteljska.com/" </w:instrText>
      </w:r>
      <w:r>
        <w:fldChar w:fldCharType="separate"/>
      </w:r>
      <w:r>
        <w:rPr>
          <w:rStyle w:val="33"/>
          <w:rFonts w:cs="Calibri"/>
          <w:color w:val="auto"/>
          <w:sz w:val="18"/>
          <w:szCs w:val="18"/>
          <w:u w:val="none"/>
          <w:shd w:val="clear" w:color="auto" w:fill="FFFFFF"/>
        </w:rPr>
        <w:t>http://ugostiteljska.com/</w:t>
      </w:r>
      <w:r>
        <w:rPr>
          <w:rStyle w:val="33"/>
          <w:rFonts w:cs="Calibri"/>
          <w:color w:val="auto"/>
          <w:sz w:val="18"/>
          <w:szCs w:val="18"/>
          <w:u w:val="none"/>
          <w:shd w:val="clear" w:color="auto" w:fill="FFFFFF"/>
        </w:rPr>
        <w:fldChar w:fldCharType="end"/>
      </w:r>
    </w:p>
  </w:footnote>
  <w:footnote w:id="24">
    <w:p>
      <w:pPr>
        <w:pStyle w:val="17"/>
        <w:rPr>
          <w:lang w:val="sr-Cyrl-RS"/>
        </w:rPr>
      </w:pPr>
      <w:r>
        <w:rPr>
          <w:rStyle w:val="31"/>
        </w:rPr>
        <w:footnoteRef/>
      </w:r>
      <w:r>
        <w:t xml:space="preserve"> </w:t>
      </w:r>
      <w:r>
        <w:fldChar w:fldCharType="begin"/>
      </w:r>
      <w:r>
        <w:instrText xml:space="preserve"> HYPERLINK "http://www.srsksupbl.org" </w:instrText>
      </w:r>
      <w:r>
        <w:fldChar w:fldCharType="separate"/>
      </w:r>
      <w:r>
        <w:rPr>
          <w:rStyle w:val="33"/>
          <w:rFonts w:cs="Calibri"/>
          <w:color w:val="auto"/>
          <w:u w:val="none"/>
          <w:shd w:val="clear" w:color="auto" w:fill="FFFFFF"/>
        </w:rPr>
        <w:t>http://www.srsksupbl.org</w:t>
      </w:r>
      <w:r>
        <w:rPr>
          <w:rStyle w:val="33"/>
          <w:rFonts w:cs="Calibri"/>
          <w:color w:val="auto"/>
          <w:u w:val="none"/>
          <w:shd w:val="clear" w:color="auto" w:fill="FFFFFF"/>
        </w:rPr>
        <w:fldChar w:fldCharType="end"/>
      </w:r>
    </w:p>
  </w:footnote>
  <w:footnote w:id="25">
    <w:p>
      <w:pPr>
        <w:pStyle w:val="17"/>
        <w:rPr>
          <w:lang w:val="sr-Cyrl-RS"/>
        </w:rPr>
      </w:pPr>
      <w:r>
        <w:rPr>
          <w:rStyle w:val="31"/>
        </w:rPr>
        <w:footnoteRef/>
      </w:r>
      <w:r>
        <w:t xml:space="preserve"> </w:t>
      </w:r>
      <w:r>
        <w:fldChar w:fldCharType="begin"/>
      </w:r>
      <w:r>
        <w:instrText xml:space="preserve"> HYPERLINK "http://www.zastitime.info" </w:instrText>
      </w:r>
      <w:r>
        <w:fldChar w:fldCharType="separate"/>
      </w:r>
      <w:r>
        <w:rPr>
          <w:rStyle w:val="33"/>
          <w:rFonts w:cs="Calibri"/>
          <w:color w:val="auto"/>
          <w:u w:val="none"/>
          <w:shd w:val="clear" w:color="auto" w:fill="FFFFFF"/>
        </w:rPr>
        <w:t>http://www.zastitime.info</w:t>
      </w:r>
      <w:r>
        <w:rPr>
          <w:rStyle w:val="33"/>
          <w:rFonts w:cs="Calibri"/>
          <w:color w:val="auto"/>
          <w:u w:val="none"/>
          <w:shd w:val="clear" w:color="auto" w:fill="FFFFFF"/>
        </w:rPr>
        <w:fldChar w:fldCharType="end"/>
      </w:r>
    </w:p>
  </w:footnote>
  <w:footnote w:id="26">
    <w:p>
      <w:pPr>
        <w:pStyle w:val="17"/>
        <w:rPr>
          <w:sz w:val="18"/>
          <w:szCs w:val="18"/>
          <w:lang w:val="sr-Cyrl-RS"/>
        </w:rPr>
      </w:pPr>
      <w:r>
        <w:rPr>
          <w:rStyle w:val="31"/>
          <w:sz w:val="18"/>
          <w:szCs w:val="18"/>
        </w:rPr>
        <w:footnoteRef/>
      </w:r>
      <w:r>
        <w:rPr>
          <w:sz w:val="18"/>
          <w:szCs w:val="18"/>
        </w:rPr>
        <w:t xml:space="preserve"> </w:t>
      </w:r>
      <w:r>
        <w:rPr>
          <w:rFonts w:ascii="Helvetica" w:hAnsi="Helvetica"/>
          <w:sz w:val="18"/>
          <w:szCs w:val="18"/>
        </w:rPr>
        <w:t> </w:t>
      </w:r>
      <w:r>
        <w:fldChar w:fldCharType="begin"/>
      </w:r>
      <w:r>
        <w:instrText xml:space="preserve"> HYPERLINK "http://www.kscbl.com/" </w:instrText>
      </w:r>
      <w:r>
        <w:fldChar w:fldCharType="separate"/>
      </w:r>
      <w:r>
        <w:rPr>
          <w:rStyle w:val="33"/>
          <w:rFonts w:cs="Calibri"/>
          <w:color w:val="auto"/>
          <w:sz w:val="18"/>
          <w:szCs w:val="18"/>
          <w:u w:val="none"/>
          <w:shd w:val="clear" w:color="auto" w:fill="FFFFFF"/>
        </w:rPr>
        <w:t>http://www.kscbl.com/</w:t>
      </w:r>
      <w:r>
        <w:rPr>
          <w:rStyle w:val="33"/>
          <w:rFonts w:cs="Calibri"/>
          <w:color w:val="auto"/>
          <w:sz w:val="18"/>
          <w:szCs w:val="18"/>
          <w:u w:val="none"/>
          <w:shd w:val="clear" w:color="auto" w:fill="FFFFFF"/>
        </w:rPr>
        <w:fldChar w:fldCharType="end"/>
      </w:r>
    </w:p>
  </w:footnote>
  <w:footnote w:id="27">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"http://www.apeiron-gemit.org/" </w:instrText>
      </w:r>
      <w:r>
        <w:fldChar w:fldCharType="separate"/>
      </w:r>
      <w:r>
        <w:rPr>
          <w:rStyle w:val="33"/>
          <w:rFonts w:cs="Calibri"/>
          <w:color w:val="auto"/>
          <w:sz w:val="18"/>
          <w:szCs w:val="18"/>
          <w:u w:val="none"/>
          <w:shd w:val="clear" w:color="auto" w:fill="FFFFFF"/>
        </w:rPr>
        <w:t>http://www.apeiron-gemit.org/</w:t>
      </w:r>
      <w:r>
        <w:rPr>
          <w:rStyle w:val="33"/>
          <w:rFonts w:cs="Calibri"/>
          <w:color w:val="auto"/>
          <w:sz w:val="18"/>
          <w:szCs w:val="18"/>
          <w:u w:val="none"/>
          <w:shd w:val="clear" w:color="auto" w:fill="FFFFFF"/>
        </w:rPr>
        <w:fldChar w:fldCharType="end"/>
      </w:r>
    </w:p>
  </w:footnote>
  <w:footnote w:id="28">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"http://www.scgaudeamus.com" </w:instrText>
      </w:r>
      <w:r>
        <w:fldChar w:fldCharType="separate"/>
      </w:r>
      <w:r>
        <w:rPr>
          <w:rStyle w:val="33"/>
          <w:rFonts w:cs="Calibri"/>
          <w:color w:val="auto"/>
          <w:sz w:val="18"/>
          <w:szCs w:val="18"/>
          <w:u w:val="none"/>
          <w:shd w:val="clear" w:color="auto" w:fill="FFFFFF"/>
        </w:rPr>
        <w:t>www.scgaudeamus.com</w:t>
      </w:r>
      <w:r>
        <w:rPr>
          <w:rStyle w:val="33"/>
          <w:rFonts w:cs="Calibri"/>
          <w:color w:val="auto"/>
          <w:sz w:val="18"/>
          <w:szCs w:val="18"/>
          <w:u w:val="none"/>
          <w:shd w:val="clear" w:color="auto" w:fill="FFFFFF"/>
        </w:rPr>
        <w:fldChar w:fldCharType="end"/>
      </w:r>
    </w:p>
  </w:footnote>
  <w:footnote w:id="29">
    <w:p>
      <w:pPr>
        <w:pStyle w:val="17"/>
        <w:rPr>
          <w:lang w:val="sr-Cyrl-RS"/>
        </w:rPr>
      </w:pPr>
      <w:r>
        <w:rPr>
          <w:rStyle w:val="31"/>
          <w:sz w:val="18"/>
          <w:szCs w:val="18"/>
        </w:rPr>
        <w:footnoteRef/>
      </w:r>
      <w:r>
        <w:rPr>
          <w:sz w:val="18"/>
          <w:szCs w:val="18"/>
        </w:rPr>
        <w:t xml:space="preserve"> </w:t>
      </w:r>
      <w:r>
        <w:fldChar w:fldCharType="begin"/>
      </w:r>
      <w:r>
        <w:instrText xml:space="preserve"> HYPERLINK "http://www.srednjoskolskidom.com/index.php" </w:instrText>
      </w:r>
      <w:r>
        <w:fldChar w:fldCharType="separate"/>
      </w:r>
      <w:r>
        <w:rPr>
          <w:rStyle w:val="33"/>
          <w:rFonts w:cs="Calibri"/>
          <w:color w:val="auto"/>
          <w:sz w:val="18"/>
          <w:szCs w:val="18"/>
          <w:u w:val="none"/>
          <w:shd w:val="clear" w:color="auto" w:fill="FFFFFF"/>
        </w:rPr>
        <w:t>http://www.srednjoskolskidom.com/index.php</w:t>
      </w:r>
      <w:r>
        <w:rPr>
          <w:rStyle w:val="33"/>
          <w:rFonts w:cs="Calibri"/>
          <w:color w:val="auto"/>
          <w:sz w:val="18"/>
          <w:szCs w:val="18"/>
          <w:u w:val="none"/>
          <w:shd w:val="clear" w:color="auto" w:fill="FFFFFF"/>
        </w:rPr>
        <w:fldChar w:fldCharType="end"/>
      </w:r>
    </w:p>
  </w:footnote>
  <w:footnote w:id="30">
    <w:p>
      <w:pPr>
        <w:pStyle w:val="17"/>
      </w:pPr>
      <w:r>
        <w:rPr>
          <w:rStyle w:val="31"/>
        </w:rPr>
        <w:footnoteRef/>
      </w:r>
      <w:r>
        <w:rPr>
          <w:rFonts w:cs="Calibri"/>
        </w:rPr>
        <w:t>(„Службени гласник града Бања Лука“, бр.18/10, 14/12 и 11/13)</w:t>
      </w:r>
    </w:p>
  </w:footnote>
  <w:footnote w:id="31">
    <w:p>
      <w:pPr>
        <w:pStyle w:val="17"/>
      </w:pPr>
      <w:r>
        <w:rPr>
          <w:rStyle w:val="31"/>
        </w:rPr>
        <w:footnoteRef/>
      </w:r>
      <w:r>
        <w:t xml:space="preserve"> </w:t>
      </w:r>
      <w:r>
        <w:fldChar w:fldCharType="begin"/>
      </w:r>
      <w:r>
        <w:instrText xml:space="preserve"> HYPERLINK "http://unibl.org" </w:instrText>
      </w:r>
      <w:r>
        <w:fldChar w:fldCharType="separate"/>
      </w:r>
      <w:r>
        <w:rPr>
          <w:rStyle w:val="33"/>
          <w:color w:val="auto"/>
          <w:u w:val="none"/>
        </w:rPr>
        <w:t>http://unibl.org</w:t>
      </w:r>
      <w:r>
        <w:rPr>
          <w:rStyle w:val="33"/>
          <w:color w:val="auto"/>
          <w:u w:val="none"/>
        </w:rPr>
        <w:fldChar w:fldCharType="end"/>
      </w:r>
      <w:r>
        <w:t xml:space="preserve"> </w:t>
      </w:r>
    </w:p>
  </w:footnote>
  <w:footnote w:id="32">
    <w:p>
      <w:pPr>
        <w:pStyle w:val="17"/>
      </w:pPr>
      <w:r>
        <w:rPr>
          <w:rStyle w:val="31"/>
        </w:rPr>
        <w:footnoteRef/>
      </w:r>
      <w:r>
        <w:t xml:space="preserve"> </w:t>
      </w:r>
      <w:r>
        <w:fldChar w:fldCharType="begin"/>
      </w:r>
      <w:r>
        <w:instrText xml:space="preserve"> HYPERLINK "http://www.apeiron-uni.eu/" </w:instrText>
      </w:r>
      <w:r>
        <w:fldChar w:fldCharType="separate"/>
      </w:r>
      <w:r>
        <w:rPr>
          <w:rStyle w:val="33"/>
          <w:color w:val="auto"/>
          <w:u w:val="none"/>
        </w:rPr>
        <w:t>http://www.apeiron-uni.eu/</w:t>
      </w:r>
      <w:r>
        <w:rPr>
          <w:rStyle w:val="33"/>
          <w:color w:val="auto"/>
          <w:u w:val="none"/>
        </w:rPr>
        <w:fldChar w:fldCharType="end"/>
      </w:r>
      <w:r>
        <w:t xml:space="preserve"> </w:t>
      </w:r>
    </w:p>
  </w:footnote>
  <w:footnote w:id="33">
    <w:p>
      <w:pPr>
        <w:pStyle w:val="17"/>
      </w:pPr>
      <w:r>
        <w:rPr>
          <w:rStyle w:val="31"/>
        </w:rPr>
        <w:footnoteRef/>
      </w:r>
      <w:r>
        <w:t xml:space="preserve"> </w:t>
      </w:r>
      <w:r>
        <w:fldChar w:fldCharType="begin"/>
      </w:r>
      <w:r>
        <w:instrText xml:space="preserve"> HYPERLINK "http://univerzitetpim.com/" </w:instrText>
      </w:r>
      <w:r>
        <w:fldChar w:fldCharType="separate"/>
      </w:r>
      <w:r>
        <w:rPr>
          <w:rStyle w:val="33"/>
          <w:color w:val="auto"/>
          <w:u w:val="none"/>
        </w:rPr>
        <w:t>http://univerzitetpim.com/</w:t>
      </w:r>
      <w:r>
        <w:rPr>
          <w:rStyle w:val="33"/>
          <w:color w:val="auto"/>
          <w:u w:val="none"/>
        </w:rPr>
        <w:fldChar w:fldCharType="end"/>
      </w:r>
      <w:r>
        <w:t xml:space="preserve"> </w:t>
      </w:r>
    </w:p>
  </w:footnote>
  <w:footnote w:id="34">
    <w:p>
      <w:pPr>
        <w:pStyle w:val="17"/>
      </w:pPr>
      <w:r>
        <w:rPr>
          <w:rStyle w:val="31"/>
        </w:rPr>
        <w:footnoteRef/>
      </w:r>
      <w:r>
        <w:t xml:space="preserve"> </w:t>
      </w:r>
      <w:r>
        <w:fldChar w:fldCharType="begin"/>
      </w:r>
      <w:r>
        <w:instrText xml:space="preserve"> HYPERLINK "http://nubl.org/" </w:instrText>
      </w:r>
      <w:r>
        <w:fldChar w:fldCharType="separate"/>
      </w:r>
      <w:r>
        <w:rPr>
          <w:rStyle w:val="33"/>
          <w:rFonts w:eastAsia="Times New Roman" w:cs="Arial"/>
          <w:color w:val="auto"/>
          <w:u w:val="none"/>
        </w:rPr>
        <w:t>http://nubl.org/</w:t>
      </w:r>
      <w:r>
        <w:rPr>
          <w:rStyle w:val="33"/>
          <w:rFonts w:eastAsia="Times New Roman" w:cs="Arial"/>
          <w:color w:val="auto"/>
          <w:u w:val="none"/>
        </w:rPr>
        <w:fldChar w:fldCharType="end"/>
      </w:r>
      <w:r>
        <w:rPr>
          <w:rStyle w:val="33"/>
          <w:rFonts w:eastAsia="Times New Roman" w:cs="Arial"/>
          <w:color w:val="auto"/>
          <w:u w:val="none"/>
        </w:rPr>
        <w:t xml:space="preserve"> </w:t>
      </w:r>
    </w:p>
  </w:footnote>
  <w:footnote w:id="35">
    <w:p>
      <w:pPr>
        <w:pStyle w:val="17"/>
      </w:pPr>
      <w:r>
        <w:rPr>
          <w:rStyle w:val="31"/>
        </w:rPr>
        <w:footnoteRef/>
      </w:r>
      <w:r>
        <w:t xml:space="preserve"> </w:t>
      </w:r>
      <w:r>
        <w:fldChar w:fldCharType="begin"/>
      </w:r>
      <w:r>
        <w:instrText xml:space="preserve"> HYPERLINK "http://www.univerzitetps.com/" </w:instrText>
      </w:r>
      <w:r>
        <w:fldChar w:fldCharType="separate"/>
      </w:r>
      <w:r>
        <w:rPr>
          <w:rStyle w:val="33"/>
          <w:color w:val="auto"/>
          <w:u w:val="none"/>
        </w:rPr>
        <w:t>http://www.univerzitetps.com/</w:t>
      </w:r>
      <w:r>
        <w:rPr>
          <w:rStyle w:val="33"/>
          <w:color w:val="auto"/>
          <w:u w:val="none"/>
        </w:rPr>
        <w:fldChar w:fldCharType="end"/>
      </w:r>
      <w:r>
        <w:t xml:space="preserve"> </w:t>
      </w:r>
    </w:p>
  </w:footnote>
  <w:footnote w:id="36">
    <w:p>
      <w:pPr>
        <w:pStyle w:val="17"/>
        <w:rPr>
          <w:sz w:val="16"/>
          <w:szCs w:val="16"/>
        </w:rPr>
      </w:pPr>
      <w:r>
        <w:rPr>
          <w:rStyle w:val="31"/>
          <w:sz w:val="16"/>
          <w:szCs w:val="16"/>
        </w:rPr>
        <w:footnoteRef/>
      </w:r>
      <w:r>
        <w:rPr>
          <w:rFonts w:cs="Calibri"/>
          <w:sz w:val="16"/>
          <w:szCs w:val="16"/>
        </w:rPr>
        <w:t>(Службени гласник РС 59-9)</w:t>
      </w:r>
    </w:p>
  </w:footnote>
  <w:footnote w:id="37">
    <w:p>
      <w:pPr>
        <w:pStyle w:val="17"/>
        <w:rPr>
          <w:sz w:val="16"/>
          <w:szCs w:val="16"/>
          <w:lang w:val="sr-Cyrl-RS"/>
        </w:rPr>
      </w:pPr>
      <w:r>
        <w:rPr>
          <w:rStyle w:val="31"/>
          <w:sz w:val="16"/>
          <w:szCs w:val="16"/>
        </w:rPr>
        <w:footnoteRef/>
      </w:r>
      <w:r>
        <w:rPr>
          <w:sz w:val="16"/>
          <w:szCs w:val="16"/>
        </w:rPr>
        <w:t xml:space="preserve"> </w:t>
      </w:r>
      <w:r>
        <w:fldChar w:fldCharType="begin"/>
      </w:r>
      <w:r>
        <w:instrText xml:space="preserve"> HYPERLINK "http://radnickiuniverzitet.com/srednje-srucno-obrazovanje/" </w:instrText>
      </w:r>
      <w:r>
        <w:fldChar w:fldCharType="separate"/>
      </w:r>
      <w:r>
        <w:rPr>
          <w:rStyle w:val="33"/>
          <w:rFonts w:cs="Calibri"/>
          <w:color w:val="auto"/>
          <w:sz w:val="16"/>
          <w:szCs w:val="16"/>
          <w:u w:val="none"/>
        </w:rPr>
        <w:t>http://radnickiuniverzitet.com/srednje-srucno-obrazovanje/</w:t>
      </w:r>
      <w:r>
        <w:rPr>
          <w:rStyle w:val="33"/>
          <w:rFonts w:cs="Calibri"/>
          <w:color w:val="auto"/>
          <w:sz w:val="16"/>
          <w:szCs w:val="16"/>
          <w:u w:val="none"/>
        </w:rPr>
        <w:fldChar w:fldCharType="end"/>
      </w:r>
    </w:p>
  </w:footnote>
  <w:footnote w:id="38">
    <w:p>
      <w:pPr>
        <w:pStyle w:val="17"/>
        <w:rPr>
          <w:lang w:val="sr-Cyrl-RS"/>
        </w:rPr>
      </w:pPr>
      <w:r>
        <w:rPr>
          <w:rStyle w:val="31"/>
          <w:sz w:val="16"/>
          <w:szCs w:val="16"/>
        </w:rPr>
        <w:footnoteRef/>
      </w:r>
      <w:r>
        <w:rPr>
          <w:sz w:val="16"/>
          <w:szCs w:val="16"/>
        </w:rPr>
        <w:t xml:space="preserve"> </w:t>
      </w:r>
      <w:r>
        <w:fldChar w:fldCharType="begin"/>
      </w:r>
      <w:r>
        <w:instrText xml:space="preserve"> HYPERLINK "http://sec.ba/sr/" </w:instrText>
      </w:r>
      <w:r>
        <w:fldChar w:fldCharType="separate"/>
      </w:r>
      <w:r>
        <w:rPr>
          <w:rStyle w:val="33"/>
          <w:rFonts w:cs="Calibri"/>
          <w:color w:val="auto"/>
          <w:sz w:val="16"/>
          <w:szCs w:val="16"/>
          <w:u w:val="none"/>
        </w:rPr>
        <w:t>http://sec.ba/sr/</w:t>
      </w:r>
      <w:r>
        <w:rPr>
          <w:rStyle w:val="33"/>
          <w:rFonts w:cs="Calibri"/>
          <w:color w:val="auto"/>
          <w:sz w:val="16"/>
          <w:szCs w:val="16"/>
          <w:u w:val="none"/>
        </w:rPr>
        <w:fldChar w:fldCharType="end"/>
      </w:r>
    </w:p>
  </w:footnote>
  <w:footnote w:id="39">
    <w:p>
      <w:pPr>
        <w:pStyle w:val="17"/>
        <w:rPr>
          <w:lang w:val="sr-Cyrl-RS"/>
        </w:rPr>
      </w:pPr>
      <w:r>
        <w:rPr>
          <w:rStyle w:val="31"/>
        </w:rPr>
        <w:footnoteRef/>
      </w:r>
      <w:r>
        <w:t xml:space="preserve"> </w:t>
      </w:r>
      <w:r>
        <w:fldChar w:fldCharType="begin"/>
      </w:r>
      <w:r>
        <w:instrText xml:space="preserve"> HYPERLINK "http://muzejrs.com" </w:instrText>
      </w:r>
      <w:r>
        <w:fldChar w:fldCharType="separate"/>
      </w:r>
      <w:r>
        <w:rPr>
          <w:rStyle w:val="33"/>
          <w:rFonts w:cs="Calibri"/>
          <w:color w:val="auto"/>
          <w:u w:val="none"/>
          <w:lang w:val="sr-Latn-RS"/>
        </w:rPr>
        <w:t>http://muzejrs.com</w:t>
      </w:r>
      <w:r>
        <w:rPr>
          <w:rStyle w:val="33"/>
          <w:rFonts w:cs="Calibri"/>
          <w:color w:val="auto"/>
          <w:u w:val="none"/>
          <w:lang w:val="sr-Latn-RS"/>
        </w:rPr>
        <w:fldChar w:fldCharType="end"/>
      </w:r>
      <w:r>
        <w:rPr>
          <w:rFonts w:eastAsia="Times New Roman" w:cs="Calibri"/>
          <w:lang w:val="sr-Latn-RS"/>
        </w:rPr>
        <w:t xml:space="preserve"> </w:t>
      </w:r>
      <w:r>
        <w:rPr>
          <w:rFonts w:eastAsia="Times New Roman" w:cs="Calibri"/>
          <w:b/>
          <w:bCs/>
          <w:lang w:val="sr-Latn-RS"/>
        </w:rPr>
        <w:t> </w:t>
      </w:r>
    </w:p>
  </w:footnote>
  <w:footnote w:id="40">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"http://www.msurs.org/" </w:instrText>
      </w:r>
      <w:r>
        <w:fldChar w:fldCharType="separate"/>
      </w:r>
      <w:r>
        <w:rPr>
          <w:rStyle w:val="33"/>
          <w:rFonts w:cs="Calibri"/>
          <w:color w:val="auto"/>
          <w:sz w:val="18"/>
          <w:szCs w:val="18"/>
          <w:u w:val="none"/>
        </w:rPr>
        <w:t>www.msurs.org</w:t>
      </w:r>
      <w:r>
        <w:rPr>
          <w:rStyle w:val="33"/>
          <w:rFonts w:cs="Calibri"/>
          <w:color w:val="auto"/>
          <w:sz w:val="18"/>
          <w:szCs w:val="18"/>
          <w:u w:val="none"/>
        </w:rPr>
        <w:fldChar w:fldCharType="end"/>
      </w:r>
    </w:p>
  </w:footnote>
  <w:footnote w:id="41">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"http://www.np.rs.ba/" </w:instrText>
      </w:r>
      <w:r>
        <w:fldChar w:fldCharType="separate"/>
      </w:r>
      <w:r>
        <w:rPr>
          <w:rStyle w:val="33"/>
          <w:color w:val="auto"/>
          <w:sz w:val="18"/>
          <w:szCs w:val="18"/>
          <w:u w:val="none"/>
        </w:rPr>
        <w:t>http://www.np.rs.ba/</w:t>
      </w:r>
      <w:r>
        <w:rPr>
          <w:rStyle w:val="33"/>
          <w:color w:val="auto"/>
          <w:sz w:val="18"/>
          <w:szCs w:val="18"/>
          <w:u w:val="none"/>
        </w:rPr>
        <w:fldChar w:fldCharType="end"/>
      </w:r>
      <w:r>
        <w:rPr>
          <w:sz w:val="18"/>
          <w:szCs w:val="18"/>
        </w:rPr>
        <w:t xml:space="preserve"> </w:t>
      </w:r>
    </w:p>
  </w:footnote>
  <w:footnote w:id="42">
    <w:p>
      <w:pPr>
        <w:pStyle w:val="17"/>
        <w:rPr>
          <w:sz w:val="18"/>
          <w:szCs w:val="18"/>
          <w:lang w:val="sr-Cyrl-RS"/>
        </w:rPr>
      </w:pPr>
      <w:r>
        <w:rPr>
          <w:rStyle w:val="31"/>
          <w:sz w:val="18"/>
          <w:szCs w:val="18"/>
        </w:rPr>
        <w:footnoteRef/>
      </w:r>
      <w:r>
        <w:rPr>
          <w:sz w:val="18"/>
          <w:szCs w:val="18"/>
        </w:rPr>
        <w:t xml:space="preserve"> </w:t>
      </w:r>
      <w:r>
        <w:rPr>
          <w:bCs/>
          <w:sz w:val="18"/>
          <w:szCs w:val="18"/>
        </w:rPr>
        <w:t>www.nub</w:t>
      </w:r>
      <w:r>
        <w:rPr>
          <w:bCs/>
          <w:sz w:val="18"/>
          <w:szCs w:val="18"/>
          <w:lang w:val="sr-Cyrl-BA"/>
        </w:rPr>
        <w:t>.</w:t>
      </w:r>
      <w:r>
        <w:rPr>
          <w:bCs/>
          <w:sz w:val="18"/>
          <w:szCs w:val="18"/>
        </w:rPr>
        <w:t>rs</w:t>
      </w:r>
      <w:r>
        <w:rPr>
          <w:rStyle w:val="35"/>
          <w:sz w:val="18"/>
          <w:szCs w:val="18"/>
        </w:rPr>
        <w:t>  </w:t>
      </w:r>
    </w:p>
  </w:footnote>
  <w:footnote w:id="43">
    <w:p>
      <w:pPr>
        <w:pStyle w:val="17"/>
        <w:rPr>
          <w:lang w:val="sr-Cyrl-RS"/>
        </w:rPr>
      </w:pPr>
      <w:r>
        <w:rPr>
          <w:rStyle w:val="31"/>
          <w:sz w:val="18"/>
          <w:szCs w:val="18"/>
        </w:rPr>
        <w:footnoteRef/>
      </w:r>
      <w:r>
        <w:rPr>
          <w:sz w:val="18"/>
          <w:szCs w:val="18"/>
        </w:rPr>
        <w:t xml:space="preserve"> </w:t>
      </w:r>
      <w:r>
        <w:fldChar w:fldCharType="begin"/>
      </w:r>
      <w:r>
        <w:instrText xml:space="preserve"> HYPERLINK "http://www.bsrs.rs/" </w:instrText>
      </w:r>
      <w:r>
        <w:fldChar w:fldCharType="separate"/>
      </w:r>
      <w:r>
        <w:rPr>
          <w:rStyle w:val="33"/>
          <w:color w:val="auto"/>
          <w:sz w:val="18"/>
          <w:szCs w:val="18"/>
          <w:u w:val="none"/>
        </w:rPr>
        <w:t>http://www.bsrs.rs/</w:t>
      </w:r>
      <w:r>
        <w:rPr>
          <w:rStyle w:val="33"/>
          <w:color w:val="auto"/>
          <w:sz w:val="18"/>
          <w:szCs w:val="18"/>
          <w:u w:val="none"/>
        </w:rPr>
        <w:fldChar w:fldCharType="end"/>
      </w:r>
      <w:r>
        <w:t xml:space="preserve"> </w:t>
      </w:r>
    </w:p>
  </w:footnote>
  <w:footnote w:id="44">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"http://www.djecijepozoriste.rs" </w:instrText>
      </w:r>
      <w:r>
        <w:fldChar w:fldCharType="separate"/>
      </w:r>
      <w:r>
        <w:rPr>
          <w:rStyle w:val="33"/>
          <w:rFonts w:cs="Calibri"/>
          <w:color w:val="auto"/>
          <w:sz w:val="18"/>
          <w:szCs w:val="18"/>
          <w:u w:val="none"/>
        </w:rPr>
        <w:t>www.djecijepozoriste.rs</w:t>
      </w:r>
      <w:r>
        <w:rPr>
          <w:rStyle w:val="33"/>
          <w:rFonts w:cs="Calibri"/>
          <w:color w:val="auto"/>
          <w:sz w:val="18"/>
          <w:szCs w:val="18"/>
          <w:u w:val="none"/>
        </w:rPr>
        <w:fldChar w:fldCharType="end"/>
      </w:r>
    </w:p>
  </w:footnote>
  <w:footnote w:id="45">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"http://www.arhiv.org" </w:instrText>
      </w:r>
      <w:r>
        <w:fldChar w:fldCharType="separate"/>
      </w:r>
      <w:r>
        <w:rPr>
          <w:rStyle w:val="33"/>
          <w:rFonts w:cs="Calibri"/>
          <w:color w:val="auto"/>
          <w:sz w:val="18"/>
          <w:szCs w:val="18"/>
          <w:u w:val="none"/>
        </w:rPr>
        <w:t>www.arhiv.org</w:t>
      </w:r>
      <w:r>
        <w:rPr>
          <w:rStyle w:val="33"/>
          <w:rFonts w:cs="Calibri"/>
          <w:color w:val="auto"/>
          <w:sz w:val="18"/>
          <w:szCs w:val="18"/>
          <w:u w:val="none"/>
        </w:rPr>
        <w:fldChar w:fldCharType="end"/>
      </w:r>
    </w:p>
  </w:footnote>
  <w:footnote w:id="46">
    <w:p>
      <w:pPr>
        <w:pStyle w:val="17"/>
        <w:rPr>
          <w:lang w:val="sr-Cyrl-RS"/>
        </w:rPr>
      </w:pPr>
      <w:r>
        <w:rPr>
          <w:rStyle w:val="31"/>
        </w:rPr>
        <w:footnoteRef/>
      </w:r>
      <w:r>
        <w:t xml:space="preserve"> </w:t>
      </w:r>
      <w:r>
        <w:fldChar w:fldCharType="begin"/>
      </w:r>
      <w:r>
        <w:instrText xml:space="preserve"> HYPERLINK "http://www.anurs.org/" </w:instrText>
      </w:r>
      <w:r>
        <w:fldChar w:fldCharType="separate"/>
      </w:r>
      <w:r>
        <w:rPr>
          <w:rStyle w:val="33"/>
          <w:color w:val="auto"/>
          <w:u w:val="none"/>
        </w:rPr>
        <w:t>http://www.anurs.org/</w:t>
      </w:r>
      <w:r>
        <w:rPr>
          <w:rStyle w:val="33"/>
          <w:color w:val="auto"/>
          <w:u w:val="none"/>
        </w:rPr>
        <w:fldChar w:fldCharType="end"/>
      </w:r>
      <w:r>
        <w:t xml:space="preserve"> </w:t>
      </w:r>
    </w:p>
  </w:footnote>
  <w:footnote w:id="47">
    <w:p>
      <w:pPr>
        <w:pStyle w:val="17"/>
        <w:rPr>
          <w:lang w:val="sr-Cyrl-RS"/>
        </w:rPr>
      </w:pPr>
      <w:r>
        <w:rPr>
          <w:rStyle w:val="31"/>
        </w:rPr>
        <w:footnoteRef/>
      </w:r>
      <w:r>
        <w:t xml:space="preserve"> </w:t>
      </w:r>
      <w:r>
        <w:fldChar w:fldCharType="begin"/>
      </w:r>
      <w:r>
        <w:instrText xml:space="preserve"> HYPERLINK "http://www.gpj.ba" </w:instrText>
      </w:r>
      <w:r>
        <w:fldChar w:fldCharType="separate"/>
      </w:r>
      <w:r>
        <w:rPr>
          <w:rStyle w:val="33"/>
          <w:rFonts w:cs="Calibri"/>
          <w:color w:val="auto"/>
          <w:u w:val="none"/>
        </w:rPr>
        <w:t>www.gpj.ba</w:t>
      </w:r>
      <w:r>
        <w:rPr>
          <w:rStyle w:val="33"/>
          <w:rFonts w:cs="Calibri"/>
          <w:color w:val="auto"/>
          <w:u w:val="none"/>
        </w:rPr>
        <w:fldChar w:fldCharType="end"/>
      </w:r>
      <w:r>
        <w:rPr>
          <w:rStyle w:val="33"/>
          <w:rFonts w:cs="Calibri"/>
          <w:color w:val="auto"/>
          <w:u w:val="none"/>
          <w:lang w:val="sr-Cyrl-RS"/>
        </w:rPr>
        <w:t xml:space="preserve"> </w:t>
      </w:r>
      <w:r>
        <w:t xml:space="preserve"> </w:t>
      </w:r>
    </w:p>
  </w:footnote>
  <w:footnote w:id="48">
    <w:p>
      <w:pPr>
        <w:pStyle w:val="17"/>
        <w:jc w:val="both"/>
        <w:rPr>
          <w:lang w:val="sr-Cyrl-RS"/>
        </w:rPr>
      </w:pPr>
      <w:r>
        <w:rPr>
          <w:rStyle w:val="31"/>
        </w:rPr>
        <w:footnoteRef/>
      </w:r>
      <w:r>
        <w:t xml:space="preserve"> </w:t>
      </w:r>
      <w:r>
        <w:rPr>
          <w:lang w:val="sr-Cyrl-RS"/>
        </w:rPr>
        <w:t>Више детаља о стању спорта и плановима за развој у овој области дато је у дужој верзији ситуационе анализе, доступоној у прилогу Стратегије.</w:t>
      </w:r>
    </w:p>
  </w:footnote>
  <w:footnote w:id="49">
    <w:p>
      <w:pPr>
        <w:pStyle w:val="17"/>
        <w:rPr>
          <w:lang w:val="sr-Cyrl-RS"/>
        </w:rPr>
      </w:pPr>
      <w:r>
        <w:rPr>
          <w:rStyle w:val="31"/>
        </w:rPr>
        <w:footnoteRef/>
      </w:r>
      <w:r>
        <w:t xml:space="preserve"> </w:t>
      </w:r>
      <w:r>
        <w:rPr>
          <w:lang w:val="sr-Cyrl-RS"/>
        </w:rPr>
        <w:t>Публикација Здравствено стање становништва Републике Српске, 2016., ЈЗУ Институт за јавно здравство, РС.</w:t>
      </w:r>
    </w:p>
  </w:footnote>
  <w:footnote w:id="50">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"http://www.csrbl.org/ZAKON%20O%20SOCIJALNOJ%20ZASTITI.pdf" </w:instrText>
      </w:r>
      <w:r>
        <w:fldChar w:fldCharType="separate"/>
      </w:r>
      <w:r>
        <w:rPr>
          <w:rStyle w:val="33"/>
          <w:color w:val="auto"/>
          <w:sz w:val="18"/>
          <w:szCs w:val="18"/>
          <w:u w:val="none"/>
        </w:rPr>
        <w:t>http://www.csrbl.org/ZAKON%20O%20SOCIJALNOJ%20ZASTITI.pdf</w:t>
      </w:r>
      <w:r>
        <w:rPr>
          <w:rStyle w:val="33"/>
          <w:color w:val="auto"/>
          <w:sz w:val="18"/>
          <w:szCs w:val="18"/>
          <w:u w:val="none"/>
        </w:rPr>
        <w:fldChar w:fldCharType="end"/>
      </w:r>
      <w:r>
        <w:rPr>
          <w:sz w:val="18"/>
          <w:szCs w:val="18"/>
          <w:lang w:val="sr-Cyrl-RS"/>
        </w:rPr>
        <w:t xml:space="preserve"> </w:t>
      </w:r>
    </w:p>
  </w:footnote>
  <w:footnote w:id="51">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"http://www.csrbl.org/ZAKON%20O%20ZASTITI%20LICA%20SA%20MENTALNIM%20POREMECAJIMA.pdf" </w:instrText>
      </w:r>
      <w:r>
        <w:fldChar w:fldCharType="separate"/>
      </w:r>
      <w:r>
        <w:rPr>
          <w:rStyle w:val="33"/>
          <w:color w:val="auto"/>
          <w:sz w:val="18"/>
          <w:szCs w:val="18"/>
          <w:u w:val="none"/>
        </w:rPr>
        <w:t>http://www.csrbl.org/ZAKON%20O%20ZASTITI%20LICA%20SA%20MENTALNIM%20POREMECAJIMA.pdf</w:t>
      </w:r>
      <w:r>
        <w:rPr>
          <w:rStyle w:val="33"/>
          <w:color w:val="auto"/>
          <w:sz w:val="18"/>
          <w:szCs w:val="18"/>
          <w:u w:val="none"/>
        </w:rPr>
        <w:fldChar w:fldCharType="end"/>
      </w:r>
      <w:r>
        <w:rPr>
          <w:sz w:val="18"/>
          <w:szCs w:val="18"/>
          <w:lang w:val="sr-Cyrl-RS"/>
        </w:rPr>
        <w:t xml:space="preserve"> </w:t>
      </w:r>
    </w:p>
  </w:footnote>
  <w:footnote w:id="52">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"http://www.csrbl.org/ZAKON%20O%20ZASTITI%20OD%20NASILJA%20U%20PORODICI%202012.pdf" </w:instrText>
      </w:r>
      <w:r>
        <w:fldChar w:fldCharType="separate"/>
      </w:r>
      <w:r>
        <w:rPr>
          <w:rStyle w:val="33"/>
          <w:color w:val="auto"/>
          <w:sz w:val="18"/>
          <w:szCs w:val="18"/>
          <w:u w:val="none"/>
        </w:rPr>
        <w:t>http://www.csrbl.org/ZAKON%20O%20ZASTITI%20OD%20NASILJA%20U%20PORODICI%202012.pdf</w:t>
      </w:r>
      <w:r>
        <w:rPr>
          <w:rStyle w:val="33"/>
          <w:color w:val="auto"/>
          <w:sz w:val="18"/>
          <w:szCs w:val="18"/>
          <w:u w:val="none"/>
        </w:rPr>
        <w:fldChar w:fldCharType="end"/>
      </w:r>
      <w:r>
        <w:rPr>
          <w:sz w:val="18"/>
          <w:szCs w:val="18"/>
          <w:lang w:val="sr-Cyrl-RS"/>
        </w:rPr>
        <w:t xml:space="preserve"> </w:t>
      </w:r>
    </w:p>
  </w:footnote>
  <w:footnote w:id="53">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"http://www.csrbl.org/porodicni%20zakon.pdf" </w:instrText>
      </w:r>
      <w:r>
        <w:fldChar w:fldCharType="separate"/>
      </w:r>
      <w:r>
        <w:rPr>
          <w:rStyle w:val="33"/>
          <w:color w:val="auto"/>
          <w:sz w:val="18"/>
          <w:szCs w:val="18"/>
          <w:u w:val="none"/>
        </w:rPr>
        <w:t>http://www.csrbl.org/porodicni%20zakon.pdf</w:t>
      </w:r>
      <w:r>
        <w:rPr>
          <w:rStyle w:val="33"/>
          <w:color w:val="auto"/>
          <w:sz w:val="18"/>
          <w:szCs w:val="18"/>
          <w:u w:val="none"/>
        </w:rPr>
        <w:fldChar w:fldCharType="end"/>
      </w:r>
      <w:r>
        <w:rPr>
          <w:sz w:val="18"/>
          <w:szCs w:val="18"/>
          <w:lang w:val="sr-Cyrl-RS"/>
        </w:rPr>
        <w:t xml:space="preserve"> </w:t>
      </w:r>
    </w:p>
  </w:footnote>
  <w:footnote w:id="54">
    <w:p>
      <w:pPr>
        <w:pStyle w:val="17"/>
        <w:rPr>
          <w:sz w:val="18"/>
          <w:szCs w:val="18"/>
          <w:lang w:val="sr-Cyrl-RS"/>
        </w:rPr>
      </w:pPr>
      <w:r>
        <w:rPr>
          <w:rStyle w:val="31"/>
          <w:sz w:val="18"/>
          <w:szCs w:val="18"/>
        </w:rPr>
        <w:footnoteRef/>
      </w:r>
      <w:r>
        <w:rPr>
          <w:sz w:val="18"/>
          <w:szCs w:val="18"/>
        </w:rPr>
        <w:t xml:space="preserve"> </w:t>
      </w:r>
      <w:r>
        <w:fldChar w:fldCharType="begin"/>
      </w:r>
      <w:r>
        <w:instrText xml:space="preserve"> HYPERLINK "http://www.csrbl.org/ZAKON%20O%20IZMJENAMA%20I%20DOPUNAMA%20PORODICNOG%20ZAKONA.pdf" </w:instrText>
      </w:r>
      <w:r>
        <w:fldChar w:fldCharType="separate"/>
      </w:r>
      <w:r>
        <w:rPr>
          <w:rStyle w:val="33"/>
          <w:color w:val="auto"/>
          <w:sz w:val="18"/>
          <w:szCs w:val="18"/>
          <w:u w:val="none"/>
        </w:rPr>
        <w:t>http://www.csrbl.org/ZAKON%20O%20IZMJENAMA%20I%20DOPUNAMA%20PORODICNOG%20ZAKONA.pdf</w:t>
      </w:r>
      <w:r>
        <w:rPr>
          <w:rStyle w:val="33"/>
          <w:color w:val="auto"/>
          <w:sz w:val="18"/>
          <w:szCs w:val="18"/>
          <w:u w:val="none"/>
        </w:rPr>
        <w:fldChar w:fldCharType="end"/>
      </w:r>
      <w:r>
        <w:rPr>
          <w:sz w:val="18"/>
          <w:szCs w:val="18"/>
          <w:lang w:val="sr-Cyrl-RS"/>
        </w:rPr>
        <w:t xml:space="preserve"> </w:t>
      </w:r>
    </w:p>
  </w:footnote>
  <w:footnote w:id="55">
    <w:p>
      <w:pPr>
        <w:pStyle w:val="17"/>
        <w:rPr>
          <w:lang w:val="sr-Cyrl-RS"/>
        </w:rPr>
      </w:pPr>
      <w:r>
        <w:rPr>
          <w:rStyle w:val="31"/>
          <w:sz w:val="18"/>
          <w:szCs w:val="18"/>
        </w:rPr>
        <w:footnoteRef/>
      </w:r>
      <w:r>
        <w:rPr>
          <w:sz w:val="18"/>
          <w:szCs w:val="18"/>
        </w:rPr>
        <w:t xml:space="preserve"> </w:t>
      </w:r>
      <w:r>
        <w:fldChar w:fldCharType="begin"/>
      </w:r>
      <w:r>
        <w:instrText xml:space="preserve"> HYPERLINK "http://www.csrbl.org/ZAKON%20O%20MALOLJETNICIMA%2061-13.pdf" </w:instrText>
      </w:r>
      <w:r>
        <w:fldChar w:fldCharType="separate"/>
      </w:r>
      <w:r>
        <w:rPr>
          <w:rStyle w:val="33"/>
          <w:color w:val="auto"/>
          <w:sz w:val="18"/>
          <w:szCs w:val="18"/>
          <w:u w:val="none"/>
        </w:rPr>
        <w:t>http://www.csrbl.org/ZAKON%20O%20MALOLJETNICIMA%2061-13.pdf</w:t>
      </w:r>
      <w:r>
        <w:rPr>
          <w:rStyle w:val="33"/>
          <w:color w:val="auto"/>
          <w:sz w:val="18"/>
          <w:szCs w:val="18"/>
          <w:u w:val="none"/>
        </w:rPr>
        <w:fldChar w:fldCharType="end"/>
      </w:r>
      <w:r>
        <w:rPr>
          <w:lang w:val="sr-Cyrl-RS"/>
        </w:rPr>
        <w:t xml:space="preserve"> </w:t>
      </w:r>
    </w:p>
  </w:footnote>
  <w:footnote w:id="56">
    <w:p>
      <w:pPr>
        <w:pStyle w:val="17"/>
        <w:rPr>
          <w:lang w:val="sr-Cyrl-RS"/>
        </w:rPr>
      </w:pPr>
      <w:r>
        <w:rPr>
          <w:rStyle w:val="31"/>
        </w:rPr>
        <w:footnoteRef/>
      </w:r>
      <w:r>
        <w:t xml:space="preserve"> </w:t>
      </w:r>
      <w:r>
        <w:rPr>
          <w:lang w:val="sr-Cyrl-RS"/>
        </w:rPr>
        <w:t>Сл.града 32/16, члан71.</w:t>
      </w:r>
    </w:p>
  </w:footnote>
  <w:footnote w:id="57">
    <w:p>
      <w:pPr>
        <w:pStyle w:val="17"/>
        <w:rPr>
          <w:lang w:val="sr-Latn-RS"/>
        </w:rPr>
      </w:pPr>
      <w:r>
        <w:rPr>
          <w:rStyle w:val="31"/>
        </w:rPr>
        <w:footnoteRef/>
      </w:r>
      <w:r>
        <w:rPr>
          <w:sz w:val="18"/>
          <w:szCs w:val="18"/>
        </w:rPr>
        <w:t xml:space="preserve"> </w:t>
      </w:r>
      <w:r>
        <w:fldChar w:fldCharType="begin"/>
      </w:r>
      <w:r>
        <w:instrText xml:space="preserve"> HYPERLINK "http://www.csrbl.org" </w:instrText>
      </w:r>
      <w:r>
        <w:fldChar w:fldCharType="separate"/>
      </w:r>
      <w:r>
        <w:rPr>
          <w:rStyle w:val="33"/>
          <w:rFonts w:cs="Calibri"/>
          <w:color w:val="auto"/>
          <w:sz w:val="18"/>
          <w:szCs w:val="18"/>
          <w:u w:val="none"/>
        </w:rPr>
        <w:t>www.csrbl.org</w:t>
      </w:r>
      <w:r>
        <w:rPr>
          <w:rStyle w:val="33"/>
          <w:rFonts w:cs="Calibri"/>
          <w:color w:val="auto"/>
          <w:sz w:val="18"/>
          <w:szCs w:val="18"/>
          <w:u w:val="none"/>
        </w:rPr>
        <w:fldChar w:fldCharType="end"/>
      </w:r>
      <w:r>
        <w:rPr>
          <w:rStyle w:val="33"/>
          <w:rFonts w:cs="Calibri"/>
          <w:b/>
          <w:color w:val="auto"/>
          <w:sz w:val="22"/>
          <w:szCs w:val="22"/>
          <w:u w:val="none"/>
        </w:rPr>
        <w:t xml:space="preserve"> </w:t>
      </w:r>
    </w:p>
  </w:footnote>
  <w:footnote w:id="58">
    <w:p>
      <w:pPr>
        <w:pStyle w:val="17"/>
        <w:rPr>
          <w:sz w:val="18"/>
          <w:szCs w:val="18"/>
          <w:lang w:val="sr-Latn-RS"/>
        </w:rPr>
      </w:pPr>
      <w:r>
        <w:rPr>
          <w:rStyle w:val="31"/>
        </w:rPr>
        <w:footnoteRef/>
      </w:r>
      <w:r>
        <w:t xml:space="preserve"> </w:t>
      </w:r>
      <w:r>
        <w:rPr>
          <w:rFonts w:cs="Calibri"/>
          <w:b/>
          <w:sz w:val="22"/>
          <w:szCs w:val="22"/>
          <w:shd w:val="clear" w:color="auto" w:fill="FFFFFF"/>
          <w:lang w:val="sr-Cyrl-RS"/>
        </w:rPr>
        <w:t xml:space="preserve"> </w:t>
      </w:r>
      <w:r>
        <w:fldChar w:fldCharType="begin"/>
      </w:r>
      <w:r>
        <w:instrText xml:space="preserve"> HYPERLINK "http://djecijidom.com/" </w:instrText>
      </w:r>
      <w:r>
        <w:fldChar w:fldCharType="separate"/>
      </w:r>
      <w:r>
        <w:rPr>
          <w:rStyle w:val="33"/>
          <w:rFonts w:cs="Calibri"/>
          <w:color w:val="auto"/>
          <w:sz w:val="18"/>
          <w:szCs w:val="18"/>
          <w:u w:val="none"/>
          <w:shd w:val="clear" w:color="auto" w:fill="FFFFFF"/>
          <w:lang w:val="sr-Cyrl-RS"/>
        </w:rPr>
        <w:t>http://djecijidom.com/</w:t>
      </w:r>
      <w:r>
        <w:rPr>
          <w:rStyle w:val="33"/>
          <w:rFonts w:cs="Calibri"/>
          <w:color w:val="auto"/>
          <w:sz w:val="18"/>
          <w:szCs w:val="18"/>
          <w:u w:val="none"/>
          <w:shd w:val="clear" w:color="auto" w:fill="FFFFFF"/>
          <w:lang w:val="sr-Cyrl-RS"/>
        </w:rPr>
        <w:fldChar w:fldCharType="end"/>
      </w:r>
    </w:p>
  </w:footnote>
  <w:footnote w:id="59">
    <w:p>
      <w:pPr>
        <w:pStyle w:val="17"/>
        <w:rPr>
          <w:lang w:val="sr-Latn-RS"/>
        </w:rPr>
      </w:pPr>
      <w:r>
        <w:rPr>
          <w:rStyle w:val="31"/>
        </w:rPr>
        <w:footnoteRef/>
      </w:r>
      <w:r>
        <w:rPr>
          <w:sz w:val="18"/>
          <w:szCs w:val="18"/>
        </w:rPr>
        <w:t xml:space="preserve"> </w:t>
      </w:r>
      <w:r>
        <w:fldChar w:fldCharType="begin"/>
      </w:r>
      <w:r>
        <w:instrText xml:space="preserve"> HYPERLINK "http://www.gerontoloskicentarbl.com/" </w:instrText>
      </w:r>
      <w:r>
        <w:fldChar w:fldCharType="separate"/>
      </w:r>
      <w:r>
        <w:rPr>
          <w:rStyle w:val="33"/>
          <w:rFonts w:cs="Calibri"/>
          <w:color w:val="auto"/>
          <w:sz w:val="18"/>
          <w:szCs w:val="18"/>
          <w:u w:val="none"/>
          <w:lang w:val="sr-Cyrl-BA"/>
        </w:rPr>
        <w:t>http://www.gerontoloskicentarbl.com/</w:t>
      </w:r>
      <w:r>
        <w:rPr>
          <w:rStyle w:val="33"/>
          <w:rFonts w:cs="Calibri"/>
          <w:color w:val="auto"/>
          <w:sz w:val="18"/>
          <w:szCs w:val="18"/>
          <w:u w:val="none"/>
          <w:lang w:val="sr-Cyrl-BA"/>
        </w:rPr>
        <w:fldChar w:fldCharType="end"/>
      </w:r>
    </w:p>
  </w:footnote>
  <w:footnote w:id="60">
    <w:p>
      <w:pPr>
        <w:pStyle w:val="17"/>
        <w:rPr>
          <w:sz w:val="18"/>
          <w:szCs w:val="18"/>
          <w:lang w:val="sr-Latn-RS"/>
        </w:rPr>
      </w:pPr>
      <w:r>
        <w:rPr>
          <w:rStyle w:val="31"/>
          <w:sz w:val="18"/>
          <w:szCs w:val="18"/>
        </w:rPr>
        <w:footnoteRef/>
      </w:r>
      <w:r>
        <w:rPr>
          <w:sz w:val="18"/>
          <w:szCs w:val="18"/>
        </w:rPr>
        <w:t xml:space="preserve"> </w:t>
      </w:r>
      <w:r>
        <w:fldChar w:fldCharType="begin"/>
      </w:r>
      <w:r>
        <w:instrText xml:space="preserve"> HYPERLINK "http://dompenzionera-bl.org" </w:instrText>
      </w:r>
      <w:r>
        <w:fldChar w:fldCharType="separate"/>
      </w:r>
      <w:r>
        <w:rPr>
          <w:rStyle w:val="33"/>
          <w:rFonts w:cs="Calibri"/>
          <w:color w:val="auto"/>
          <w:sz w:val="18"/>
          <w:szCs w:val="18"/>
          <w:u w:val="none"/>
          <w:lang w:val="sr-Cyrl-RS"/>
        </w:rPr>
        <w:t>http://dompenzionera-bl.org</w:t>
      </w:r>
      <w:r>
        <w:rPr>
          <w:rStyle w:val="33"/>
          <w:rFonts w:cs="Calibri"/>
          <w:color w:val="auto"/>
          <w:sz w:val="18"/>
          <w:szCs w:val="18"/>
          <w:u w:val="none"/>
          <w:lang w:val="sr-Cyrl-RS"/>
        </w:rPr>
        <w:fldChar w:fldCharType="end"/>
      </w:r>
    </w:p>
  </w:footnote>
  <w:footnote w:id="61">
    <w:p>
      <w:pPr>
        <w:pStyle w:val="17"/>
        <w:rPr>
          <w:lang w:val="sr-Cyrl-RS"/>
        </w:rPr>
      </w:pPr>
      <w:r>
        <w:rPr>
          <w:rStyle w:val="31"/>
        </w:rPr>
        <w:footnoteRef/>
      </w:r>
      <w:r>
        <w:t xml:space="preserve"> </w:t>
      </w:r>
      <w:r>
        <w:rPr>
          <w:lang w:val="sr-Cyrl-RS"/>
        </w:rPr>
        <w:t>Детаљније о опремљености ватрогасне јединице може се прочитати у дужој верзији ситуационе анализе, у прилогу Стратегије.</w:t>
      </w:r>
    </w:p>
  </w:footnote>
  <w:footnote w:id="62">
    <w:p>
      <w:pPr>
        <w:pStyle w:val="17"/>
        <w:rPr>
          <w:lang w:val="sr-Cyrl-RS"/>
        </w:rPr>
      </w:pPr>
      <w:r>
        <w:rPr>
          <w:rStyle w:val="31"/>
        </w:rPr>
        <w:footnoteRef/>
      </w:r>
      <w:r>
        <w:t xml:space="preserve"> </w:t>
      </w:r>
      <w:r>
        <w:fldChar w:fldCharType="begin"/>
      </w:r>
      <w:r>
        <w:instrText xml:space="preserve"> HYPERLINK "http://www2.banjaluka.rs.ba/static/uploads/clanci/2015/11/akcioni_plann.pdf" </w:instrText>
      </w:r>
      <w:r>
        <w:fldChar w:fldCharType="separate"/>
      </w:r>
      <w:r>
        <w:rPr>
          <w:rFonts w:eastAsia="Times New Roman" w:cs="Arial"/>
          <w:lang w:val="sr-Cyrl-RS"/>
        </w:rPr>
        <w:t>http://www2.banjaluka.rs.ba/static/uploads/clanci/2015/11/akcioni_plann.pdf</w:t>
      </w:r>
      <w:r>
        <w:rPr>
          <w:rFonts w:eastAsia="Times New Roman" w:cs="Arial"/>
          <w:lang w:val="sr-Cyrl-RS"/>
        </w:rPr>
        <w:fldChar w:fldCharType="end"/>
      </w:r>
    </w:p>
  </w:footnote>
  <w:footnote w:id="63">
    <w:p>
      <w:pPr>
        <w:pStyle w:val="17"/>
      </w:pPr>
      <w:r>
        <w:rPr>
          <w:rStyle w:val="31"/>
        </w:rPr>
        <w:footnoteRef/>
      </w:r>
      <w:r>
        <w:t>Просторни план града Бања Лука, 2014.г.</w:t>
      </w:r>
    </w:p>
  </w:footnote>
  <w:footnote w:id="64">
    <w:p>
      <w:pPr>
        <w:pStyle w:val="17"/>
      </w:pPr>
      <w:r>
        <w:rPr>
          <w:rStyle w:val="31"/>
        </w:rPr>
        <w:footnoteRef/>
      </w:r>
      <w:r>
        <w:t>Стратегија руралног развоја града Бања Лука 2010. – 2015., фебруар 2010.</w:t>
      </w:r>
    </w:p>
  </w:footnote>
  <w:footnote w:id="65">
    <w:p>
      <w:pPr>
        <w:pStyle w:val="17"/>
      </w:pPr>
      <w:r>
        <w:rPr>
          <w:rStyle w:val="31"/>
        </w:rPr>
        <w:footnoteRef/>
      </w:r>
      <w:r>
        <w:t xml:space="preserve"> http://www.bltoplana.com</w:t>
      </w:r>
    </w:p>
  </w:footnote>
  <w:footnote w:id="66">
    <w:p>
      <w:pPr>
        <w:pStyle w:val="17"/>
      </w:pPr>
      <w:r>
        <w:rPr>
          <w:rStyle w:val="31"/>
        </w:rPr>
        <w:footnoteRef/>
      </w:r>
      <w:r>
        <w:t xml:space="preserve"> Одјељење за комуналне послове Града Бања Лука, новембар 2017.г.</w:t>
      </w:r>
    </w:p>
  </w:footnote>
  <w:footnote w:id="67">
    <w:p>
      <w:pPr>
        <w:pStyle w:val="17"/>
        <w:rPr>
          <w:lang w:val="hr-HR"/>
        </w:rPr>
      </w:pPr>
      <w:r>
        <w:rPr>
          <w:rStyle w:val="31"/>
        </w:rPr>
        <w:footnoteRef/>
      </w:r>
      <w:r>
        <w:t xml:space="preserve"> Информација о пословању „Водовод” а.д. Бањалука у 2016. gодини, Одјељење за привреду, април 2017.</w:t>
      </w:r>
    </w:p>
  </w:footnote>
  <w:footnote w:id="68">
    <w:p>
      <w:pPr>
        <w:pStyle w:val="17"/>
      </w:pPr>
      <w:r>
        <w:rPr>
          <w:rStyle w:val="31"/>
        </w:rPr>
        <w:footnoteRef/>
      </w:r>
      <w:r>
        <w:t>Просторни план града Бања Лука, 2014.г.</w:t>
      </w:r>
    </w:p>
  </w:footnote>
  <w:footnote w:id="69">
    <w:p>
      <w:pPr>
        <w:pStyle w:val="17"/>
        <w:rPr>
          <w:sz w:val="18"/>
          <w:szCs w:val="18"/>
        </w:rPr>
      </w:pPr>
      <w:r>
        <w:rPr>
          <w:rStyle w:val="31"/>
          <w:sz w:val="18"/>
          <w:szCs w:val="18"/>
        </w:rPr>
        <w:footnoteRef/>
      </w:r>
      <w:r>
        <w:rPr>
          <w:sz w:val="18"/>
          <w:szCs w:val="18"/>
        </w:rPr>
        <w:t>Стратегија руралног развоја града Бања Лука 2010. – 2015., фебруар 2010.</w:t>
      </w:r>
    </w:p>
  </w:footnote>
  <w:footnote w:id="70">
    <w:p>
      <w:pPr>
        <w:pStyle w:val="17"/>
        <w:rPr>
          <w:lang w:val="sr-Cyrl-RS"/>
        </w:rPr>
      </w:pPr>
      <w:r>
        <w:rPr>
          <w:rStyle w:val="31"/>
        </w:rPr>
        <w:footnoteRef/>
      </w:r>
      <w:r>
        <w:t xml:space="preserve"> </w:t>
      </w:r>
      <w:r>
        <w:rPr>
          <w:lang w:val="sr-Cyrl-RS"/>
        </w:rPr>
        <w:t>Детаљни подаци о квалитету ваздуха могу се погледати у дужој верзији ситуационе анализе у прилогу Стратегије.</w:t>
      </w:r>
    </w:p>
  </w:footnote>
  <w:footnote w:id="71">
    <w:p>
      <w:pPr>
        <w:pStyle w:val="17"/>
      </w:pPr>
      <w:r>
        <w:rPr>
          <w:rStyle w:val="31"/>
        </w:rPr>
        <w:footnoteRef/>
      </w:r>
      <w:r>
        <w:t>Локални еколошки акциони план за град Бања Луку за период 2016-2021. године, децембар 2015.</w:t>
      </w:r>
    </w:p>
  </w:footnote>
  <w:footnote w:id="72">
    <w:p>
      <w:pPr>
        <w:pStyle w:val="17"/>
      </w:pPr>
      <w:r>
        <w:rPr>
          <w:rStyle w:val="31"/>
        </w:rPr>
        <w:footnoteRef/>
      </w:r>
      <w:r>
        <w:t>Одјељење за комуналне послове Града Бања Лука, новембар 2017.г.</w:t>
      </w:r>
    </w:p>
  </w:footnote>
  <w:footnote w:id="73">
    <w:p>
      <w:pPr>
        <w:pStyle w:val="17"/>
      </w:pPr>
      <w:r>
        <w:rPr>
          <w:rStyle w:val="31"/>
        </w:rPr>
        <w:footnoteRef/>
      </w:r>
      <w:r>
        <w:t>Локални еколошки акциони план за град Бања Луку за период 2016-2021. године, децембар 2015.</w:t>
      </w:r>
    </w:p>
  </w:footnote>
  <w:footnote w:id="74">
    <w:p>
      <w:pPr>
        <w:pStyle w:val="17"/>
      </w:pPr>
      <w:r>
        <w:rPr>
          <w:rStyle w:val="31"/>
        </w:rPr>
        <w:footnoteRef/>
      </w:r>
      <w:r>
        <w:t>Локални еколошки акциони план за град Бања Луку за период 2016-2021. године, децембар 2015.</w:t>
      </w:r>
    </w:p>
  </w:footnote>
  <w:footnote w:id="75">
    <w:p>
      <w:pPr>
        <w:pStyle w:val="17"/>
      </w:pPr>
      <w:r>
        <w:rPr>
          <w:rStyle w:val="31"/>
        </w:rPr>
        <w:footnoteRef/>
      </w:r>
      <w:r>
        <w:t>Одјељења за привреду</w:t>
      </w:r>
      <w:r>
        <w:rPr>
          <w:lang w:val="bs-Latn-BA"/>
        </w:rPr>
        <w:t xml:space="preserve"> </w:t>
      </w:r>
      <w:r>
        <w:t>града Бања Лука, новембар 2017.</w:t>
      </w:r>
    </w:p>
  </w:footnote>
  <w:footnote w:id="76">
    <w:p>
      <w:pPr>
        <w:pStyle w:val="17"/>
      </w:pPr>
      <w:r>
        <w:rPr>
          <w:rStyle w:val="31"/>
        </w:rPr>
        <w:footnoteRef/>
      </w:r>
      <w:r>
        <w:t>Просторни план града Бања Лука, 2014.г.</w:t>
      </w:r>
    </w:p>
  </w:footnote>
  <w:footnote w:id="77">
    <w:p>
      <w:pPr>
        <w:pStyle w:val="17"/>
      </w:pPr>
      <w:r>
        <w:rPr>
          <w:rStyle w:val="31"/>
        </w:rPr>
        <w:footnoteRef/>
      </w:r>
      <w:r>
        <w:t>Локални еколошки акциони план за град Бања Луку за период 2016-2021. године, децембар 2015.</w:t>
      </w:r>
    </w:p>
  </w:footnote>
  <w:footnote w:id="78">
    <w:p>
      <w:pPr>
        <w:pStyle w:val="17"/>
      </w:pPr>
      <w:r>
        <w:rPr>
          <w:rStyle w:val="31"/>
        </w:rPr>
        <w:footnoteRef/>
      </w:r>
      <w:r>
        <w:t xml:space="preserve"> </w:t>
      </w:r>
      <w:r>
        <w:rPr>
          <w:rFonts w:asciiTheme="minorHAnsi" w:hAnsiTheme="minorHAnsi" w:cstheme="minorHAnsi"/>
          <w:color w:val="1A1617"/>
          <w:sz w:val="18"/>
          <w:szCs w:val="18"/>
        </w:rPr>
        <w:t>ЈП Шумарства РС "Шуме РС" А.д. Соколац, Шумско газдинство "Бања Лука", Бања Лука, новембар 2017. године</w:t>
      </w:r>
    </w:p>
  </w:footnote>
  <w:footnote w:id="79">
    <w:p>
      <w:pPr>
        <w:pStyle w:val="17"/>
      </w:pPr>
      <w:r>
        <w:rPr>
          <w:rStyle w:val="31"/>
        </w:rPr>
        <w:footnoteRef/>
      </w:r>
      <w:r>
        <w:t>Локални еколошки акциони</w:t>
      </w:r>
      <w:r>
        <w:rPr>
          <w:lang w:val="bs-Latn-BA"/>
        </w:rPr>
        <w:t xml:space="preserve"> </w:t>
      </w:r>
      <w:r>
        <w:t>план за град Бања Луку</w:t>
      </w:r>
      <w:r>
        <w:rPr>
          <w:lang w:val="bs-Latn-BA"/>
        </w:rPr>
        <w:t xml:space="preserve"> </w:t>
      </w:r>
      <w:r>
        <w:t>за период 2016-2021. године, децембар 2015.</w:t>
      </w:r>
    </w:p>
  </w:footnote>
  <w:footnote w:id="80">
    <w:p>
      <w:pPr>
        <w:pStyle w:val="17"/>
      </w:pPr>
      <w:r>
        <w:rPr>
          <w:rStyle w:val="31"/>
        </w:rPr>
        <w:footnoteRef/>
      </w:r>
      <w:r>
        <w:t>Стратегија руралног развоја града Бања Лука 2010 – 2015. , фебруар 2010.</w:t>
      </w:r>
    </w:p>
  </w:footnote>
  <w:footnote w:id="81">
    <w:p>
      <w:pPr>
        <w:pStyle w:val="17"/>
      </w:pPr>
      <w:r>
        <w:rPr>
          <w:rStyle w:val="31"/>
        </w:rPr>
        <w:footnoteRef/>
      </w:r>
      <w:r>
        <w:t>Стратегија развоја града Бања Лука 2007-2019.</w:t>
      </w:r>
    </w:p>
  </w:footnote>
  <w:footnote w:id="82">
    <w:p>
      <w:pPr>
        <w:pStyle w:val="17"/>
        <w:jc w:val="both"/>
      </w:pPr>
      <w:r>
        <w:rPr>
          <w:rStyle w:val="31"/>
        </w:rPr>
        <w:footnoteRef/>
      </w:r>
      <w:r>
        <w:t xml:space="preserve"> Информација о пословању јавног предузећа „Деп-от“ Бањалука у 2016. </w:t>
      </w:r>
      <w:r>
        <w:rPr>
          <w:lang w:val="sr-Cyrl-CS"/>
        </w:rPr>
        <w:t>г</w:t>
      </w:r>
      <w:r>
        <w:t>одини, Одјељење за привреду, април 2017.г.</w:t>
      </w:r>
    </w:p>
  </w:footnote>
  <w:footnote w:id="83">
    <w:p>
      <w:pPr>
        <w:pStyle w:val="17"/>
        <w:jc w:val="both"/>
      </w:pPr>
      <w:r>
        <w:rPr>
          <w:rStyle w:val="31"/>
        </w:rPr>
        <w:footnoteRef/>
      </w:r>
      <w:r>
        <w:t>Локални еколошки акциони</w:t>
      </w:r>
      <w:r>
        <w:rPr>
          <w:lang w:val="bs-Latn-BA"/>
        </w:rPr>
        <w:t xml:space="preserve"> </w:t>
      </w:r>
      <w:r>
        <w:t>план за град Бања Луку</w:t>
      </w:r>
      <w:r>
        <w:rPr>
          <w:lang w:val="bs-Latn-BA"/>
        </w:rPr>
        <w:t xml:space="preserve"> </w:t>
      </w:r>
      <w:r>
        <w:t>за период 2016-2021. године, децембар 2015.</w:t>
      </w:r>
    </w:p>
  </w:footnote>
  <w:footnote w:id="84">
    <w:p>
      <w:pPr>
        <w:pStyle w:val="17"/>
        <w:jc w:val="both"/>
      </w:pPr>
      <w:r>
        <w:rPr>
          <w:rStyle w:val="31"/>
        </w:rPr>
        <w:footnoteRef/>
      </w:r>
      <w:r>
        <w:fldChar w:fldCharType="begin"/>
      </w:r>
      <w:r>
        <w:instrText xml:space="preserve"> HYPERLINK "http://www.banjaluka.rs.ba" </w:instrText>
      </w:r>
      <w:r>
        <w:fldChar w:fldCharType="separate"/>
      </w:r>
      <w:r>
        <w:rPr>
          <w:rStyle w:val="33"/>
          <w:color w:val="auto"/>
          <w:u w:val="none"/>
        </w:rPr>
        <w:t>http://www.banjaluka.rs.ba</w:t>
      </w:r>
      <w:r>
        <w:rPr>
          <w:rStyle w:val="33"/>
          <w:color w:val="auto"/>
          <w:u w:val="none"/>
        </w:rPr>
        <w:fldChar w:fldCharType="end"/>
      </w:r>
    </w:p>
  </w:footnote>
  <w:footnote w:id="85">
    <w:p>
      <w:pPr>
        <w:pStyle w:val="17"/>
      </w:pPr>
      <w:r>
        <w:rPr>
          <w:rStyle w:val="31"/>
        </w:rPr>
        <w:footnoteRef/>
      </w:r>
      <w:r>
        <w:t xml:space="preserve"> Акциони план енергетске</w:t>
      </w:r>
      <w:r>
        <w:rPr>
          <w:lang w:val="bs-Latn-BA"/>
        </w:rPr>
        <w:t xml:space="preserve"> </w:t>
      </w:r>
      <w:r>
        <w:t>ефикасности (АПЕЕ) града Бања</w:t>
      </w:r>
      <w:r>
        <w:rPr>
          <w:lang w:val="bs-Latn-BA"/>
        </w:rPr>
        <w:t xml:space="preserve"> </w:t>
      </w:r>
      <w:r>
        <w:t>Лука за период од 2016. до 2019. године, фебруар 2016.</w:t>
      </w:r>
    </w:p>
  </w:footnote>
  <w:footnote w:id="86">
    <w:p>
      <w:pPr>
        <w:pStyle w:val="17"/>
      </w:pPr>
      <w:r>
        <w:rPr>
          <w:rStyle w:val="31"/>
        </w:rPr>
        <w:footnoteRef/>
      </w:r>
      <w:r>
        <w:t>Локални еколошки акциони</w:t>
      </w:r>
      <w:r>
        <w:rPr>
          <w:lang w:val="bs-Latn-BA"/>
        </w:rPr>
        <w:t xml:space="preserve"> </w:t>
      </w:r>
      <w:r>
        <w:t>план за град Бања Луку</w:t>
      </w:r>
      <w:r>
        <w:rPr>
          <w:lang w:val="bs-Latn-BA"/>
        </w:rPr>
        <w:t xml:space="preserve"> </w:t>
      </w:r>
      <w:r>
        <w:t>за период 2016-2021. године, децембар 2015.</w:t>
      </w:r>
    </w:p>
  </w:footnote>
  <w:footnote w:id="87">
    <w:p>
      <w:pPr>
        <w:pStyle w:val="17"/>
        <w:rPr>
          <w:lang w:val="sr-Cyrl-RS"/>
        </w:rPr>
      </w:pPr>
      <w:r>
        <w:rPr>
          <w:rStyle w:val="31"/>
        </w:rPr>
        <w:footnoteRef/>
      </w:r>
      <w:r>
        <w:t xml:space="preserve"> </w:t>
      </w:r>
      <w:r>
        <w:rPr>
          <w:rFonts w:eastAsia="Times New Roman" w:asciiTheme="minorHAnsi" w:hAnsiTheme="minorHAnsi"/>
          <w:bCs/>
          <w:kern w:val="32"/>
          <w:lang w:val="sr-Cyrl-RS"/>
        </w:rPr>
        <w:t>„Службени гласник Републике Српске“, број 97/16</w:t>
      </w:r>
    </w:p>
  </w:footnote>
  <w:footnote w:id="88">
    <w:p>
      <w:pPr>
        <w:pStyle w:val="17"/>
        <w:rPr>
          <w:lang w:val="sr-Cyrl-RS"/>
        </w:rPr>
      </w:pPr>
      <w:r>
        <w:rPr>
          <w:rStyle w:val="31"/>
        </w:rPr>
        <w:footnoteRef/>
      </w:r>
      <w:r>
        <w:t xml:space="preserve"> </w:t>
      </w:r>
      <w:r>
        <w:rPr>
          <w:rFonts w:eastAsia="Times New Roman" w:asciiTheme="minorHAnsi" w:hAnsiTheme="minorHAnsi"/>
          <w:bCs/>
          <w:kern w:val="32"/>
          <w:lang w:val="sr-Cyrl-RS"/>
        </w:rPr>
        <w:t>„Службени гласник Републике Српске“, број 36/16</w:t>
      </w:r>
    </w:p>
  </w:footnote>
  <w:footnote w:id="89">
    <w:p>
      <w:pPr>
        <w:pStyle w:val="17"/>
      </w:pPr>
      <w:r>
        <w:rPr>
          <w:rStyle w:val="31"/>
        </w:rPr>
        <w:footnoteRef/>
      </w:r>
      <w:r>
        <w:t xml:space="preserve"> </w:t>
      </w:r>
      <w:r>
        <w:rPr>
          <w:lang w:val="sr-Cyrl-RS"/>
        </w:rPr>
        <w:t xml:space="preserve">Осим </w:t>
      </w:r>
      <w:r>
        <w:rPr>
          <w:rFonts w:eastAsia="Times New Roman" w:asciiTheme="minorHAnsi" w:hAnsiTheme="minorHAnsi"/>
          <w:bCs/>
          <w:kern w:val="32"/>
          <w:lang w:val="sr-Cyrl-CS"/>
        </w:rPr>
        <w:t xml:space="preserve">Одјељења за комуналне послове, </w:t>
      </w:r>
      <w:r>
        <w:rPr>
          <w:rFonts w:eastAsia="Times New Roman" w:asciiTheme="minorHAnsi" w:hAnsiTheme="minorHAnsi"/>
          <w:bCs/>
          <w:kern w:val="32"/>
          <w:lang w:val="hr-HR"/>
        </w:rPr>
        <w:t>борачко-инвалидску заштиту</w:t>
      </w:r>
      <w:r>
        <w:rPr>
          <w:rFonts w:eastAsia="Times New Roman" w:asciiTheme="minorHAnsi" w:hAnsiTheme="minorHAnsi"/>
          <w:bCs/>
          <w:kern w:val="32"/>
          <w:lang w:val="sr-Cyrl-CS"/>
        </w:rPr>
        <w:t>, комуналне полиције, инспекцијске послове, културу, туризам и социјалну политику и образовање, здравство, омладину и спорт (без одсјека).</w:t>
      </w:r>
    </w:p>
  </w:footnote>
  <w:footnote w:id="90">
    <w:p>
      <w:pPr>
        <w:pStyle w:val="17"/>
      </w:pPr>
      <w:r>
        <w:rPr>
          <w:rStyle w:val="31"/>
        </w:rPr>
        <w:footnoteRef/>
      </w:r>
      <w:r>
        <w:t xml:space="preserve"> </w:t>
      </w:r>
      <w:r>
        <w:rPr>
          <w:rFonts w:eastAsia="Times New Roman" w:asciiTheme="minorHAnsi" w:hAnsiTheme="minorHAnsi"/>
          <w:bCs/>
          <w:kern w:val="32"/>
          <w:lang w:val="sr-Cyrl-CS"/>
        </w:rPr>
        <w:t>(„Службени гласник Републике Српске“, број 97/16</w:t>
      </w:r>
    </w:p>
  </w:footnote>
  <w:footnote w:id="91">
    <w:p>
      <w:pPr>
        <w:pStyle w:val="17"/>
      </w:pPr>
      <w:r>
        <w:rPr>
          <w:rStyle w:val="31"/>
        </w:rPr>
        <w:footnoteRef/>
      </w:r>
      <w:r>
        <w:t xml:space="preserve"> </w:t>
      </w:r>
      <w:r>
        <w:rPr>
          <w:rFonts w:eastAsia="Times New Roman" w:asciiTheme="minorHAnsi" w:hAnsiTheme="minorHAnsi"/>
          <w:bCs/>
          <w:kern w:val="32"/>
          <w:lang w:val="sr-Cyrl-RS"/>
        </w:rPr>
        <w:t>„Службени гласник Републике Српске“, бр. 96/05 и 98/13</w:t>
      </w:r>
    </w:p>
  </w:footnote>
  <w:footnote w:id="92">
    <w:p>
      <w:pPr>
        <w:pStyle w:val="17"/>
      </w:pPr>
      <w:r>
        <w:rPr>
          <w:rStyle w:val="31"/>
        </w:rPr>
        <w:footnoteRef/>
      </w:r>
      <w:r>
        <w:t xml:space="preserve"> </w:t>
      </w:r>
      <w:r>
        <w:rPr>
          <w:rFonts w:eastAsia="Times New Roman" w:asciiTheme="minorHAnsi" w:hAnsiTheme="minorHAnsi"/>
          <w:bCs/>
          <w:kern w:val="32"/>
          <w:lang w:val="sr-Cyrl-CS"/>
        </w:rPr>
        <w:t>„Службени гласник Републике Српске“, број 97/16</w:t>
      </w:r>
    </w:p>
  </w:footnote>
  <w:footnote w:id="93">
    <w:p>
      <w:pPr>
        <w:pStyle w:val="17"/>
      </w:pPr>
      <w:r>
        <w:rPr>
          <w:rStyle w:val="31"/>
        </w:rPr>
        <w:footnoteRef/>
      </w:r>
      <w:r>
        <w:t xml:space="preserve"> </w:t>
      </w:r>
      <w:r>
        <w:rPr>
          <w:lang w:val="sr-Cyrl-BA"/>
        </w:rPr>
        <w:t>„Служебни гласник града Бања Лука“ број 11/14</w:t>
      </w:r>
    </w:p>
  </w:footnote>
  <w:footnote w:id="94">
    <w:p>
      <w:pPr>
        <w:pStyle w:val="17"/>
      </w:pPr>
      <w:r>
        <w:rPr>
          <w:rStyle w:val="31"/>
        </w:rPr>
        <w:footnoteRef/>
      </w:r>
      <w:r>
        <w:t xml:space="preserve"> </w:t>
      </w:r>
      <w:r>
        <w:rPr>
          <w:rFonts w:asciiTheme="minorHAnsi" w:hAnsiTheme="minorHAnsi" w:cstheme="minorHAnsi"/>
          <w:lang w:val="sr-Cyrl-RS"/>
        </w:rPr>
        <w:t>Планом рада Одјељења и Програмом рада Скупштине града</w:t>
      </w:r>
    </w:p>
  </w:footnote>
  <w:footnote w:id="95">
    <w:p>
      <w:pPr>
        <w:pStyle w:val="17"/>
        <w:rPr>
          <w:lang w:val="sr-Cyrl-RS"/>
        </w:rPr>
      </w:pPr>
      <w:r>
        <w:rPr>
          <w:rStyle w:val="31"/>
        </w:rPr>
        <w:footnoteRef/>
      </w:r>
      <w:r>
        <w:t xml:space="preserve"> </w:t>
      </w:r>
      <w:r>
        <w:rPr>
          <w:lang w:val="sr-Cyrl-RS"/>
        </w:rPr>
        <w:t>Типологија бесправне градње детаљније је описана у дужој верзији ситуационе анализе у прилогу Стратегије</w:t>
      </w:r>
    </w:p>
  </w:footnote>
  <w:footnote w:id="96">
    <w:p>
      <w:pPr>
        <w:pStyle w:val="17"/>
        <w:jc w:val="both"/>
        <w:rPr>
          <w:sz w:val="18"/>
          <w:szCs w:val="18"/>
          <w:lang w:val="sr-Cyrl-RS"/>
        </w:rPr>
      </w:pPr>
      <w:r>
        <w:rPr>
          <w:rStyle w:val="31"/>
          <w:sz w:val="18"/>
          <w:szCs w:val="18"/>
        </w:rPr>
        <w:footnoteRef/>
      </w:r>
      <w:r>
        <w:rPr>
          <w:sz w:val="18"/>
          <w:szCs w:val="18"/>
        </w:rPr>
        <w:t xml:space="preserve"> </w:t>
      </w:r>
      <w:r>
        <w:rPr>
          <w:sz w:val="18"/>
          <w:szCs w:val="18"/>
          <w:lang w:val="sr-Cyrl-RS"/>
        </w:rPr>
        <w:t xml:space="preserve">У складу са принципима Сертификације градова и општина са повољним пословним окружењем у Југоисточној Европи </w:t>
      </w:r>
      <w:r>
        <w:rPr>
          <w:sz w:val="18"/>
          <w:szCs w:val="18"/>
          <w:lang w:val="sr-Latn-RS"/>
        </w:rPr>
        <w:t xml:space="preserve">- </w:t>
      </w:r>
      <w:r>
        <w:rPr>
          <w:i/>
          <w:sz w:val="18"/>
          <w:szCs w:val="18"/>
        </w:rPr>
        <w:t>Business-Friendly Certification – South-East Europe (BFC SEE)</w:t>
      </w:r>
    </w:p>
  </w:footnote>
  <w:footnote w:id="97">
    <w:p>
      <w:pPr>
        <w:pStyle w:val="17"/>
        <w:rPr>
          <w:lang w:val="fr-FR"/>
        </w:rPr>
      </w:pPr>
      <w:r>
        <w:rPr>
          <w:rStyle w:val="31"/>
        </w:rPr>
        <w:footnoteRef/>
      </w:r>
      <w:r>
        <w:t xml:space="preserve"> </w:t>
      </w:r>
      <w:r>
        <w:rPr>
          <w:lang w:val="fr-FR"/>
        </w:rPr>
        <w:t>Europe’s Digital Agenda 2020 - http://eige.europa.eu/resources/digital_agenda_en.pdf</w:t>
      </w:r>
    </w:p>
  </w:footnote>
  <w:footnote w:id="98">
    <w:p>
      <w:pPr>
        <w:rPr>
          <w:sz w:val="18"/>
          <w:szCs w:val="18"/>
        </w:rPr>
      </w:pPr>
      <w:r>
        <w:rPr>
          <w:rStyle w:val="31"/>
          <w:rFonts w:cs="Calibri"/>
          <w:sz w:val="18"/>
          <w:szCs w:val="18"/>
        </w:rPr>
        <w:footnoteRef/>
      </w:r>
      <w:r>
        <w:rPr>
          <w:rFonts w:cs="Calibri"/>
          <w:sz w:val="18"/>
          <w:szCs w:val="18"/>
        </w:rPr>
        <w:t xml:space="preserve"> </w:t>
      </w:r>
      <w:r>
        <w:fldChar w:fldCharType="begin"/>
      </w:r>
      <w:r>
        <w:instrText xml:space="preserve"> HYPERLINK "https://phys.org/news/2009-03-green-cities.html" \l "jCp" </w:instrText>
      </w:r>
      <w:r>
        <w:fldChar w:fldCharType="separate"/>
      </w:r>
      <w:r>
        <w:rPr>
          <w:rStyle w:val="33"/>
          <w:rFonts w:cs="Calibri"/>
          <w:color w:val="auto"/>
          <w:sz w:val="18"/>
          <w:szCs w:val="18"/>
          <w:u w:val="none"/>
          <w:shd w:val="clear" w:color="auto" w:fill="FFFFFF"/>
        </w:rPr>
        <w:t>https://phys.org/news/2009-03-green-cities.html#jCp</w:t>
      </w:r>
      <w:r>
        <w:rPr>
          <w:rStyle w:val="33"/>
          <w:rFonts w:cs="Calibri"/>
          <w:color w:val="auto"/>
          <w:sz w:val="18"/>
          <w:szCs w:val="18"/>
          <w:u w:val="none"/>
          <w:shd w:val="clear" w:color="auto" w:fill="FFFFFF"/>
        </w:rPr>
        <w:fldChar w:fldCharType="end"/>
      </w:r>
      <w:r>
        <w:rPr>
          <w:rFonts w:cs="Calibri"/>
          <w:sz w:val="18"/>
          <w:szCs w:val="18"/>
        </w:rPr>
        <w:t xml:space="preserve"> </w:t>
      </w:r>
    </w:p>
  </w:footnote>
  <w:footnote w:id="99">
    <w:p>
      <w:pPr>
        <w:pStyle w:val="17"/>
        <w:rPr>
          <w:lang w:val="sr-Latn-RS"/>
        </w:rPr>
      </w:pPr>
      <w:r>
        <w:rPr>
          <w:rStyle w:val="31"/>
          <w:sz w:val="18"/>
          <w:szCs w:val="18"/>
        </w:rPr>
        <w:footnoteRef/>
      </w:r>
      <w:r>
        <w:rPr>
          <w:sz w:val="18"/>
          <w:szCs w:val="18"/>
        </w:rPr>
        <w:t xml:space="preserve"> </w:t>
      </w:r>
      <w:r>
        <w:fldChar w:fldCharType="begin"/>
      </w:r>
      <w:r>
        <w:instrText xml:space="preserve"> HYPERLINK "https://ec.europa.eu/programmes/creative-europe/actions/capitals-culture_en" </w:instrText>
      </w:r>
      <w:r>
        <w:fldChar w:fldCharType="separate"/>
      </w:r>
      <w:r>
        <w:rPr>
          <w:rStyle w:val="33"/>
          <w:color w:val="auto"/>
          <w:sz w:val="18"/>
          <w:szCs w:val="18"/>
          <w:u w:val="none"/>
        </w:rPr>
        <w:t>https://ec.europa.eu/programmes/creative-europe/actions/capitals-culture_en</w:t>
      </w:r>
      <w:r>
        <w:rPr>
          <w:rStyle w:val="33"/>
          <w:color w:val="auto"/>
          <w:sz w:val="18"/>
          <w:szCs w:val="18"/>
          <w:u w:val="none"/>
        </w:rPr>
        <w:fldChar w:fldCharType="end"/>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9"/>
      <w:lvlText w:val=""/>
      <w:lvlJc w:val="left"/>
      <w:pPr>
        <w:tabs>
          <w:tab w:val="left" w:pos="360"/>
        </w:tabs>
        <w:ind w:left="360" w:hanging="360"/>
      </w:pPr>
      <w:rPr>
        <w:rFonts w:hint="default" w:ascii="Symbol" w:hAnsi="Symbol"/>
      </w:rPr>
    </w:lvl>
  </w:abstractNum>
  <w:abstractNum w:abstractNumId="1">
    <w:nsid w:val="005C0889"/>
    <w:multiLevelType w:val="multilevel"/>
    <w:tmpl w:val="005C08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12934D5"/>
    <w:multiLevelType w:val="multilevel"/>
    <w:tmpl w:val="012934D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1CD4E1D"/>
    <w:multiLevelType w:val="multilevel"/>
    <w:tmpl w:val="01CD4E1D"/>
    <w:lvl w:ilvl="0" w:tentative="0">
      <w:start w:val="1"/>
      <w:numFmt w:val="bullet"/>
      <w:lvlText w:val=""/>
      <w:lvlJc w:val="left"/>
      <w:pPr>
        <w:tabs>
          <w:tab w:val="left" w:pos="450"/>
        </w:tabs>
        <w:ind w:left="450" w:hanging="360"/>
      </w:pPr>
      <w:rPr>
        <w:rFonts w:hint="default" w:ascii="Symbol" w:hAnsi="Symbol"/>
      </w:rPr>
    </w:lvl>
    <w:lvl w:ilvl="1" w:tentative="0">
      <w:start w:val="1"/>
      <w:numFmt w:val="decimal"/>
      <w:lvlText w:val="%2."/>
      <w:lvlJc w:val="left"/>
      <w:pPr>
        <w:tabs>
          <w:tab w:val="left" w:pos="1170"/>
        </w:tabs>
        <w:ind w:left="1170" w:hanging="360"/>
      </w:pPr>
    </w:lvl>
    <w:lvl w:ilvl="2" w:tentative="0">
      <w:start w:val="1"/>
      <w:numFmt w:val="decimal"/>
      <w:lvlText w:val="%3."/>
      <w:lvlJc w:val="left"/>
      <w:pPr>
        <w:tabs>
          <w:tab w:val="left" w:pos="1890"/>
        </w:tabs>
        <w:ind w:left="1890" w:hanging="360"/>
      </w:pPr>
    </w:lvl>
    <w:lvl w:ilvl="3" w:tentative="0">
      <w:start w:val="1"/>
      <w:numFmt w:val="decimal"/>
      <w:lvlText w:val="%4."/>
      <w:lvlJc w:val="left"/>
      <w:pPr>
        <w:tabs>
          <w:tab w:val="left" w:pos="2610"/>
        </w:tabs>
        <w:ind w:left="2610" w:hanging="360"/>
      </w:pPr>
    </w:lvl>
    <w:lvl w:ilvl="4" w:tentative="0">
      <w:start w:val="1"/>
      <w:numFmt w:val="decimal"/>
      <w:lvlText w:val="%5."/>
      <w:lvlJc w:val="left"/>
      <w:pPr>
        <w:tabs>
          <w:tab w:val="left" w:pos="3330"/>
        </w:tabs>
        <w:ind w:left="3330" w:hanging="360"/>
      </w:pPr>
    </w:lvl>
    <w:lvl w:ilvl="5" w:tentative="0">
      <w:start w:val="1"/>
      <w:numFmt w:val="decimal"/>
      <w:lvlText w:val="%6."/>
      <w:lvlJc w:val="left"/>
      <w:pPr>
        <w:tabs>
          <w:tab w:val="left" w:pos="4050"/>
        </w:tabs>
        <w:ind w:left="4050" w:hanging="360"/>
      </w:pPr>
    </w:lvl>
    <w:lvl w:ilvl="6" w:tentative="0">
      <w:start w:val="1"/>
      <w:numFmt w:val="decimal"/>
      <w:lvlText w:val="%7."/>
      <w:lvlJc w:val="left"/>
      <w:pPr>
        <w:tabs>
          <w:tab w:val="left" w:pos="4770"/>
        </w:tabs>
        <w:ind w:left="4770" w:hanging="360"/>
      </w:pPr>
    </w:lvl>
    <w:lvl w:ilvl="7" w:tentative="0">
      <w:start w:val="1"/>
      <w:numFmt w:val="decimal"/>
      <w:lvlText w:val="%8."/>
      <w:lvlJc w:val="left"/>
      <w:pPr>
        <w:tabs>
          <w:tab w:val="left" w:pos="5490"/>
        </w:tabs>
        <w:ind w:left="5490" w:hanging="360"/>
      </w:pPr>
    </w:lvl>
    <w:lvl w:ilvl="8" w:tentative="0">
      <w:start w:val="1"/>
      <w:numFmt w:val="decimal"/>
      <w:lvlText w:val="%9."/>
      <w:lvlJc w:val="left"/>
      <w:pPr>
        <w:tabs>
          <w:tab w:val="left" w:pos="6210"/>
        </w:tabs>
        <w:ind w:left="6210" w:hanging="360"/>
      </w:pPr>
    </w:lvl>
  </w:abstractNum>
  <w:abstractNum w:abstractNumId="4">
    <w:nsid w:val="01E27A9F"/>
    <w:multiLevelType w:val="multilevel"/>
    <w:tmpl w:val="01E27A9F"/>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02AF16F6"/>
    <w:multiLevelType w:val="multilevel"/>
    <w:tmpl w:val="02AF16F6"/>
    <w:lvl w:ilvl="0" w:tentative="0">
      <w:start w:val="1"/>
      <w:numFmt w:val="decimal"/>
      <w:lvlText w:val="%1."/>
      <w:lvlJc w:val="left"/>
      <w:pPr>
        <w:ind w:left="720" w:hanging="360"/>
      </w:pPr>
      <w:rPr>
        <w:rFonts w:ascii="Calibri" w:hAnsi="Calibri" w:eastAsia="Calibri" w:cs="Calibr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3782F83"/>
    <w:multiLevelType w:val="multilevel"/>
    <w:tmpl w:val="03782F83"/>
    <w:lvl w:ilvl="0" w:tentative="0">
      <w:start w:val="1"/>
      <w:numFmt w:val="upperRoman"/>
      <w:pStyle w:val="148"/>
      <w:lvlText w:val="%1."/>
      <w:lvlJc w:val="left"/>
      <w:pPr>
        <w:ind w:left="284" w:hanging="284"/>
      </w:pPr>
      <w:rPr>
        <w:sz w:val="36"/>
      </w:rPr>
    </w:lvl>
    <w:lvl w:ilvl="1" w:tentative="0">
      <w:start w:val="1"/>
      <w:numFmt w:val="decimal"/>
      <w:pStyle w:val="149"/>
      <w:lvlText w:val="%2."/>
      <w:lvlJc w:val="left"/>
      <w:pPr>
        <w:ind w:left="567" w:hanging="283"/>
      </w:pPr>
    </w:lvl>
    <w:lvl w:ilvl="2" w:tentative="0">
      <w:start w:val="1"/>
      <w:numFmt w:val="decimal"/>
      <w:pStyle w:val="150"/>
      <w:lvlText w:val="%2.%3."/>
      <w:lvlJc w:val="left"/>
      <w:pPr>
        <w:ind w:left="907" w:hanging="340"/>
      </w:pPr>
    </w:lvl>
    <w:lvl w:ilvl="3" w:tentative="0">
      <w:start w:val="1"/>
      <w:numFmt w:val="decimal"/>
      <w:pStyle w:val="151"/>
      <w:lvlText w:val="%2.%3.%4."/>
      <w:lvlJc w:val="left"/>
      <w:pPr>
        <w:ind w:left="1363" w:hanging="283"/>
      </w:pPr>
      <w:rPr>
        <w:sz w:val="24"/>
      </w:rPr>
    </w:lvl>
    <w:lvl w:ilvl="4" w:tentative="0">
      <w:start w:val="1"/>
      <w:numFmt w:val="decimal"/>
      <w:pStyle w:val="152"/>
      <w:lvlText w:val="%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7">
    <w:nsid w:val="04624EE6"/>
    <w:multiLevelType w:val="multilevel"/>
    <w:tmpl w:val="04624EE6"/>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8">
    <w:nsid w:val="050B2A43"/>
    <w:multiLevelType w:val="multilevel"/>
    <w:tmpl w:val="050B2A43"/>
    <w:lvl w:ilvl="0" w:tentative="0">
      <w:start w:val="1"/>
      <w:numFmt w:val="decimal"/>
      <w:lvlText w:val="%1."/>
      <w:lvlJc w:val="left"/>
      <w:pPr>
        <w:ind w:left="810" w:hanging="360"/>
      </w:pPr>
      <w:rPr>
        <w:rFonts w:hint="default"/>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9">
    <w:nsid w:val="07EE62F8"/>
    <w:multiLevelType w:val="multilevel"/>
    <w:tmpl w:val="07EE62F8"/>
    <w:lvl w:ilvl="0" w:tentative="0">
      <w:start w:val="1"/>
      <w:numFmt w:val="bullet"/>
      <w:lvlText w:val=""/>
      <w:lvlJc w:val="left"/>
      <w:pPr>
        <w:ind w:left="45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911746D"/>
    <w:multiLevelType w:val="multilevel"/>
    <w:tmpl w:val="0911746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
    <w:nsid w:val="0A1B5061"/>
    <w:multiLevelType w:val="multilevel"/>
    <w:tmpl w:val="0A1B5061"/>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12">
    <w:nsid w:val="0DD13A8A"/>
    <w:multiLevelType w:val="multilevel"/>
    <w:tmpl w:val="0DD13A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DF94BD5"/>
    <w:multiLevelType w:val="multilevel"/>
    <w:tmpl w:val="0DF94B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ECE3342"/>
    <w:multiLevelType w:val="multilevel"/>
    <w:tmpl w:val="0ECE33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EDA6D1A"/>
    <w:multiLevelType w:val="multilevel"/>
    <w:tmpl w:val="0EDA6D1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14D5B92"/>
    <w:multiLevelType w:val="multilevel"/>
    <w:tmpl w:val="114D5B92"/>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2C13BD7"/>
    <w:multiLevelType w:val="multilevel"/>
    <w:tmpl w:val="12C13BD7"/>
    <w:lvl w:ilvl="0" w:tentative="0">
      <w:start w:val="1"/>
      <w:numFmt w:val="bullet"/>
      <w:lvlText w:val=""/>
      <w:lvlJc w:val="left"/>
      <w:pPr>
        <w:ind w:left="502" w:hanging="360"/>
      </w:pPr>
      <w:rPr>
        <w:rFonts w:hint="default" w:ascii="Symbol" w:hAnsi="Symbol"/>
        <w:color w:val="auto"/>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18">
    <w:nsid w:val="13317605"/>
    <w:multiLevelType w:val="multilevel"/>
    <w:tmpl w:val="13317605"/>
    <w:lvl w:ilvl="0" w:tentative="0">
      <w:start w:val="1"/>
      <w:numFmt w:val="bullet"/>
      <w:lvlText w:val=""/>
      <w:lvlJc w:val="left"/>
      <w:pPr>
        <w:ind w:left="360" w:hanging="360"/>
      </w:pPr>
      <w:rPr>
        <w:rFonts w:hint="default" w:ascii="Symbol" w:hAnsi="Symbol"/>
        <w:color w:val="auto"/>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134C0F82"/>
    <w:multiLevelType w:val="multilevel"/>
    <w:tmpl w:val="134C0F82"/>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0">
    <w:nsid w:val="144E1F92"/>
    <w:multiLevelType w:val="multilevel"/>
    <w:tmpl w:val="144E1F92"/>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17804A4A"/>
    <w:multiLevelType w:val="multilevel"/>
    <w:tmpl w:val="17804A4A"/>
    <w:lvl w:ilvl="0" w:tentative="0">
      <w:start w:val="1"/>
      <w:numFmt w:val="bullet"/>
      <w:lvlText w:val=""/>
      <w:lvlJc w:val="left"/>
      <w:pPr>
        <w:ind w:left="450" w:hanging="360"/>
      </w:pPr>
      <w:rPr>
        <w:rFonts w:hint="default" w:ascii="Symbol" w:hAnsi="Symbol"/>
      </w:rPr>
    </w:lvl>
    <w:lvl w:ilvl="1" w:tentative="0">
      <w:start w:val="0"/>
      <w:numFmt w:val="bullet"/>
      <w:lvlText w:val=""/>
      <w:lvlJc w:val="left"/>
      <w:pPr>
        <w:ind w:left="1170" w:hanging="360"/>
      </w:pPr>
      <w:rPr>
        <w:rFonts w:hint="default" w:ascii="Symbol" w:hAnsi="Symbol" w:eastAsia="Calibri" w:cs="Times New Roman"/>
      </w:rPr>
    </w:lvl>
    <w:lvl w:ilvl="2" w:tentative="0">
      <w:start w:val="1"/>
      <w:numFmt w:val="bullet"/>
      <w:lvlText w:val=""/>
      <w:lvlJc w:val="left"/>
      <w:pPr>
        <w:ind w:left="1890" w:hanging="360"/>
      </w:pPr>
      <w:rPr>
        <w:rFonts w:hint="default" w:ascii="Wingdings" w:hAnsi="Wingdings"/>
      </w:rPr>
    </w:lvl>
    <w:lvl w:ilvl="3" w:tentative="0">
      <w:start w:val="1"/>
      <w:numFmt w:val="bullet"/>
      <w:lvlText w:val=""/>
      <w:lvlJc w:val="left"/>
      <w:pPr>
        <w:ind w:left="2610" w:hanging="360"/>
      </w:pPr>
      <w:rPr>
        <w:rFonts w:hint="default" w:ascii="Symbol" w:hAnsi="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rPr>
    </w:lvl>
    <w:lvl w:ilvl="6" w:tentative="0">
      <w:start w:val="1"/>
      <w:numFmt w:val="bullet"/>
      <w:lvlText w:val=""/>
      <w:lvlJc w:val="left"/>
      <w:pPr>
        <w:ind w:left="4770" w:hanging="360"/>
      </w:pPr>
      <w:rPr>
        <w:rFonts w:hint="default" w:ascii="Symbol" w:hAnsi="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rPr>
    </w:lvl>
  </w:abstractNum>
  <w:abstractNum w:abstractNumId="22">
    <w:nsid w:val="179E2B1F"/>
    <w:multiLevelType w:val="multilevel"/>
    <w:tmpl w:val="179E2B1F"/>
    <w:lvl w:ilvl="0" w:tentative="0">
      <w:start w:val="1"/>
      <w:numFmt w:val="bullet"/>
      <w:lvlText w:val=""/>
      <w:lvlJc w:val="left"/>
      <w:pPr>
        <w:ind w:left="450" w:hanging="360"/>
      </w:pPr>
      <w:rPr>
        <w:rFonts w:hint="default" w:ascii="Symbol" w:hAnsi="Symbol"/>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rPr>
    </w:lvl>
    <w:lvl w:ilvl="3" w:tentative="0">
      <w:start w:val="1"/>
      <w:numFmt w:val="bullet"/>
      <w:lvlText w:val=""/>
      <w:lvlJc w:val="left"/>
      <w:pPr>
        <w:ind w:left="2610" w:hanging="360"/>
      </w:pPr>
      <w:rPr>
        <w:rFonts w:hint="default" w:ascii="Symbol" w:hAnsi="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rPr>
    </w:lvl>
    <w:lvl w:ilvl="6" w:tentative="0">
      <w:start w:val="1"/>
      <w:numFmt w:val="bullet"/>
      <w:lvlText w:val=""/>
      <w:lvlJc w:val="left"/>
      <w:pPr>
        <w:ind w:left="4770" w:hanging="360"/>
      </w:pPr>
      <w:rPr>
        <w:rFonts w:hint="default" w:ascii="Symbol" w:hAnsi="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rPr>
    </w:lvl>
  </w:abstractNum>
  <w:abstractNum w:abstractNumId="23">
    <w:nsid w:val="1F540D96"/>
    <w:multiLevelType w:val="multilevel"/>
    <w:tmpl w:val="1F540D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017526F"/>
    <w:multiLevelType w:val="multilevel"/>
    <w:tmpl w:val="2017526F"/>
    <w:lvl w:ilvl="0" w:tentative="0">
      <w:start w:val="1"/>
      <w:numFmt w:val="bullet"/>
      <w:lvlText w:val=""/>
      <w:lvlJc w:val="left"/>
      <w:pPr>
        <w:tabs>
          <w:tab w:val="left" w:pos="927"/>
        </w:tabs>
        <w:ind w:left="927" w:hanging="360"/>
      </w:pPr>
      <w:rPr>
        <w:rFonts w:hint="default" w:ascii="Wingdings" w:hAnsi="Wingdings"/>
      </w:rPr>
    </w:lvl>
    <w:lvl w:ilvl="1" w:tentative="0">
      <w:start w:val="2"/>
      <w:numFmt w:val="bullet"/>
      <w:lvlText w:val="-"/>
      <w:lvlJc w:val="left"/>
      <w:pPr>
        <w:tabs>
          <w:tab w:val="left" w:pos="1800"/>
        </w:tabs>
        <w:ind w:left="1800" w:hanging="360"/>
      </w:pPr>
      <w:rPr>
        <w:rFonts w:hint="default" w:ascii="Times New Roman" w:hAnsi="Times New Roman" w:eastAsia="Times New Roman"/>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5">
    <w:nsid w:val="22F8452F"/>
    <w:multiLevelType w:val="multilevel"/>
    <w:tmpl w:val="22F8452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475529E"/>
    <w:multiLevelType w:val="multilevel"/>
    <w:tmpl w:val="247552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56A17CD"/>
    <w:multiLevelType w:val="multilevel"/>
    <w:tmpl w:val="256A17CD"/>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28">
    <w:nsid w:val="264F55C7"/>
    <w:multiLevelType w:val="multilevel"/>
    <w:tmpl w:val="264F55C7"/>
    <w:lvl w:ilvl="0" w:tentative="0">
      <w:start w:val="1"/>
      <w:numFmt w:val="bullet"/>
      <w:lvlText w:val=""/>
      <w:lvlJc w:val="left"/>
      <w:pPr>
        <w:ind w:left="394" w:hanging="360"/>
      </w:pPr>
      <w:rPr>
        <w:rFonts w:hint="default" w:ascii="Symbol" w:hAnsi="Symbol"/>
      </w:rPr>
    </w:lvl>
    <w:lvl w:ilvl="1" w:tentative="0">
      <w:start w:val="1"/>
      <w:numFmt w:val="bullet"/>
      <w:lvlText w:val="o"/>
      <w:lvlJc w:val="left"/>
      <w:pPr>
        <w:ind w:left="1114" w:hanging="360"/>
      </w:pPr>
      <w:rPr>
        <w:rFonts w:hint="default" w:ascii="Courier New" w:hAnsi="Courier New" w:cs="Courier New"/>
      </w:rPr>
    </w:lvl>
    <w:lvl w:ilvl="2" w:tentative="0">
      <w:start w:val="1"/>
      <w:numFmt w:val="bullet"/>
      <w:lvlText w:val=""/>
      <w:lvlJc w:val="left"/>
      <w:pPr>
        <w:ind w:left="1834" w:hanging="360"/>
      </w:pPr>
      <w:rPr>
        <w:rFonts w:hint="default" w:ascii="Wingdings" w:hAnsi="Wingdings"/>
      </w:rPr>
    </w:lvl>
    <w:lvl w:ilvl="3" w:tentative="0">
      <w:start w:val="1"/>
      <w:numFmt w:val="bullet"/>
      <w:lvlText w:val=""/>
      <w:lvlJc w:val="left"/>
      <w:pPr>
        <w:ind w:left="2554" w:hanging="360"/>
      </w:pPr>
      <w:rPr>
        <w:rFonts w:hint="default" w:ascii="Symbol" w:hAnsi="Symbol"/>
      </w:rPr>
    </w:lvl>
    <w:lvl w:ilvl="4" w:tentative="0">
      <w:start w:val="1"/>
      <w:numFmt w:val="bullet"/>
      <w:lvlText w:val="o"/>
      <w:lvlJc w:val="left"/>
      <w:pPr>
        <w:ind w:left="3274" w:hanging="360"/>
      </w:pPr>
      <w:rPr>
        <w:rFonts w:hint="default" w:ascii="Courier New" w:hAnsi="Courier New" w:cs="Courier New"/>
      </w:rPr>
    </w:lvl>
    <w:lvl w:ilvl="5" w:tentative="0">
      <w:start w:val="1"/>
      <w:numFmt w:val="bullet"/>
      <w:lvlText w:val=""/>
      <w:lvlJc w:val="left"/>
      <w:pPr>
        <w:ind w:left="3994" w:hanging="360"/>
      </w:pPr>
      <w:rPr>
        <w:rFonts w:hint="default" w:ascii="Wingdings" w:hAnsi="Wingdings"/>
      </w:rPr>
    </w:lvl>
    <w:lvl w:ilvl="6" w:tentative="0">
      <w:start w:val="1"/>
      <w:numFmt w:val="bullet"/>
      <w:lvlText w:val=""/>
      <w:lvlJc w:val="left"/>
      <w:pPr>
        <w:ind w:left="4714" w:hanging="360"/>
      </w:pPr>
      <w:rPr>
        <w:rFonts w:hint="default" w:ascii="Symbol" w:hAnsi="Symbol"/>
      </w:rPr>
    </w:lvl>
    <w:lvl w:ilvl="7" w:tentative="0">
      <w:start w:val="1"/>
      <w:numFmt w:val="bullet"/>
      <w:lvlText w:val="o"/>
      <w:lvlJc w:val="left"/>
      <w:pPr>
        <w:ind w:left="5434" w:hanging="360"/>
      </w:pPr>
      <w:rPr>
        <w:rFonts w:hint="default" w:ascii="Courier New" w:hAnsi="Courier New" w:cs="Courier New"/>
      </w:rPr>
    </w:lvl>
    <w:lvl w:ilvl="8" w:tentative="0">
      <w:start w:val="1"/>
      <w:numFmt w:val="bullet"/>
      <w:lvlText w:val=""/>
      <w:lvlJc w:val="left"/>
      <w:pPr>
        <w:ind w:left="6154" w:hanging="360"/>
      </w:pPr>
      <w:rPr>
        <w:rFonts w:hint="default" w:ascii="Wingdings" w:hAnsi="Wingdings"/>
      </w:rPr>
    </w:lvl>
  </w:abstractNum>
  <w:abstractNum w:abstractNumId="29">
    <w:nsid w:val="26857951"/>
    <w:multiLevelType w:val="multilevel"/>
    <w:tmpl w:val="26857951"/>
    <w:lvl w:ilvl="0" w:tentative="0">
      <w:start w:val="1"/>
      <w:numFmt w:val="bullet"/>
      <w:lvlText w:val=""/>
      <w:lvlJc w:val="left"/>
      <w:pPr>
        <w:ind w:left="423" w:hanging="360"/>
      </w:pPr>
      <w:rPr>
        <w:rFonts w:hint="default" w:ascii="Symbol" w:hAnsi="Symbol"/>
        <w:color w:val="auto"/>
      </w:rPr>
    </w:lvl>
    <w:lvl w:ilvl="1" w:tentative="0">
      <w:start w:val="1"/>
      <w:numFmt w:val="bullet"/>
      <w:lvlText w:val="o"/>
      <w:lvlJc w:val="left"/>
      <w:pPr>
        <w:ind w:left="1143" w:hanging="360"/>
      </w:pPr>
      <w:rPr>
        <w:rFonts w:hint="default" w:ascii="Courier New" w:hAnsi="Courier New" w:cs="Courier New"/>
      </w:rPr>
    </w:lvl>
    <w:lvl w:ilvl="2" w:tentative="0">
      <w:start w:val="1"/>
      <w:numFmt w:val="bullet"/>
      <w:lvlText w:val=""/>
      <w:lvlJc w:val="left"/>
      <w:pPr>
        <w:ind w:left="1863" w:hanging="360"/>
      </w:pPr>
      <w:rPr>
        <w:rFonts w:hint="default" w:ascii="Wingdings" w:hAnsi="Wingdings"/>
      </w:rPr>
    </w:lvl>
    <w:lvl w:ilvl="3" w:tentative="0">
      <w:start w:val="1"/>
      <w:numFmt w:val="bullet"/>
      <w:lvlText w:val=""/>
      <w:lvlJc w:val="left"/>
      <w:pPr>
        <w:ind w:left="2583" w:hanging="360"/>
      </w:pPr>
      <w:rPr>
        <w:rFonts w:hint="default" w:ascii="Symbol" w:hAnsi="Symbol"/>
      </w:rPr>
    </w:lvl>
    <w:lvl w:ilvl="4" w:tentative="0">
      <w:start w:val="1"/>
      <w:numFmt w:val="bullet"/>
      <w:lvlText w:val="o"/>
      <w:lvlJc w:val="left"/>
      <w:pPr>
        <w:ind w:left="3303" w:hanging="360"/>
      </w:pPr>
      <w:rPr>
        <w:rFonts w:hint="default" w:ascii="Courier New" w:hAnsi="Courier New" w:cs="Courier New"/>
      </w:rPr>
    </w:lvl>
    <w:lvl w:ilvl="5" w:tentative="0">
      <w:start w:val="1"/>
      <w:numFmt w:val="bullet"/>
      <w:lvlText w:val=""/>
      <w:lvlJc w:val="left"/>
      <w:pPr>
        <w:ind w:left="4023" w:hanging="360"/>
      </w:pPr>
      <w:rPr>
        <w:rFonts w:hint="default" w:ascii="Wingdings" w:hAnsi="Wingdings"/>
      </w:rPr>
    </w:lvl>
    <w:lvl w:ilvl="6" w:tentative="0">
      <w:start w:val="1"/>
      <w:numFmt w:val="bullet"/>
      <w:lvlText w:val=""/>
      <w:lvlJc w:val="left"/>
      <w:pPr>
        <w:ind w:left="4743" w:hanging="360"/>
      </w:pPr>
      <w:rPr>
        <w:rFonts w:hint="default" w:ascii="Symbol" w:hAnsi="Symbol"/>
      </w:rPr>
    </w:lvl>
    <w:lvl w:ilvl="7" w:tentative="0">
      <w:start w:val="1"/>
      <w:numFmt w:val="bullet"/>
      <w:lvlText w:val="o"/>
      <w:lvlJc w:val="left"/>
      <w:pPr>
        <w:ind w:left="5463" w:hanging="360"/>
      </w:pPr>
      <w:rPr>
        <w:rFonts w:hint="default" w:ascii="Courier New" w:hAnsi="Courier New" w:cs="Courier New"/>
      </w:rPr>
    </w:lvl>
    <w:lvl w:ilvl="8" w:tentative="0">
      <w:start w:val="1"/>
      <w:numFmt w:val="bullet"/>
      <w:lvlText w:val=""/>
      <w:lvlJc w:val="left"/>
      <w:pPr>
        <w:ind w:left="6183" w:hanging="360"/>
      </w:pPr>
      <w:rPr>
        <w:rFonts w:hint="default" w:ascii="Wingdings" w:hAnsi="Wingdings"/>
      </w:rPr>
    </w:lvl>
  </w:abstractNum>
  <w:abstractNum w:abstractNumId="30">
    <w:nsid w:val="283A6E43"/>
    <w:multiLevelType w:val="multilevel"/>
    <w:tmpl w:val="283A6E43"/>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28B907DA"/>
    <w:multiLevelType w:val="multilevel"/>
    <w:tmpl w:val="28B907DA"/>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32">
    <w:nsid w:val="2A523E91"/>
    <w:multiLevelType w:val="multilevel"/>
    <w:tmpl w:val="2A523E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D3D26DB"/>
    <w:multiLevelType w:val="multilevel"/>
    <w:tmpl w:val="2D3D26DB"/>
    <w:lvl w:ilvl="0" w:tentative="0">
      <w:start w:val="1"/>
      <w:numFmt w:val="decimal"/>
      <w:lvlText w:val="%1)"/>
      <w:lvlJc w:val="left"/>
      <w:pPr>
        <w:ind w:left="644" w:hanging="360"/>
      </w:pPr>
      <w:rPr>
        <w:rFonts w:hint="default"/>
        <w:i/>
      </w:rPr>
    </w:lvl>
    <w:lvl w:ilvl="1" w:tentative="0">
      <w:start w:val="0"/>
      <w:numFmt w:val="bullet"/>
      <w:lvlText w:val="-"/>
      <w:lvlJc w:val="left"/>
      <w:pPr>
        <w:ind w:left="1364" w:hanging="360"/>
      </w:pPr>
      <w:rPr>
        <w:rFonts w:hint="default" w:ascii="Times New Roman" w:hAnsi="Times New Roman" w:eastAsia="ヒラギノ角ゴ Pro W3" w:cs="Times New Roman"/>
        <w:color w:val="000000"/>
      </w:r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4">
    <w:nsid w:val="2D5372F1"/>
    <w:multiLevelType w:val="multilevel"/>
    <w:tmpl w:val="2D5372F1"/>
    <w:lvl w:ilvl="0" w:tentative="0">
      <w:start w:val="1"/>
      <w:numFmt w:val="bullet"/>
      <w:lvlText w:val=""/>
      <w:lvlJc w:val="left"/>
      <w:pPr>
        <w:ind w:left="394"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E372C52"/>
    <w:multiLevelType w:val="multilevel"/>
    <w:tmpl w:val="2E372C52"/>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36">
    <w:nsid w:val="31967949"/>
    <w:multiLevelType w:val="multilevel"/>
    <w:tmpl w:val="31967949"/>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7">
    <w:nsid w:val="38D15DE9"/>
    <w:multiLevelType w:val="multilevel"/>
    <w:tmpl w:val="38D15DE9"/>
    <w:lvl w:ilvl="0" w:tentative="0">
      <w:start w:val="0"/>
      <w:numFmt w:val="bullet"/>
      <w:lvlText w:val="-"/>
      <w:lvlJc w:val="left"/>
      <w:pPr>
        <w:ind w:left="720" w:hanging="360"/>
      </w:pPr>
      <w:rPr>
        <w:rFonts w:hint="default" w:ascii="Times New Roman" w:hAnsi="Times New Roman" w:eastAsia="ヒラギノ角ゴ Pro W3" w:cs="Times New Roman"/>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391634B6"/>
    <w:multiLevelType w:val="multilevel"/>
    <w:tmpl w:val="391634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9715B47"/>
    <w:multiLevelType w:val="multilevel"/>
    <w:tmpl w:val="39715B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3B48059E"/>
    <w:multiLevelType w:val="multilevel"/>
    <w:tmpl w:val="3B4805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BC23074"/>
    <w:multiLevelType w:val="multilevel"/>
    <w:tmpl w:val="3BC230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C3C0DE2"/>
    <w:multiLevelType w:val="multilevel"/>
    <w:tmpl w:val="3C3C0D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3F8D3F50"/>
    <w:multiLevelType w:val="multilevel"/>
    <w:tmpl w:val="3F8D3F50"/>
    <w:lvl w:ilvl="0" w:tentative="0">
      <w:start w:val="1"/>
      <w:numFmt w:val="bullet"/>
      <w:lvlText w:val=""/>
      <w:lvlJc w:val="left"/>
      <w:pPr>
        <w:ind w:left="502"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42DD578D"/>
    <w:multiLevelType w:val="multilevel"/>
    <w:tmpl w:val="42DD57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43414868"/>
    <w:multiLevelType w:val="multilevel"/>
    <w:tmpl w:val="4341486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6">
    <w:nsid w:val="44495BCD"/>
    <w:multiLevelType w:val="multilevel"/>
    <w:tmpl w:val="44495BCD"/>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467715FF"/>
    <w:multiLevelType w:val="multilevel"/>
    <w:tmpl w:val="467715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477C164D"/>
    <w:multiLevelType w:val="multilevel"/>
    <w:tmpl w:val="477C164D"/>
    <w:lvl w:ilvl="0" w:tentative="0">
      <w:start w:val="1"/>
      <w:numFmt w:val="bullet"/>
      <w:lvlText w:val=""/>
      <w:lvlJc w:val="left"/>
      <w:pPr>
        <w:ind w:left="377" w:hanging="360"/>
      </w:pPr>
      <w:rPr>
        <w:rFonts w:hint="default" w:ascii="Symbol" w:hAnsi="Symbol"/>
      </w:rPr>
    </w:lvl>
    <w:lvl w:ilvl="1" w:tentative="0">
      <w:start w:val="1"/>
      <w:numFmt w:val="bullet"/>
      <w:lvlText w:val="o"/>
      <w:lvlJc w:val="left"/>
      <w:pPr>
        <w:ind w:left="1097" w:hanging="360"/>
      </w:pPr>
      <w:rPr>
        <w:rFonts w:hint="default" w:ascii="Courier New" w:hAnsi="Courier New" w:cs="Courier New"/>
      </w:rPr>
    </w:lvl>
    <w:lvl w:ilvl="2" w:tentative="0">
      <w:start w:val="1"/>
      <w:numFmt w:val="bullet"/>
      <w:lvlText w:val=""/>
      <w:lvlJc w:val="left"/>
      <w:pPr>
        <w:ind w:left="1817" w:hanging="360"/>
      </w:pPr>
      <w:rPr>
        <w:rFonts w:hint="default" w:ascii="Wingdings" w:hAnsi="Wingdings"/>
      </w:rPr>
    </w:lvl>
    <w:lvl w:ilvl="3" w:tentative="0">
      <w:start w:val="1"/>
      <w:numFmt w:val="bullet"/>
      <w:lvlText w:val=""/>
      <w:lvlJc w:val="left"/>
      <w:pPr>
        <w:ind w:left="2537" w:hanging="360"/>
      </w:pPr>
      <w:rPr>
        <w:rFonts w:hint="default" w:ascii="Symbol" w:hAnsi="Symbol"/>
      </w:rPr>
    </w:lvl>
    <w:lvl w:ilvl="4" w:tentative="0">
      <w:start w:val="1"/>
      <w:numFmt w:val="bullet"/>
      <w:lvlText w:val="o"/>
      <w:lvlJc w:val="left"/>
      <w:pPr>
        <w:ind w:left="3257" w:hanging="360"/>
      </w:pPr>
      <w:rPr>
        <w:rFonts w:hint="default" w:ascii="Courier New" w:hAnsi="Courier New" w:cs="Courier New"/>
      </w:rPr>
    </w:lvl>
    <w:lvl w:ilvl="5" w:tentative="0">
      <w:start w:val="1"/>
      <w:numFmt w:val="bullet"/>
      <w:lvlText w:val=""/>
      <w:lvlJc w:val="left"/>
      <w:pPr>
        <w:ind w:left="3977" w:hanging="360"/>
      </w:pPr>
      <w:rPr>
        <w:rFonts w:hint="default" w:ascii="Wingdings" w:hAnsi="Wingdings"/>
      </w:rPr>
    </w:lvl>
    <w:lvl w:ilvl="6" w:tentative="0">
      <w:start w:val="1"/>
      <w:numFmt w:val="bullet"/>
      <w:lvlText w:val=""/>
      <w:lvlJc w:val="left"/>
      <w:pPr>
        <w:ind w:left="4697" w:hanging="360"/>
      </w:pPr>
      <w:rPr>
        <w:rFonts w:hint="default" w:ascii="Symbol" w:hAnsi="Symbol"/>
      </w:rPr>
    </w:lvl>
    <w:lvl w:ilvl="7" w:tentative="0">
      <w:start w:val="1"/>
      <w:numFmt w:val="bullet"/>
      <w:lvlText w:val="o"/>
      <w:lvlJc w:val="left"/>
      <w:pPr>
        <w:ind w:left="5417" w:hanging="360"/>
      </w:pPr>
      <w:rPr>
        <w:rFonts w:hint="default" w:ascii="Courier New" w:hAnsi="Courier New" w:cs="Courier New"/>
      </w:rPr>
    </w:lvl>
    <w:lvl w:ilvl="8" w:tentative="0">
      <w:start w:val="1"/>
      <w:numFmt w:val="bullet"/>
      <w:lvlText w:val=""/>
      <w:lvlJc w:val="left"/>
      <w:pPr>
        <w:ind w:left="6137" w:hanging="360"/>
      </w:pPr>
      <w:rPr>
        <w:rFonts w:hint="default" w:ascii="Wingdings" w:hAnsi="Wingdings"/>
      </w:rPr>
    </w:lvl>
  </w:abstractNum>
  <w:abstractNum w:abstractNumId="49">
    <w:nsid w:val="48D73643"/>
    <w:multiLevelType w:val="multilevel"/>
    <w:tmpl w:val="48D736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FA001B2"/>
    <w:multiLevelType w:val="multilevel"/>
    <w:tmpl w:val="4FA001B2"/>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510164FA"/>
    <w:multiLevelType w:val="multilevel"/>
    <w:tmpl w:val="510164FA"/>
    <w:lvl w:ilvl="0" w:tentative="0">
      <w:start w:val="1"/>
      <w:numFmt w:val="upperRoman"/>
      <w:pStyle w:val="144"/>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51515C36"/>
    <w:multiLevelType w:val="multilevel"/>
    <w:tmpl w:val="51515C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1EC0858"/>
    <w:multiLevelType w:val="multilevel"/>
    <w:tmpl w:val="51EC0858"/>
    <w:lvl w:ilvl="0" w:tentative="0">
      <w:start w:val="1"/>
      <w:numFmt w:val="bullet"/>
      <w:lvlText w:val=""/>
      <w:lvlJc w:val="left"/>
      <w:pPr>
        <w:ind w:left="450" w:hanging="360"/>
      </w:pPr>
      <w:rPr>
        <w:rFonts w:hint="default" w:ascii="Symbol" w:hAnsi="Symbol"/>
        <w:color w:val="auto"/>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rPr>
    </w:lvl>
    <w:lvl w:ilvl="3" w:tentative="0">
      <w:start w:val="1"/>
      <w:numFmt w:val="bullet"/>
      <w:lvlText w:val=""/>
      <w:lvlJc w:val="left"/>
      <w:pPr>
        <w:ind w:left="2610" w:hanging="360"/>
      </w:pPr>
      <w:rPr>
        <w:rFonts w:hint="default" w:ascii="Symbol" w:hAnsi="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rPr>
    </w:lvl>
    <w:lvl w:ilvl="6" w:tentative="0">
      <w:start w:val="1"/>
      <w:numFmt w:val="bullet"/>
      <w:lvlText w:val=""/>
      <w:lvlJc w:val="left"/>
      <w:pPr>
        <w:ind w:left="4770" w:hanging="360"/>
      </w:pPr>
      <w:rPr>
        <w:rFonts w:hint="default" w:ascii="Symbol" w:hAnsi="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rPr>
    </w:lvl>
  </w:abstractNum>
  <w:abstractNum w:abstractNumId="54">
    <w:nsid w:val="520306FB"/>
    <w:multiLevelType w:val="multilevel"/>
    <w:tmpl w:val="520306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523215F0"/>
    <w:multiLevelType w:val="multilevel"/>
    <w:tmpl w:val="523215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6">
    <w:nsid w:val="525C5708"/>
    <w:multiLevelType w:val="multilevel"/>
    <w:tmpl w:val="525C57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51F49CD"/>
    <w:multiLevelType w:val="multilevel"/>
    <w:tmpl w:val="551F49C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8">
    <w:nsid w:val="567F7C55"/>
    <w:multiLevelType w:val="multilevel"/>
    <w:tmpl w:val="567F7C5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576B7818"/>
    <w:multiLevelType w:val="multilevel"/>
    <w:tmpl w:val="576B7818"/>
    <w:lvl w:ilvl="0" w:tentative="0">
      <w:start w:val="1"/>
      <w:numFmt w:val="bullet"/>
      <w:lvlText w:val=""/>
      <w:lvlJc w:val="left"/>
      <w:pPr>
        <w:ind w:left="720" w:hanging="360"/>
      </w:pPr>
      <w:rPr>
        <w:rFonts w:hint="default" w:ascii="Symbol" w:hAnsi="Symbol"/>
        <w:sz w:val="20"/>
        <w:szCs w:val="20"/>
      </w:rPr>
    </w:lvl>
    <w:lvl w:ilvl="1" w:tentative="0">
      <w:start w:val="0"/>
      <w:numFmt w:val="bullet"/>
      <w:lvlText w:val="•"/>
      <w:lvlJc w:val="left"/>
      <w:pPr>
        <w:ind w:left="1800" w:hanging="720"/>
      </w:pPr>
      <w:rPr>
        <w:rFonts w:hint="default" w:ascii="Calibri" w:hAnsi="Calibri" w:eastAsia="Calibri" w:cs="Calibr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57B211B5"/>
    <w:multiLevelType w:val="multilevel"/>
    <w:tmpl w:val="57B211B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57C85AB5"/>
    <w:multiLevelType w:val="multilevel"/>
    <w:tmpl w:val="57C85A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59C94ABD"/>
    <w:multiLevelType w:val="multilevel"/>
    <w:tmpl w:val="59C94A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5B081199"/>
    <w:multiLevelType w:val="multilevel"/>
    <w:tmpl w:val="5B0811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5E790129"/>
    <w:multiLevelType w:val="multilevel"/>
    <w:tmpl w:val="5E7901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5E872B98"/>
    <w:multiLevelType w:val="multilevel"/>
    <w:tmpl w:val="5E872B98"/>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5FE93FDE"/>
    <w:multiLevelType w:val="multilevel"/>
    <w:tmpl w:val="5FE93FDE"/>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604322A1"/>
    <w:multiLevelType w:val="multilevel"/>
    <w:tmpl w:val="604322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614D15D1"/>
    <w:multiLevelType w:val="multilevel"/>
    <w:tmpl w:val="614D15D1"/>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69">
    <w:nsid w:val="63BE3E28"/>
    <w:multiLevelType w:val="multilevel"/>
    <w:tmpl w:val="63BE3E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51C240E"/>
    <w:multiLevelType w:val="multilevel"/>
    <w:tmpl w:val="651C24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655B1061"/>
    <w:multiLevelType w:val="multilevel"/>
    <w:tmpl w:val="655B1061"/>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72">
    <w:nsid w:val="668541FA"/>
    <w:multiLevelType w:val="multilevel"/>
    <w:tmpl w:val="668541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67515686"/>
    <w:multiLevelType w:val="multilevel"/>
    <w:tmpl w:val="675156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687E6D54"/>
    <w:multiLevelType w:val="multilevel"/>
    <w:tmpl w:val="687E6D54"/>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5">
    <w:nsid w:val="69035DEA"/>
    <w:multiLevelType w:val="multilevel"/>
    <w:tmpl w:val="69035D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6ABA3E0B"/>
    <w:multiLevelType w:val="multilevel"/>
    <w:tmpl w:val="6ABA3E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E3F23DB"/>
    <w:multiLevelType w:val="multilevel"/>
    <w:tmpl w:val="6E3F23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6FD51C47"/>
    <w:multiLevelType w:val="multilevel"/>
    <w:tmpl w:val="6FD51C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71052687"/>
    <w:multiLevelType w:val="multilevel"/>
    <w:tmpl w:val="710526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72114E8B"/>
    <w:multiLevelType w:val="multilevel"/>
    <w:tmpl w:val="72114E8B"/>
    <w:lvl w:ilvl="0" w:tentative="0">
      <w:start w:val="1"/>
      <w:numFmt w:val="bullet"/>
      <w:lvlText w:val=""/>
      <w:lvlJc w:val="left"/>
      <w:pPr>
        <w:ind w:left="394" w:hanging="360"/>
      </w:pPr>
      <w:rPr>
        <w:rFonts w:hint="default" w:ascii="Symbol" w:hAnsi="Symbol"/>
      </w:rPr>
    </w:lvl>
    <w:lvl w:ilvl="1" w:tentative="0">
      <w:start w:val="1"/>
      <w:numFmt w:val="bullet"/>
      <w:lvlText w:val="o"/>
      <w:lvlJc w:val="left"/>
      <w:pPr>
        <w:ind w:left="1114" w:hanging="360"/>
      </w:pPr>
      <w:rPr>
        <w:rFonts w:hint="default" w:ascii="Courier New" w:hAnsi="Courier New" w:cs="Courier New"/>
      </w:rPr>
    </w:lvl>
    <w:lvl w:ilvl="2" w:tentative="0">
      <w:start w:val="1"/>
      <w:numFmt w:val="bullet"/>
      <w:lvlText w:val=""/>
      <w:lvlJc w:val="left"/>
      <w:pPr>
        <w:ind w:left="1834" w:hanging="360"/>
      </w:pPr>
      <w:rPr>
        <w:rFonts w:hint="default" w:ascii="Wingdings" w:hAnsi="Wingdings"/>
      </w:rPr>
    </w:lvl>
    <w:lvl w:ilvl="3" w:tentative="0">
      <w:start w:val="1"/>
      <w:numFmt w:val="bullet"/>
      <w:lvlText w:val=""/>
      <w:lvlJc w:val="left"/>
      <w:pPr>
        <w:ind w:left="2554" w:hanging="360"/>
      </w:pPr>
      <w:rPr>
        <w:rFonts w:hint="default" w:ascii="Symbol" w:hAnsi="Symbol"/>
      </w:rPr>
    </w:lvl>
    <w:lvl w:ilvl="4" w:tentative="0">
      <w:start w:val="1"/>
      <w:numFmt w:val="bullet"/>
      <w:lvlText w:val="o"/>
      <w:lvlJc w:val="left"/>
      <w:pPr>
        <w:ind w:left="3274" w:hanging="360"/>
      </w:pPr>
      <w:rPr>
        <w:rFonts w:hint="default" w:ascii="Courier New" w:hAnsi="Courier New" w:cs="Courier New"/>
      </w:rPr>
    </w:lvl>
    <w:lvl w:ilvl="5" w:tentative="0">
      <w:start w:val="1"/>
      <w:numFmt w:val="bullet"/>
      <w:lvlText w:val=""/>
      <w:lvlJc w:val="left"/>
      <w:pPr>
        <w:ind w:left="3994" w:hanging="360"/>
      </w:pPr>
      <w:rPr>
        <w:rFonts w:hint="default" w:ascii="Wingdings" w:hAnsi="Wingdings"/>
      </w:rPr>
    </w:lvl>
    <w:lvl w:ilvl="6" w:tentative="0">
      <w:start w:val="1"/>
      <w:numFmt w:val="bullet"/>
      <w:lvlText w:val=""/>
      <w:lvlJc w:val="left"/>
      <w:pPr>
        <w:ind w:left="4714" w:hanging="360"/>
      </w:pPr>
      <w:rPr>
        <w:rFonts w:hint="default" w:ascii="Symbol" w:hAnsi="Symbol"/>
      </w:rPr>
    </w:lvl>
    <w:lvl w:ilvl="7" w:tentative="0">
      <w:start w:val="1"/>
      <w:numFmt w:val="bullet"/>
      <w:lvlText w:val="o"/>
      <w:lvlJc w:val="left"/>
      <w:pPr>
        <w:ind w:left="5434" w:hanging="360"/>
      </w:pPr>
      <w:rPr>
        <w:rFonts w:hint="default" w:ascii="Courier New" w:hAnsi="Courier New" w:cs="Courier New"/>
      </w:rPr>
    </w:lvl>
    <w:lvl w:ilvl="8" w:tentative="0">
      <w:start w:val="1"/>
      <w:numFmt w:val="bullet"/>
      <w:lvlText w:val=""/>
      <w:lvlJc w:val="left"/>
      <w:pPr>
        <w:ind w:left="6154" w:hanging="360"/>
      </w:pPr>
      <w:rPr>
        <w:rFonts w:hint="default" w:ascii="Wingdings" w:hAnsi="Wingdings"/>
      </w:rPr>
    </w:lvl>
  </w:abstractNum>
  <w:abstractNum w:abstractNumId="81">
    <w:nsid w:val="721A16D6"/>
    <w:multiLevelType w:val="multilevel"/>
    <w:tmpl w:val="721A16D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2">
    <w:nsid w:val="763C3A35"/>
    <w:multiLevelType w:val="multilevel"/>
    <w:tmpl w:val="763C3A35"/>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83">
    <w:nsid w:val="76E20361"/>
    <w:multiLevelType w:val="multilevel"/>
    <w:tmpl w:val="76E20361"/>
    <w:lvl w:ilvl="0" w:tentative="0">
      <w:start w:val="1"/>
      <w:numFmt w:val="bullet"/>
      <w:lvlText w:val=""/>
      <w:lvlJc w:val="left"/>
      <w:pPr>
        <w:ind w:left="394"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77595862"/>
    <w:multiLevelType w:val="multilevel"/>
    <w:tmpl w:val="775958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78565B98"/>
    <w:multiLevelType w:val="multilevel"/>
    <w:tmpl w:val="78565B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78727542"/>
    <w:multiLevelType w:val="multilevel"/>
    <w:tmpl w:val="78727542"/>
    <w:lvl w:ilvl="0" w:tentative="0">
      <w:start w:val="1"/>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87">
    <w:nsid w:val="787A3E09"/>
    <w:multiLevelType w:val="multilevel"/>
    <w:tmpl w:val="787A3E09"/>
    <w:lvl w:ilvl="0" w:tentative="0">
      <w:start w:val="1"/>
      <w:numFmt w:val="decimal"/>
      <w:lvlText w:val="%1."/>
      <w:lvlJc w:val="left"/>
      <w:pPr>
        <w:ind w:left="720" w:hanging="360"/>
      </w:pPr>
      <w:rPr>
        <w:rFonts w:hint="default"/>
        <w:b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7B205BBB"/>
    <w:multiLevelType w:val="multilevel"/>
    <w:tmpl w:val="7B205B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7C3C6DB5"/>
    <w:multiLevelType w:val="multilevel"/>
    <w:tmpl w:val="7C3C6D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7C923434"/>
    <w:multiLevelType w:val="multilevel"/>
    <w:tmpl w:val="7C9234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7D712BED"/>
    <w:multiLevelType w:val="multilevel"/>
    <w:tmpl w:val="7D712B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7DF73D42"/>
    <w:multiLevelType w:val="multilevel"/>
    <w:tmpl w:val="7DF73D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7E863B64"/>
    <w:multiLevelType w:val="multilevel"/>
    <w:tmpl w:val="7E863B64"/>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ind w:left="1080" w:hanging="360"/>
      </w:pPr>
      <w:rPr>
        <w:rFonts w:hint="default"/>
        <w:i/>
      </w:rPr>
    </w:lvl>
    <w:lvl w:ilvl="2" w:tentative="0">
      <w:start w:val="1"/>
      <w:numFmt w:val="decimal"/>
      <w:lvlText w:val="%3)"/>
      <w:lvlJc w:val="left"/>
      <w:pPr>
        <w:ind w:left="1800" w:hanging="360"/>
      </w:pPr>
      <w:rPr>
        <w:rFonts w:hint="default"/>
        <w:b/>
      </w:r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94">
    <w:nsid w:val="7FFC3F4A"/>
    <w:multiLevelType w:val="multilevel"/>
    <w:tmpl w:val="7FFC3F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51"/>
  </w:num>
  <w:num w:numId="3">
    <w:abstractNumId w:val="6"/>
  </w:num>
  <w:num w:numId="4">
    <w:abstractNumId w:val="2"/>
  </w:num>
  <w:num w:numId="5">
    <w:abstractNumId w:val="75"/>
  </w:num>
  <w:num w:numId="6">
    <w:abstractNumId w:val="54"/>
  </w:num>
  <w:num w:numId="7">
    <w:abstractNumId w:val="85"/>
  </w:num>
  <w:num w:numId="8">
    <w:abstractNumId w:val="12"/>
  </w:num>
  <w:num w:numId="9">
    <w:abstractNumId w:val="4"/>
  </w:num>
  <w:num w:numId="10">
    <w:abstractNumId w:val="84"/>
  </w:num>
  <w:num w:numId="11">
    <w:abstractNumId w:val="87"/>
  </w:num>
  <w:num w:numId="12">
    <w:abstractNumId w:val="23"/>
  </w:num>
  <w:num w:numId="13">
    <w:abstractNumId w:val="26"/>
  </w:num>
  <w:num w:numId="14">
    <w:abstractNumId w:val="16"/>
  </w:num>
  <w:num w:numId="15">
    <w:abstractNumId w:val="33"/>
  </w:num>
  <w:num w:numId="16">
    <w:abstractNumId w:val="40"/>
  </w:num>
  <w:num w:numId="17">
    <w:abstractNumId w:val="46"/>
  </w:num>
  <w:num w:numId="18">
    <w:abstractNumId w:val="63"/>
  </w:num>
  <w:num w:numId="19">
    <w:abstractNumId w:val="36"/>
  </w:num>
  <w:num w:numId="20">
    <w:abstractNumId w:val="61"/>
  </w:num>
  <w:num w:numId="21">
    <w:abstractNumId w:val="45"/>
  </w:num>
  <w:num w:numId="22">
    <w:abstractNumId w:val="1"/>
  </w:num>
  <w:num w:numId="23">
    <w:abstractNumId w:val="56"/>
  </w:num>
  <w:num w:numId="24">
    <w:abstractNumId w:val="38"/>
  </w:num>
  <w:num w:numId="25">
    <w:abstractNumId w:val="94"/>
  </w:num>
  <w:num w:numId="26">
    <w:abstractNumId w:val="24"/>
  </w:num>
  <w:num w:numId="27">
    <w:abstractNumId w:val="55"/>
  </w:num>
  <w:num w:numId="28">
    <w:abstractNumId w:val="86"/>
  </w:num>
  <w:num w:numId="29">
    <w:abstractNumId w:val="8"/>
  </w:num>
  <w:num w:numId="30">
    <w:abstractNumId w:val="41"/>
  </w:num>
  <w:num w:numId="31">
    <w:abstractNumId w:val="78"/>
  </w:num>
  <w:num w:numId="32">
    <w:abstractNumId w:val="77"/>
  </w:num>
  <w:num w:numId="33">
    <w:abstractNumId w:val="59"/>
  </w:num>
  <w:num w:numId="34">
    <w:abstractNumId w:val="88"/>
  </w:num>
  <w:num w:numId="35">
    <w:abstractNumId w:val="15"/>
  </w:num>
  <w:num w:numId="36">
    <w:abstractNumId w:val="66"/>
  </w:num>
  <w:num w:numId="37">
    <w:abstractNumId w:val="69"/>
  </w:num>
  <w:num w:numId="38">
    <w:abstractNumId w:val="20"/>
  </w:num>
  <w:num w:numId="39">
    <w:abstractNumId w:val="74"/>
  </w:num>
  <w:num w:numId="40">
    <w:abstractNumId w:val="73"/>
  </w:num>
  <w:num w:numId="41">
    <w:abstractNumId w:val="37"/>
  </w:num>
  <w:num w:numId="42">
    <w:abstractNumId w:val="65"/>
  </w:num>
  <w:num w:numId="43">
    <w:abstractNumId w:val="50"/>
  </w:num>
  <w:num w:numId="44">
    <w:abstractNumId w:val="3"/>
  </w:num>
  <w:num w:numId="45">
    <w:abstractNumId w:val="91"/>
  </w:num>
  <w:num w:numId="46">
    <w:abstractNumId w:val="93"/>
  </w:num>
  <w:num w:numId="47">
    <w:abstractNumId w:val="60"/>
  </w:num>
  <w:num w:numId="48">
    <w:abstractNumId w:val="44"/>
  </w:num>
  <w:num w:numId="49">
    <w:abstractNumId w:val="57"/>
  </w:num>
  <w:num w:numId="50">
    <w:abstractNumId w:val="10"/>
  </w:num>
  <w:num w:numId="51">
    <w:abstractNumId w:val="71"/>
  </w:num>
  <w:num w:numId="52">
    <w:abstractNumId w:val="7"/>
  </w:num>
  <w:num w:numId="53">
    <w:abstractNumId w:val="19"/>
  </w:num>
  <w:num w:numId="54">
    <w:abstractNumId w:val="31"/>
  </w:num>
  <w:num w:numId="55">
    <w:abstractNumId w:val="68"/>
  </w:num>
  <w:num w:numId="56">
    <w:abstractNumId w:val="58"/>
  </w:num>
  <w:num w:numId="57">
    <w:abstractNumId w:val="89"/>
  </w:num>
  <w:num w:numId="58">
    <w:abstractNumId w:val="72"/>
  </w:num>
  <w:num w:numId="59">
    <w:abstractNumId w:val="32"/>
  </w:num>
  <w:num w:numId="60">
    <w:abstractNumId w:val="70"/>
  </w:num>
  <w:num w:numId="61">
    <w:abstractNumId w:val="79"/>
  </w:num>
  <w:num w:numId="62">
    <w:abstractNumId w:val="25"/>
  </w:num>
  <w:num w:numId="63">
    <w:abstractNumId w:val="14"/>
  </w:num>
  <w:num w:numId="64">
    <w:abstractNumId w:val="67"/>
  </w:num>
  <w:num w:numId="65">
    <w:abstractNumId w:val="81"/>
  </w:num>
  <w:num w:numId="66">
    <w:abstractNumId w:val="9"/>
  </w:num>
  <w:num w:numId="67">
    <w:abstractNumId w:val="47"/>
  </w:num>
  <w:num w:numId="68">
    <w:abstractNumId w:val="90"/>
  </w:num>
  <w:num w:numId="69">
    <w:abstractNumId w:val="39"/>
  </w:num>
  <w:num w:numId="70">
    <w:abstractNumId w:val="42"/>
  </w:num>
  <w:num w:numId="71">
    <w:abstractNumId w:val="22"/>
  </w:num>
  <w:num w:numId="72">
    <w:abstractNumId w:val="13"/>
  </w:num>
  <w:num w:numId="73">
    <w:abstractNumId w:val="62"/>
  </w:num>
  <w:num w:numId="74">
    <w:abstractNumId w:val="21"/>
  </w:num>
  <w:num w:numId="75">
    <w:abstractNumId w:val="52"/>
  </w:num>
  <w:num w:numId="76">
    <w:abstractNumId w:val="11"/>
  </w:num>
  <w:num w:numId="77">
    <w:abstractNumId w:val="82"/>
  </w:num>
  <w:num w:numId="78">
    <w:abstractNumId w:val="53"/>
  </w:num>
  <w:num w:numId="79">
    <w:abstractNumId w:val="18"/>
  </w:num>
  <w:num w:numId="80">
    <w:abstractNumId w:val="28"/>
  </w:num>
  <w:num w:numId="81">
    <w:abstractNumId w:val="29"/>
  </w:num>
  <w:num w:numId="82">
    <w:abstractNumId w:val="80"/>
  </w:num>
  <w:num w:numId="83">
    <w:abstractNumId w:val="64"/>
  </w:num>
  <w:num w:numId="84">
    <w:abstractNumId w:val="92"/>
  </w:num>
  <w:num w:numId="85">
    <w:abstractNumId w:val="35"/>
  </w:num>
  <w:num w:numId="86">
    <w:abstractNumId w:val="43"/>
  </w:num>
  <w:num w:numId="87">
    <w:abstractNumId w:val="83"/>
  </w:num>
  <w:num w:numId="88">
    <w:abstractNumId w:val="34"/>
  </w:num>
  <w:num w:numId="89">
    <w:abstractNumId w:val="48"/>
  </w:num>
  <w:num w:numId="90">
    <w:abstractNumId w:val="27"/>
  </w:num>
  <w:num w:numId="91">
    <w:abstractNumId w:val="17"/>
  </w:num>
  <w:num w:numId="92">
    <w:abstractNumId w:val="5"/>
  </w:num>
  <w:num w:numId="93">
    <w:abstractNumId w:val="76"/>
  </w:num>
  <w:num w:numId="94">
    <w:abstractNumId w:val="49"/>
  </w:num>
  <w:num w:numId="95">
    <w:abstractNumId w:val="3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hideSpellingErrors/>
  <w:hideGrammaticalErrors/>
  <w:documentProtection w:enforcement="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3FF"/>
    <w:rsid w:val="00000223"/>
    <w:rsid w:val="00004B5E"/>
    <w:rsid w:val="00005ACF"/>
    <w:rsid w:val="0001267B"/>
    <w:rsid w:val="00013C48"/>
    <w:rsid w:val="000166E7"/>
    <w:rsid w:val="00016748"/>
    <w:rsid w:val="00025AE8"/>
    <w:rsid w:val="000273EC"/>
    <w:rsid w:val="00027814"/>
    <w:rsid w:val="00030BDB"/>
    <w:rsid w:val="000336FC"/>
    <w:rsid w:val="000376DF"/>
    <w:rsid w:val="00041C0F"/>
    <w:rsid w:val="00046DC2"/>
    <w:rsid w:val="00052063"/>
    <w:rsid w:val="00053636"/>
    <w:rsid w:val="0005700D"/>
    <w:rsid w:val="00061C78"/>
    <w:rsid w:val="000654AC"/>
    <w:rsid w:val="00067A2E"/>
    <w:rsid w:val="00072470"/>
    <w:rsid w:val="00072D22"/>
    <w:rsid w:val="00080200"/>
    <w:rsid w:val="00096404"/>
    <w:rsid w:val="0009761F"/>
    <w:rsid w:val="000A208B"/>
    <w:rsid w:val="000A70E1"/>
    <w:rsid w:val="000A71ED"/>
    <w:rsid w:val="000B2B9A"/>
    <w:rsid w:val="000C053D"/>
    <w:rsid w:val="000C7B59"/>
    <w:rsid w:val="000D33B0"/>
    <w:rsid w:val="000D449F"/>
    <w:rsid w:val="000E21C1"/>
    <w:rsid w:val="000E3423"/>
    <w:rsid w:val="000E4241"/>
    <w:rsid w:val="000E67EE"/>
    <w:rsid w:val="000E691B"/>
    <w:rsid w:val="000E7D08"/>
    <w:rsid w:val="000F6348"/>
    <w:rsid w:val="0010036D"/>
    <w:rsid w:val="00103660"/>
    <w:rsid w:val="00103722"/>
    <w:rsid w:val="0010655B"/>
    <w:rsid w:val="0010723C"/>
    <w:rsid w:val="00111622"/>
    <w:rsid w:val="00111FEF"/>
    <w:rsid w:val="00113373"/>
    <w:rsid w:val="00113668"/>
    <w:rsid w:val="00124098"/>
    <w:rsid w:val="001257B9"/>
    <w:rsid w:val="00132E15"/>
    <w:rsid w:val="00133D57"/>
    <w:rsid w:val="0014069E"/>
    <w:rsid w:val="00140B87"/>
    <w:rsid w:val="00143EB7"/>
    <w:rsid w:val="00143EF7"/>
    <w:rsid w:val="001452FB"/>
    <w:rsid w:val="001501F6"/>
    <w:rsid w:val="001567E2"/>
    <w:rsid w:val="001704BA"/>
    <w:rsid w:val="00172303"/>
    <w:rsid w:val="00190C91"/>
    <w:rsid w:val="00191B87"/>
    <w:rsid w:val="001934C9"/>
    <w:rsid w:val="001963F5"/>
    <w:rsid w:val="001A0DA3"/>
    <w:rsid w:val="001A1745"/>
    <w:rsid w:val="001A26DF"/>
    <w:rsid w:val="001A418E"/>
    <w:rsid w:val="001B4963"/>
    <w:rsid w:val="001B535A"/>
    <w:rsid w:val="001B547D"/>
    <w:rsid w:val="001C0099"/>
    <w:rsid w:val="001C20F0"/>
    <w:rsid w:val="001C3554"/>
    <w:rsid w:val="001C4545"/>
    <w:rsid w:val="001C5E56"/>
    <w:rsid w:val="001D09BB"/>
    <w:rsid w:val="001D12C5"/>
    <w:rsid w:val="001E126D"/>
    <w:rsid w:val="001E7F5B"/>
    <w:rsid w:val="001F3AD3"/>
    <w:rsid w:val="00200502"/>
    <w:rsid w:val="00212B7C"/>
    <w:rsid w:val="0022040C"/>
    <w:rsid w:val="00224116"/>
    <w:rsid w:val="00224E5D"/>
    <w:rsid w:val="0022520F"/>
    <w:rsid w:val="002276A1"/>
    <w:rsid w:val="00230E1D"/>
    <w:rsid w:val="002344FB"/>
    <w:rsid w:val="00234681"/>
    <w:rsid w:val="002362D5"/>
    <w:rsid w:val="00237B13"/>
    <w:rsid w:val="00255A37"/>
    <w:rsid w:val="00257039"/>
    <w:rsid w:val="00257270"/>
    <w:rsid w:val="00263454"/>
    <w:rsid w:val="00265B4B"/>
    <w:rsid w:val="00267DEB"/>
    <w:rsid w:val="00270264"/>
    <w:rsid w:val="00283BF3"/>
    <w:rsid w:val="00286AF9"/>
    <w:rsid w:val="00290977"/>
    <w:rsid w:val="002B0410"/>
    <w:rsid w:val="002B2932"/>
    <w:rsid w:val="002B43F1"/>
    <w:rsid w:val="002B4D32"/>
    <w:rsid w:val="002C01DC"/>
    <w:rsid w:val="002C0320"/>
    <w:rsid w:val="002C3EE0"/>
    <w:rsid w:val="002D50BF"/>
    <w:rsid w:val="002D67F5"/>
    <w:rsid w:val="002E11A4"/>
    <w:rsid w:val="002F0012"/>
    <w:rsid w:val="002F200C"/>
    <w:rsid w:val="003052F1"/>
    <w:rsid w:val="00307EA6"/>
    <w:rsid w:val="00312912"/>
    <w:rsid w:val="00313068"/>
    <w:rsid w:val="0031488B"/>
    <w:rsid w:val="00314B8B"/>
    <w:rsid w:val="00324139"/>
    <w:rsid w:val="0032745C"/>
    <w:rsid w:val="00327926"/>
    <w:rsid w:val="00335FC9"/>
    <w:rsid w:val="00340E43"/>
    <w:rsid w:val="003513C3"/>
    <w:rsid w:val="00351E67"/>
    <w:rsid w:val="00352DC6"/>
    <w:rsid w:val="00356B49"/>
    <w:rsid w:val="0036427B"/>
    <w:rsid w:val="003771E2"/>
    <w:rsid w:val="0038318C"/>
    <w:rsid w:val="00383C6E"/>
    <w:rsid w:val="003842D7"/>
    <w:rsid w:val="003848A4"/>
    <w:rsid w:val="00385B78"/>
    <w:rsid w:val="00392CDF"/>
    <w:rsid w:val="003976C2"/>
    <w:rsid w:val="003A15C3"/>
    <w:rsid w:val="003A65D2"/>
    <w:rsid w:val="003B0F7C"/>
    <w:rsid w:val="003B70EB"/>
    <w:rsid w:val="003B7156"/>
    <w:rsid w:val="003C0468"/>
    <w:rsid w:val="003C2121"/>
    <w:rsid w:val="003C2699"/>
    <w:rsid w:val="003C2E01"/>
    <w:rsid w:val="003C353A"/>
    <w:rsid w:val="003C7AE7"/>
    <w:rsid w:val="003D30D8"/>
    <w:rsid w:val="003E3F77"/>
    <w:rsid w:val="003F1D8A"/>
    <w:rsid w:val="003F25EB"/>
    <w:rsid w:val="003F5751"/>
    <w:rsid w:val="00402813"/>
    <w:rsid w:val="0040700E"/>
    <w:rsid w:val="00414ED2"/>
    <w:rsid w:val="00415B75"/>
    <w:rsid w:val="00416F2A"/>
    <w:rsid w:val="00423BEF"/>
    <w:rsid w:val="00424E4B"/>
    <w:rsid w:val="00431191"/>
    <w:rsid w:val="00432C89"/>
    <w:rsid w:val="00435AD3"/>
    <w:rsid w:val="00437420"/>
    <w:rsid w:val="0043763E"/>
    <w:rsid w:val="00441625"/>
    <w:rsid w:val="004438E8"/>
    <w:rsid w:val="004456F2"/>
    <w:rsid w:val="00446551"/>
    <w:rsid w:val="00450402"/>
    <w:rsid w:val="00451828"/>
    <w:rsid w:val="00451BC9"/>
    <w:rsid w:val="00454816"/>
    <w:rsid w:val="004605C7"/>
    <w:rsid w:val="00460F46"/>
    <w:rsid w:val="0046327D"/>
    <w:rsid w:val="00474002"/>
    <w:rsid w:val="00475896"/>
    <w:rsid w:val="00475E3D"/>
    <w:rsid w:val="00475F4F"/>
    <w:rsid w:val="00476809"/>
    <w:rsid w:val="004775F7"/>
    <w:rsid w:val="00477AE9"/>
    <w:rsid w:val="00481A34"/>
    <w:rsid w:val="00481A68"/>
    <w:rsid w:val="004848AA"/>
    <w:rsid w:val="004923D0"/>
    <w:rsid w:val="00492BDC"/>
    <w:rsid w:val="004947D8"/>
    <w:rsid w:val="00494CE5"/>
    <w:rsid w:val="00495C1C"/>
    <w:rsid w:val="004964E4"/>
    <w:rsid w:val="00496C08"/>
    <w:rsid w:val="004A09A9"/>
    <w:rsid w:val="004A56BD"/>
    <w:rsid w:val="004B219D"/>
    <w:rsid w:val="004B612E"/>
    <w:rsid w:val="004C0376"/>
    <w:rsid w:val="004C061E"/>
    <w:rsid w:val="004C1256"/>
    <w:rsid w:val="004C60A0"/>
    <w:rsid w:val="004D01E9"/>
    <w:rsid w:val="004E7A5D"/>
    <w:rsid w:val="004F0396"/>
    <w:rsid w:val="004F0791"/>
    <w:rsid w:val="004F141A"/>
    <w:rsid w:val="004F46CB"/>
    <w:rsid w:val="004F6211"/>
    <w:rsid w:val="004F6712"/>
    <w:rsid w:val="00500999"/>
    <w:rsid w:val="005022E4"/>
    <w:rsid w:val="00502CDA"/>
    <w:rsid w:val="005054B5"/>
    <w:rsid w:val="00511D93"/>
    <w:rsid w:val="00512891"/>
    <w:rsid w:val="005151C0"/>
    <w:rsid w:val="00516DC4"/>
    <w:rsid w:val="005178FF"/>
    <w:rsid w:val="00517C2A"/>
    <w:rsid w:val="00524322"/>
    <w:rsid w:val="00526DA6"/>
    <w:rsid w:val="00532279"/>
    <w:rsid w:val="00540A87"/>
    <w:rsid w:val="00540CD0"/>
    <w:rsid w:val="00545672"/>
    <w:rsid w:val="005501E1"/>
    <w:rsid w:val="00550E14"/>
    <w:rsid w:val="00555810"/>
    <w:rsid w:val="005622E6"/>
    <w:rsid w:val="00562E9B"/>
    <w:rsid w:val="005646F8"/>
    <w:rsid w:val="00566697"/>
    <w:rsid w:val="005668B2"/>
    <w:rsid w:val="00576B81"/>
    <w:rsid w:val="005804F5"/>
    <w:rsid w:val="00587D54"/>
    <w:rsid w:val="0059662E"/>
    <w:rsid w:val="005A0D8A"/>
    <w:rsid w:val="005A1899"/>
    <w:rsid w:val="005A30F5"/>
    <w:rsid w:val="005A7EDB"/>
    <w:rsid w:val="005B49FF"/>
    <w:rsid w:val="005B59A9"/>
    <w:rsid w:val="005C0380"/>
    <w:rsid w:val="005C3730"/>
    <w:rsid w:val="005C44C0"/>
    <w:rsid w:val="005C5C59"/>
    <w:rsid w:val="005D1603"/>
    <w:rsid w:val="005D263B"/>
    <w:rsid w:val="005D2F05"/>
    <w:rsid w:val="005D56DD"/>
    <w:rsid w:val="005E2838"/>
    <w:rsid w:val="005E2DC5"/>
    <w:rsid w:val="005E3524"/>
    <w:rsid w:val="005E79E5"/>
    <w:rsid w:val="005F3356"/>
    <w:rsid w:val="0060676C"/>
    <w:rsid w:val="00607679"/>
    <w:rsid w:val="00614249"/>
    <w:rsid w:val="0062445B"/>
    <w:rsid w:val="0063586E"/>
    <w:rsid w:val="00641D4B"/>
    <w:rsid w:val="00642AF0"/>
    <w:rsid w:val="00653FD5"/>
    <w:rsid w:val="00662338"/>
    <w:rsid w:val="00666256"/>
    <w:rsid w:val="006668F8"/>
    <w:rsid w:val="00674B43"/>
    <w:rsid w:val="00674F0D"/>
    <w:rsid w:val="006808CA"/>
    <w:rsid w:val="00680F5E"/>
    <w:rsid w:val="006810BF"/>
    <w:rsid w:val="0068338A"/>
    <w:rsid w:val="0068512F"/>
    <w:rsid w:val="00687229"/>
    <w:rsid w:val="00691199"/>
    <w:rsid w:val="0069199A"/>
    <w:rsid w:val="00693DF1"/>
    <w:rsid w:val="006A493C"/>
    <w:rsid w:val="006A64F3"/>
    <w:rsid w:val="006A7517"/>
    <w:rsid w:val="006B02BB"/>
    <w:rsid w:val="006C4E70"/>
    <w:rsid w:val="006D3081"/>
    <w:rsid w:val="006E20C0"/>
    <w:rsid w:val="006E5964"/>
    <w:rsid w:val="006E769B"/>
    <w:rsid w:val="006E7A53"/>
    <w:rsid w:val="006F05E6"/>
    <w:rsid w:val="006F41A0"/>
    <w:rsid w:val="006F525D"/>
    <w:rsid w:val="007009A1"/>
    <w:rsid w:val="00703EDF"/>
    <w:rsid w:val="00707B77"/>
    <w:rsid w:val="00710843"/>
    <w:rsid w:val="00711614"/>
    <w:rsid w:val="00711E87"/>
    <w:rsid w:val="00721741"/>
    <w:rsid w:val="00721B59"/>
    <w:rsid w:val="0072234A"/>
    <w:rsid w:val="00724684"/>
    <w:rsid w:val="007310EC"/>
    <w:rsid w:val="007362B9"/>
    <w:rsid w:val="00746BD1"/>
    <w:rsid w:val="007471DA"/>
    <w:rsid w:val="007476EE"/>
    <w:rsid w:val="00751343"/>
    <w:rsid w:val="00752A57"/>
    <w:rsid w:val="00760581"/>
    <w:rsid w:val="00764DDD"/>
    <w:rsid w:val="00770CAC"/>
    <w:rsid w:val="00770DB9"/>
    <w:rsid w:val="00771916"/>
    <w:rsid w:val="00771B1E"/>
    <w:rsid w:val="007752B5"/>
    <w:rsid w:val="0078076C"/>
    <w:rsid w:val="007850F3"/>
    <w:rsid w:val="0079037E"/>
    <w:rsid w:val="00793B9C"/>
    <w:rsid w:val="007A013F"/>
    <w:rsid w:val="007B3311"/>
    <w:rsid w:val="007C7E2B"/>
    <w:rsid w:val="007D02F8"/>
    <w:rsid w:val="007D0CCA"/>
    <w:rsid w:val="007D3F12"/>
    <w:rsid w:val="007E14EF"/>
    <w:rsid w:val="007E1713"/>
    <w:rsid w:val="007E5C88"/>
    <w:rsid w:val="007E6E8B"/>
    <w:rsid w:val="007F3B26"/>
    <w:rsid w:val="008031EA"/>
    <w:rsid w:val="00803735"/>
    <w:rsid w:val="00804558"/>
    <w:rsid w:val="00812385"/>
    <w:rsid w:val="00813BCE"/>
    <w:rsid w:val="00814C88"/>
    <w:rsid w:val="00815142"/>
    <w:rsid w:val="00815A7D"/>
    <w:rsid w:val="00820E6C"/>
    <w:rsid w:val="00824DDC"/>
    <w:rsid w:val="0082527A"/>
    <w:rsid w:val="00831FEC"/>
    <w:rsid w:val="00835E55"/>
    <w:rsid w:val="008426C4"/>
    <w:rsid w:val="00846421"/>
    <w:rsid w:val="008465E9"/>
    <w:rsid w:val="0084674B"/>
    <w:rsid w:val="00852E55"/>
    <w:rsid w:val="00853667"/>
    <w:rsid w:val="00853B44"/>
    <w:rsid w:val="00854BF3"/>
    <w:rsid w:val="00862446"/>
    <w:rsid w:val="00874EE5"/>
    <w:rsid w:val="00884FD0"/>
    <w:rsid w:val="00897C78"/>
    <w:rsid w:val="008A64DA"/>
    <w:rsid w:val="008B089D"/>
    <w:rsid w:val="008B130B"/>
    <w:rsid w:val="008B2A77"/>
    <w:rsid w:val="008B6E41"/>
    <w:rsid w:val="008C6B6A"/>
    <w:rsid w:val="008D4F5A"/>
    <w:rsid w:val="008E2CCF"/>
    <w:rsid w:val="009002C4"/>
    <w:rsid w:val="009016D7"/>
    <w:rsid w:val="00903CB8"/>
    <w:rsid w:val="009044B6"/>
    <w:rsid w:val="009045C2"/>
    <w:rsid w:val="009067E0"/>
    <w:rsid w:val="00906877"/>
    <w:rsid w:val="00906A94"/>
    <w:rsid w:val="00907959"/>
    <w:rsid w:val="0091253B"/>
    <w:rsid w:val="00915CA1"/>
    <w:rsid w:val="0091755D"/>
    <w:rsid w:val="00917D3A"/>
    <w:rsid w:val="0092486A"/>
    <w:rsid w:val="00927400"/>
    <w:rsid w:val="00927FD1"/>
    <w:rsid w:val="00931E94"/>
    <w:rsid w:val="0094189A"/>
    <w:rsid w:val="00942073"/>
    <w:rsid w:val="009463AD"/>
    <w:rsid w:val="009548E4"/>
    <w:rsid w:val="0096682D"/>
    <w:rsid w:val="00970597"/>
    <w:rsid w:val="00977AC9"/>
    <w:rsid w:val="0098476D"/>
    <w:rsid w:val="00995080"/>
    <w:rsid w:val="009A0DB1"/>
    <w:rsid w:val="009A54D7"/>
    <w:rsid w:val="009B25ED"/>
    <w:rsid w:val="009B553F"/>
    <w:rsid w:val="009B691A"/>
    <w:rsid w:val="009C367E"/>
    <w:rsid w:val="009C42D7"/>
    <w:rsid w:val="009C6984"/>
    <w:rsid w:val="009D450B"/>
    <w:rsid w:val="009D4DDC"/>
    <w:rsid w:val="009D5D6B"/>
    <w:rsid w:val="009E1946"/>
    <w:rsid w:val="009E593F"/>
    <w:rsid w:val="009E6EF6"/>
    <w:rsid w:val="009F3606"/>
    <w:rsid w:val="009F3CFF"/>
    <w:rsid w:val="009F572F"/>
    <w:rsid w:val="009F7F49"/>
    <w:rsid w:val="00A00941"/>
    <w:rsid w:val="00A0200F"/>
    <w:rsid w:val="00A020AF"/>
    <w:rsid w:val="00A05758"/>
    <w:rsid w:val="00A05A28"/>
    <w:rsid w:val="00A0639A"/>
    <w:rsid w:val="00A1154C"/>
    <w:rsid w:val="00A1786B"/>
    <w:rsid w:val="00A23A09"/>
    <w:rsid w:val="00A3128F"/>
    <w:rsid w:val="00A33BAA"/>
    <w:rsid w:val="00A37FF0"/>
    <w:rsid w:val="00A4318E"/>
    <w:rsid w:val="00A4582F"/>
    <w:rsid w:val="00A50B61"/>
    <w:rsid w:val="00A5304F"/>
    <w:rsid w:val="00A549D7"/>
    <w:rsid w:val="00A54DFA"/>
    <w:rsid w:val="00A575C8"/>
    <w:rsid w:val="00A57C1B"/>
    <w:rsid w:val="00A57C26"/>
    <w:rsid w:val="00A6076F"/>
    <w:rsid w:val="00A679F4"/>
    <w:rsid w:val="00A72351"/>
    <w:rsid w:val="00A90BCE"/>
    <w:rsid w:val="00AA2E89"/>
    <w:rsid w:val="00AA317C"/>
    <w:rsid w:val="00AA4874"/>
    <w:rsid w:val="00AA7D49"/>
    <w:rsid w:val="00AB32A1"/>
    <w:rsid w:val="00AB6B82"/>
    <w:rsid w:val="00AB7083"/>
    <w:rsid w:val="00AB718A"/>
    <w:rsid w:val="00AB725B"/>
    <w:rsid w:val="00AC10AE"/>
    <w:rsid w:val="00AC35D7"/>
    <w:rsid w:val="00AC6C4B"/>
    <w:rsid w:val="00AE6109"/>
    <w:rsid w:val="00AE6112"/>
    <w:rsid w:val="00AF27E2"/>
    <w:rsid w:val="00AF4C00"/>
    <w:rsid w:val="00AF5CD4"/>
    <w:rsid w:val="00B01670"/>
    <w:rsid w:val="00B020AC"/>
    <w:rsid w:val="00B05A23"/>
    <w:rsid w:val="00B101BE"/>
    <w:rsid w:val="00B1053A"/>
    <w:rsid w:val="00B10E0C"/>
    <w:rsid w:val="00B2322B"/>
    <w:rsid w:val="00B306DF"/>
    <w:rsid w:val="00B3293A"/>
    <w:rsid w:val="00B3614E"/>
    <w:rsid w:val="00B3636D"/>
    <w:rsid w:val="00B375B8"/>
    <w:rsid w:val="00B375BD"/>
    <w:rsid w:val="00B446F4"/>
    <w:rsid w:val="00B46310"/>
    <w:rsid w:val="00B46C3A"/>
    <w:rsid w:val="00B53F9D"/>
    <w:rsid w:val="00B5517F"/>
    <w:rsid w:val="00B573AE"/>
    <w:rsid w:val="00B6710A"/>
    <w:rsid w:val="00B67DBB"/>
    <w:rsid w:val="00B70D08"/>
    <w:rsid w:val="00B72245"/>
    <w:rsid w:val="00B74EDE"/>
    <w:rsid w:val="00B806FA"/>
    <w:rsid w:val="00B80B9E"/>
    <w:rsid w:val="00B82664"/>
    <w:rsid w:val="00B853E0"/>
    <w:rsid w:val="00B85AF4"/>
    <w:rsid w:val="00B86DAA"/>
    <w:rsid w:val="00B94781"/>
    <w:rsid w:val="00B9714A"/>
    <w:rsid w:val="00BA0D89"/>
    <w:rsid w:val="00BA41E3"/>
    <w:rsid w:val="00BC5933"/>
    <w:rsid w:val="00BC7B43"/>
    <w:rsid w:val="00BD2745"/>
    <w:rsid w:val="00BE14E2"/>
    <w:rsid w:val="00BE2C61"/>
    <w:rsid w:val="00BE3288"/>
    <w:rsid w:val="00BE4618"/>
    <w:rsid w:val="00BE5770"/>
    <w:rsid w:val="00BF44A1"/>
    <w:rsid w:val="00BF7875"/>
    <w:rsid w:val="00C00FAB"/>
    <w:rsid w:val="00C018D5"/>
    <w:rsid w:val="00C02FD3"/>
    <w:rsid w:val="00C03A93"/>
    <w:rsid w:val="00C03E85"/>
    <w:rsid w:val="00C04061"/>
    <w:rsid w:val="00C102AB"/>
    <w:rsid w:val="00C13170"/>
    <w:rsid w:val="00C145B5"/>
    <w:rsid w:val="00C17DE6"/>
    <w:rsid w:val="00C23DAF"/>
    <w:rsid w:val="00C3219B"/>
    <w:rsid w:val="00C34183"/>
    <w:rsid w:val="00C379C8"/>
    <w:rsid w:val="00C41E15"/>
    <w:rsid w:val="00C55D4F"/>
    <w:rsid w:val="00C5796C"/>
    <w:rsid w:val="00C62640"/>
    <w:rsid w:val="00C65062"/>
    <w:rsid w:val="00C700F6"/>
    <w:rsid w:val="00C7346F"/>
    <w:rsid w:val="00C73C12"/>
    <w:rsid w:val="00C75B35"/>
    <w:rsid w:val="00C812D8"/>
    <w:rsid w:val="00C86013"/>
    <w:rsid w:val="00C87A80"/>
    <w:rsid w:val="00C90CFC"/>
    <w:rsid w:val="00C915A5"/>
    <w:rsid w:val="00CA07CC"/>
    <w:rsid w:val="00CB0BDD"/>
    <w:rsid w:val="00CB19D1"/>
    <w:rsid w:val="00CB2E12"/>
    <w:rsid w:val="00CC3A65"/>
    <w:rsid w:val="00CC474C"/>
    <w:rsid w:val="00CC5A55"/>
    <w:rsid w:val="00CC6551"/>
    <w:rsid w:val="00CC6C36"/>
    <w:rsid w:val="00CD0E9F"/>
    <w:rsid w:val="00CD6E01"/>
    <w:rsid w:val="00CD7B32"/>
    <w:rsid w:val="00CE0293"/>
    <w:rsid w:val="00CE50D8"/>
    <w:rsid w:val="00CE70B4"/>
    <w:rsid w:val="00CF1214"/>
    <w:rsid w:val="00CF1442"/>
    <w:rsid w:val="00CF15B4"/>
    <w:rsid w:val="00CF45DA"/>
    <w:rsid w:val="00CF5EDC"/>
    <w:rsid w:val="00D007F1"/>
    <w:rsid w:val="00D00E37"/>
    <w:rsid w:val="00D05945"/>
    <w:rsid w:val="00D066BB"/>
    <w:rsid w:val="00D10F47"/>
    <w:rsid w:val="00D2172C"/>
    <w:rsid w:val="00D21894"/>
    <w:rsid w:val="00D23026"/>
    <w:rsid w:val="00D247C4"/>
    <w:rsid w:val="00D24E74"/>
    <w:rsid w:val="00D27049"/>
    <w:rsid w:val="00D31CFC"/>
    <w:rsid w:val="00D3282A"/>
    <w:rsid w:val="00D333FF"/>
    <w:rsid w:val="00D33A23"/>
    <w:rsid w:val="00D43720"/>
    <w:rsid w:val="00D443EA"/>
    <w:rsid w:val="00D4528D"/>
    <w:rsid w:val="00D512B2"/>
    <w:rsid w:val="00D5346E"/>
    <w:rsid w:val="00D618B6"/>
    <w:rsid w:val="00D639E3"/>
    <w:rsid w:val="00D64CC9"/>
    <w:rsid w:val="00D6562B"/>
    <w:rsid w:val="00D66502"/>
    <w:rsid w:val="00D71F4E"/>
    <w:rsid w:val="00D74075"/>
    <w:rsid w:val="00D763AA"/>
    <w:rsid w:val="00D8022B"/>
    <w:rsid w:val="00D81777"/>
    <w:rsid w:val="00D85C15"/>
    <w:rsid w:val="00D86DC6"/>
    <w:rsid w:val="00D87C8A"/>
    <w:rsid w:val="00D92448"/>
    <w:rsid w:val="00D92584"/>
    <w:rsid w:val="00D9494C"/>
    <w:rsid w:val="00D94FEF"/>
    <w:rsid w:val="00D95764"/>
    <w:rsid w:val="00D9637D"/>
    <w:rsid w:val="00D96B6E"/>
    <w:rsid w:val="00DA3F34"/>
    <w:rsid w:val="00DA417B"/>
    <w:rsid w:val="00DA4E60"/>
    <w:rsid w:val="00DB5AC8"/>
    <w:rsid w:val="00DB608D"/>
    <w:rsid w:val="00DC2466"/>
    <w:rsid w:val="00DD23CA"/>
    <w:rsid w:val="00DD3971"/>
    <w:rsid w:val="00DD4C50"/>
    <w:rsid w:val="00DD6D30"/>
    <w:rsid w:val="00DE7567"/>
    <w:rsid w:val="00DF24E4"/>
    <w:rsid w:val="00DF41C0"/>
    <w:rsid w:val="00E1685F"/>
    <w:rsid w:val="00E16F27"/>
    <w:rsid w:val="00E17888"/>
    <w:rsid w:val="00E228E3"/>
    <w:rsid w:val="00E31034"/>
    <w:rsid w:val="00E31DF9"/>
    <w:rsid w:val="00E40D10"/>
    <w:rsid w:val="00E46141"/>
    <w:rsid w:val="00E46B99"/>
    <w:rsid w:val="00E504C1"/>
    <w:rsid w:val="00E5140B"/>
    <w:rsid w:val="00E51AF7"/>
    <w:rsid w:val="00E54E0E"/>
    <w:rsid w:val="00E65A0C"/>
    <w:rsid w:val="00E65D0B"/>
    <w:rsid w:val="00E759F6"/>
    <w:rsid w:val="00E8265A"/>
    <w:rsid w:val="00E83C51"/>
    <w:rsid w:val="00E86BBA"/>
    <w:rsid w:val="00E9206B"/>
    <w:rsid w:val="00E93652"/>
    <w:rsid w:val="00EA3138"/>
    <w:rsid w:val="00EA6B4D"/>
    <w:rsid w:val="00EA753C"/>
    <w:rsid w:val="00EB20DF"/>
    <w:rsid w:val="00EB2E16"/>
    <w:rsid w:val="00EB62FE"/>
    <w:rsid w:val="00EB75BE"/>
    <w:rsid w:val="00EC333F"/>
    <w:rsid w:val="00EC5775"/>
    <w:rsid w:val="00ED3708"/>
    <w:rsid w:val="00ED40BA"/>
    <w:rsid w:val="00ED4B7F"/>
    <w:rsid w:val="00ED5EA6"/>
    <w:rsid w:val="00ED605C"/>
    <w:rsid w:val="00EE04FC"/>
    <w:rsid w:val="00EE3A85"/>
    <w:rsid w:val="00EE3EDC"/>
    <w:rsid w:val="00EE3EE1"/>
    <w:rsid w:val="00EE639F"/>
    <w:rsid w:val="00EE7BD8"/>
    <w:rsid w:val="00EF097B"/>
    <w:rsid w:val="00EF2097"/>
    <w:rsid w:val="00F01F85"/>
    <w:rsid w:val="00F02299"/>
    <w:rsid w:val="00F03B62"/>
    <w:rsid w:val="00F1276F"/>
    <w:rsid w:val="00F12CB5"/>
    <w:rsid w:val="00F20A33"/>
    <w:rsid w:val="00F279B6"/>
    <w:rsid w:val="00F3421E"/>
    <w:rsid w:val="00F370B8"/>
    <w:rsid w:val="00F41928"/>
    <w:rsid w:val="00F41AA5"/>
    <w:rsid w:val="00F434D8"/>
    <w:rsid w:val="00F47413"/>
    <w:rsid w:val="00F50DC4"/>
    <w:rsid w:val="00F550E0"/>
    <w:rsid w:val="00F62DA2"/>
    <w:rsid w:val="00F63C52"/>
    <w:rsid w:val="00F71870"/>
    <w:rsid w:val="00F72A54"/>
    <w:rsid w:val="00F72D9F"/>
    <w:rsid w:val="00F753AE"/>
    <w:rsid w:val="00F800F0"/>
    <w:rsid w:val="00F81525"/>
    <w:rsid w:val="00F82A55"/>
    <w:rsid w:val="00F9672E"/>
    <w:rsid w:val="00FA0D75"/>
    <w:rsid w:val="00FA1F49"/>
    <w:rsid w:val="00FA21DF"/>
    <w:rsid w:val="00FA77B5"/>
    <w:rsid w:val="00FA7D42"/>
    <w:rsid w:val="00FB1BB8"/>
    <w:rsid w:val="00FB48B0"/>
    <w:rsid w:val="00FC18E3"/>
    <w:rsid w:val="00FC4DD8"/>
    <w:rsid w:val="00FC6F88"/>
    <w:rsid w:val="00FD0FCE"/>
    <w:rsid w:val="00FD2D60"/>
    <w:rsid w:val="00FD3D68"/>
    <w:rsid w:val="00FE0038"/>
    <w:rsid w:val="00FE0A29"/>
    <w:rsid w:val="00FE2EB7"/>
    <w:rsid w:val="00FE4917"/>
    <w:rsid w:val="00FF009C"/>
    <w:rsid w:val="00FF0584"/>
    <w:rsid w:val="00FF5682"/>
    <w:rsid w:val="6A37233B"/>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semiHidden="0" w:name="annotation text"/>
    <w:lsdException w:uiPriority="0" w:semiHidden="0" w:name="header"/>
    <w:lsdException w:uiPriority="99" w:semiHidden="0" w:name="footer"/>
    <w:lsdException w:uiPriority="99" w:name="index heading"/>
    <w:lsdException w:qFormat="1" w:uiPriority="99" w:semiHidden="0" w:name="caption"/>
    <w:lsdException w:uiPriority="99" w:semiHidden="0" w:name="table of figures"/>
    <w:lsdException w:uiPriority="99" w:name="envelope address"/>
    <w:lsdException w:uiPriority="99" w:name="envelope return"/>
    <w:lsdException w:qFormat="1" w:uiPriority="99" w:semiHidden="0" w:name="footnote reference"/>
    <w:lsdException w:uiPriority="0"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eastAsia="Calibri" w:cs="Times New Roman"/>
      <w:sz w:val="22"/>
      <w:szCs w:val="22"/>
      <w:lang w:val="hr-BA" w:eastAsia="en-US" w:bidi="ar-SA"/>
    </w:rPr>
  </w:style>
  <w:style w:type="paragraph" w:styleId="2">
    <w:name w:val="heading 1"/>
    <w:basedOn w:val="1"/>
    <w:next w:val="1"/>
    <w:link w:val="41"/>
    <w:qFormat/>
    <w:uiPriority w:val="99"/>
    <w:pPr>
      <w:keepNext/>
      <w:spacing w:before="240" w:after="60" w:line="276" w:lineRule="auto"/>
      <w:jc w:val="both"/>
      <w:outlineLvl w:val="0"/>
    </w:pPr>
    <w:rPr>
      <w:rFonts w:eastAsia="Times New Roman"/>
      <w:b/>
      <w:bCs/>
      <w:kern w:val="32"/>
      <w:sz w:val="32"/>
      <w:szCs w:val="32"/>
      <w:lang w:val="en-US"/>
    </w:rPr>
  </w:style>
  <w:style w:type="paragraph" w:styleId="3">
    <w:name w:val="heading 2"/>
    <w:basedOn w:val="1"/>
    <w:next w:val="1"/>
    <w:link w:val="42"/>
    <w:qFormat/>
    <w:uiPriority w:val="99"/>
    <w:pPr>
      <w:keepNext/>
      <w:spacing w:before="240" w:after="120"/>
      <w:jc w:val="both"/>
      <w:outlineLvl w:val="1"/>
    </w:pPr>
    <w:rPr>
      <w:rFonts w:eastAsia="Times New Roman" w:asciiTheme="minorHAnsi" w:hAnsiTheme="minorHAnsi" w:cstheme="minorHAnsi"/>
      <w:b/>
      <w:bCs/>
      <w:i/>
      <w:iCs/>
      <w:w w:val="102"/>
      <w:lang w:val="sr-Cyrl-RS"/>
    </w:rPr>
  </w:style>
  <w:style w:type="paragraph" w:styleId="4">
    <w:name w:val="heading 3"/>
    <w:basedOn w:val="1"/>
    <w:next w:val="1"/>
    <w:link w:val="43"/>
    <w:qFormat/>
    <w:uiPriority w:val="99"/>
    <w:pPr>
      <w:keepNext/>
      <w:spacing w:before="240" w:after="60" w:line="276" w:lineRule="auto"/>
      <w:jc w:val="both"/>
      <w:outlineLvl w:val="2"/>
    </w:pPr>
    <w:rPr>
      <w:rFonts w:eastAsia="Times New Roman"/>
      <w:b/>
      <w:bCs/>
      <w:szCs w:val="26"/>
      <w:lang w:val="en-US"/>
    </w:rPr>
  </w:style>
  <w:style w:type="paragraph" w:styleId="5">
    <w:name w:val="heading 4"/>
    <w:basedOn w:val="1"/>
    <w:next w:val="1"/>
    <w:link w:val="56"/>
    <w:unhideWhenUsed/>
    <w:qFormat/>
    <w:uiPriority w:val="9"/>
    <w:pPr>
      <w:keepNext/>
      <w:keepLines/>
      <w:spacing w:after="120"/>
      <w:ind w:firstLine="720"/>
      <w:jc w:val="both"/>
      <w:outlineLvl w:val="3"/>
    </w:pPr>
    <w:rPr>
      <w:rFonts w:eastAsia="Times New Roman" w:asciiTheme="minorHAnsi" w:hAnsiTheme="minorHAnsi" w:cstheme="minorHAnsi"/>
      <w:b/>
      <w:bCs/>
      <w:i/>
      <w:iCs/>
      <w:kern w:val="32"/>
      <w:lang w:val="sr-Latn-RS"/>
    </w:rPr>
  </w:style>
  <w:style w:type="paragraph" w:styleId="6">
    <w:name w:val="heading 6"/>
    <w:basedOn w:val="1"/>
    <w:next w:val="1"/>
    <w:link w:val="146"/>
    <w:semiHidden/>
    <w:unhideWhenUsed/>
    <w:qFormat/>
    <w:uiPriority w:val="9"/>
    <w:pPr>
      <w:keepNext/>
      <w:keepLines/>
      <w:spacing w:before="40"/>
      <w:outlineLvl w:val="5"/>
    </w:pPr>
    <w:rPr>
      <w:rFonts w:asciiTheme="majorHAnsi" w:hAnsiTheme="majorHAnsi" w:eastAsiaTheme="majorEastAsia" w:cstheme="majorBidi"/>
      <w:color w:val="1F4E79" w:themeColor="accent1" w:themeShade="80"/>
    </w:rPr>
  </w:style>
  <w:style w:type="character" w:default="1" w:styleId="26">
    <w:name w:val="Default Paragraph Font"/>
    <w:semiHidden/>
    <w:unhideWhenUsed/>
    <w:uiPriority w:val="1"/>
  </w:style>
  <w:style w:type="table" w:default="1" w:styleId="36">
    <w:name w:val="Normal Table"/>
    <w:semiHidden/>
    <w:unhideWhenUsed/>
    <w:uiPriority w:val="99"/>
    <w:tblPr>
      <w:tblLayout w:type="fixed"/>
      <w:tblCellMar>
        <w:top w:w="0" w:type="dxa"/>
        <w:left w:w="108" w:type="dxa"/>
        <w:bottom w:w="0" w:type="dxa"/>
        <w:right w:w="108" w:type="dxa"/>
      </w:tblCellMar>
    </w:tblPr>
  </w:style>
  <w:style w:type="paragraph" w:styleId="7">
    <w:name w:val="Balloon Text"/>
    <w:basedOn w:val="1"/>
    <w:link w:val="48"/>
    <w:semiHidden/>
    <w:unhideWhenUsed/>
    <w:uiPriority w:val="0"/>
    <w:rPr>
      <w:rFonts w:ascii="Segoe UI" w:hAnsi="Segoe UI" w:cs="Segoe UI"/>
      <w:sz w:val="18"/>
      <w:szCs w:val="18"/>
    </w:rPr>
  </w:style>
  <w:style w:type="paragraph" w:styleId="8">
    <w:name w:val="Body Text"/>
    <w:basedOn w:val="1"/>
    <w:link w:val="124"/>
    <w:uiPriority w:val="0"/>
    <w:pPr>
      <w:spacing w:after="120"/>
    </w:pPr>
    <w:rPr>
      <w:rFonts w:ascii="Times New Roman" w:hAnsi="Times New Roman" w:eastAsia="Times New Roman"/>
      <w:sz w:val="24"/>
      <w:szCs w:val="24"/>
      <w:lang w:val="en-CA"/>
    </w:rPr>
  </w:style>
  <w:style w:type="paragraph" w:styleId="9">
    <w:name w:val="Body Text 2"/>
    <w:basedOn w:val="1"/>
    <w:link w:val="135"/>
    <w:unhideWhenUsed/>
    <w:uiPriority w:val="99"/>
    <w:pPr>
      <w:spacing w:after="120" w:line="480" w:lineRule="auto"/>
    </w:pPr>
  </w:style>
  <w:style w:type="paragraph" w:styleId="10">
    <w:name w:val="Body Text Indent"/>
    <w:basedOn w:val="1"/>
    <w:link w:val="134"/>
    <w:semiHidden/>
    <w:unhideWhenUsed/>
    <w:uiPriority w:val="99"/>
    <w:pPr>
      <w:spacing w:after="120"/>
      <w:ind w:left="283"/>
    </w:pPr>
    <w:rPr>
      <w:rFonts w:ascii="Cir Times Roman" w:hAnsi="Cir Times Roman" w:eastAsia="Times New Roman"/>
      <w:sz w:val="24"/>
      <w:szCs w:val="24"/>
      <w:lang w:val="sr-Latn-CS"/>
    </w:rPr>
  </w:style>
  <w:style w:type="paragraph" w:styleId="11">
    <w:name w:val="Body Text Indent 3"/>
    <w:basedOn w:val="1"/>
    <w:link w:val="147"/>
    <w:semiHidden/>
    <w:unhideWhenUsed/>
    <w:uiPriority w:val="99"/>
    <w:pPr>
      <w:spacing w:after="120"/>
      <w:ind w:left="283"/>
    </w:pPr>
    <w:rPr>
      <w:sz w:val="16"/>
      <w:szCs w:val="16"/>
    </w:rPr>
  </w:style>
  <w:style w:type="paragraph" w:styleId="12">
    <w:name w:val="caption"/>
    <w:basedOn w:val="1"/>
    <w:next w:val="1"/>
    <w:unhideWhenUsed/>
    <w:qFormat/>
    <w:uiPriority w:val="99"/>
    <w:pPr>
      <w:spacing w:after="200"/>
    </w:pPr>
    <w:rPr>
      <w:b/>
      <w:bCs/>
      <w:color w:val="5B9BD5" w:themeColor="accent1"/>
      <w:sz w:val="18"/>
      <w:szCs w:val="18"/>
      <w14:textFill>
        <w14:solidFill>
          <w14:schemeClr w14:val="accent1"/>
        </w14:solidFill>
      </w14:textFill>
    </w:rPr>
  </w:style>
  <w:style w:type="paragraph" w:styleId="13">
    <w:name w:val="annotation text"/>
    <w:basedOn w:val="1"/>
    <w:link w:val="45"/>
    <w:unhideWhenUsed/>
    <w:uiPriority w:val="99"/>
    <w:rPr>
      <w:sz w:val="20"/>
      <w:szCs w:val="20"/>
    </w:rPr>
  </w:style>
  <w:style w:type="paragraph" w:styleId="14">
    <w:name w:val="annotation subject"/>
    <w:basedOn w:val="13"/>
    <w:next w:val="13"/>
    <w:link w:val="49"/>
    <w:semiHidden/>
    <w:unhideWhenUsed/>
    <w:uiPriority w:val="99"/>
    <w:rPr>
      <w:b/>
      <w:bCs/>
    </w:rPr>
  </w:style>
  <w:style w:type="paragraph" w:styleId="15">
    <w:name w:val="endnote text"/>
    <w:basedOn w:val="1"/>
    <w:link w:val="139"/>
    <w:semiHidden/>
    <w:unhideWhenUsed/>
    <w:uiPriority w:val="99"/>
    <w:rPr>
      <w:rFonts w:ascii="Times New Roman" w:hAnsi="Times New Roman" w:eastAsia="Times New Roman"/>
      <w:sz w:val="20"/>
      <w:szCs w:val="20"/>
      <w:lang w:val="en-US"/>
    </w:rPr>
  </w:style>
  <w:style w:type="paragraph" w:styleId="16">
    <w:name w:val="footer"/>
    <w:basedOn w:val="1"/>
    <w:link w:val="44"/>
    <w:unhideWhenUsed/>
    <w:uiPriority w:val="99"/>
    <w:pPr>
      <w:tabs>
        <w:tab w:val="center" w:pos="4680"/>
        <w:tab w:val="right" w:pos="9360"/>
      </w:tabs>
    </w:pPr>
  </w:style>
  <w:style w:type="paragraph" w:styleId="17">
    <w:name w:val="footnote text"/>
    <w:basedOn w:val="1"/>
    <w:link w:val="51"/>
    <w:unhideWhenUsed/>
    <w:qFormat/>
    <w:uiPriority w:val="99"/>
    <w:rPr>
      <w:sz w:val="20"/>
      <w:szCs w:val="20"/>
    </w:rPr>
  </w:style>
  <w:style w:type="paragraph" w:styleId="18">
    <w:name w:val="header"/>
    <w:basedOn w:val="1"/>
    <w:link w:val="50"/>
    <w:unhideWhenUsed/>
    <w:uiPriority w:val="0"/>
    <w:pPr>
      <w:tabs>
        <w:tab w:val="center" w:pos="4513"/>
        <w:tab w:val="right" w:pos="9026"/>
      </w:tabs>
    </w:pPr>
  </w:style>
  <w:style w:type="paragraph" w:styleId="19">
    <w:name w:val="List Bullet"/>
    <w:basedOn w:val="1"/>
    <w:unhideWhenUsed/>
    <w:uiPriority w:val="99"/>
    <w:pPr>
      <w:numPr>
        <w:ilvl w:val="0"/>
        <w:numId w:val="1"/>
      </w:numPr>
      <w:spacing w:after="200" w:line="276" w:lineRule="auto"/>
      <w:contextualSpacing/>
    </w:pPr>
    <w:rPr>
      <w:rFonts w:asciiTheme="minorHAnsi" w:hAnsiTheme="minorHAnsi" w:eastAsiaTheme="minorHAnsi" w:cstheme="minorBidi"/>
      <w:lang w:val="en-GB"/>
    </w:rPr>
  </w:style>
  <w:style w:type="paragraph" w:styleId="20">
    <w:name w:val="Normal (Web)"/>
    <w:basedOn w:val="1"/>
    <w:unhideWhenUsed/>
    <w:uiPriority w:val="99"/>
    <w:pPr>
      <w:spacing w:before="100" w:beforeAutospacing="1" w:after="100" w:afterAutospacing="1"/>
    </w:pPr>
    <w:rPr>
      <w:rFonts w:ascii="Times New Roman" w:hAnsi="Times New Roman" w:eastAsia="Times New Roman"/>
      <w:sz w:val="24"/>
      <w:szCs w:val="24"/>
      <w:lang w:eastAsia="hr-BA"/>
    </w:rPr>
  </w:style>
  <w:style w:type="paragraph" w:styleId="21">
    <w:name w:val="table of figures"/>
    <w:basedOn w:val="1"/>
    <w:next w:val="1"/>
    <w:unhideWhenUsed/>
    <w:uiPriority w:val="99"/>
    <w:pPr>
      <w:spacing w:line="276" w:lineRule="auto"/>
    </w:pPr>
    <w:rPr>
      <w:rFonts w:asciiTheme="minorHAnsi" w:hAnsiTheme="minorHAnsi" w:eastAsiaTheme="minorHAnsi" w:cstheme="minorBidi"/>
    </w:rPr>
  </w:style>
  <w:style w:type="paragraph" w:styleId="22">
    <w:name w:val="toc 1"/>
    <w:basedOn w:val="1"/>
    <w:next w:val="1"/>
    <w:unhideWhenUsed/>
    <w:uiPriority w:val="39"/>
    <w:pPr>
      <w:spacing w:after="100"/>
    </w:pPr>
  </w:style>
  <w:style w:type="paragraph" w:styleId="23">
    <w:name w:val="toc 2"/>
    <w:basedOn w:val="1"/>
    <w:next w:val="1"/>
    <w:unhideWhenUsed/>
    <w:uiPriority w:val="39"/>
    <w:pPr>
      <w:spacing w:after="100"/>
      <w:ind w:left="220"/>
    </w:pPr>
  </w:style>
  <w:style w:type="paragraph" w:styleId="24">
    <w:name w:val="toc 3"/>
    <w:basedOn w:val="1"/>
    <w:next w:val="1"/>
    <w:unhideWhenUsed/>
    <w:uiPriority w:val="39"/>
    <w:pPr>
      <w:spacing w:after="100"/>
      <w:ind w:left="440"/>
    </w:pPr>
  </w:style>
  <w:style w:type="paragraph" w:styleId="25">
    <w:name w:val="toc 4"/>
    <w:basedOn w:val="1"/>
    <w:next w:val="1"/>
    <w:unhideWhenUsed/>
    <w:uiPriority w:val="39"/>
    <w:pPr>
      <w:tabs>
        <w:tab w:val="right" w:leader="dot" w:pos="9350"/>
      </w:tabs>
      <w:spacing w:after="100"/>
      <w:ind w:left="660"/>
    </w:pPr>
    <w:rPr>
      <w:rFonts w:ascii="Calibri Light" w:hAnsi="Calibri Light" w:eastAsia="Times New Roman"/>
      <w:sz w:val="20"/>
      <w:szCs w:val="20"/>
    </w:rPr>
  </w:style>
  <w:style w:type="character" w:styleId="27">
    <w:name w:val="annotation reference"/>
    <w:unhideWhenUsed/>
    <w:uiPriority w:val="0"/>
    <w:rPr>
      <w:sz w:val="16"/>
      <w:szCs w:val="16"/>
    </w:rPr>
  </w:style>
  <w:style w:type="character" w:styleId="28">
    <w:name w:val="Emphasis"/>
    <w:basedOn w:val="26"/>
    <w:qFormat/>
    <w:uiPriority w:val="20"/>
    <w:rPr>
      <w:i/>
      <w:iCs/>
    </w:rPr>
  </w:style>
  <w:style w:type="character" w:styleId="29">
    <w:name w:val="endnote reference"/>
    <w:semiHidden/>
    <w:unhideWhenUsed/>
    <w:uiPriority w:val="99"/>
    <w:rPr>
      <w:vertAlign w:val="superscript"/>
    </w:rPr>
  </w:style>
  <w:style w:type="character" w:styleId="30">
    <w:name w:val="FollowedHyperlink"/>
    <w:basedOn w:val="26"/>
    <w:semiHidden/>
    <w:unhideWhenUsed/>
    <w:uiPriority w:val="99"/>
    <w:rPr>
      <w:color w:val="954F72" w:themeColor="followedHyperlink"/>
      <w:u w:val="single"/>
      <w14:textFill>
        <w14:solidFill>
          <w14:schemeClr w14:val="folHlink"/>
        </w14:solidFill>
      </w14:textFill>
    </w:rPr>
  </w:style>
  <w:style w:type="character" w:styleId="31">
    <w:name w:val="footnote reference"/>
    <w:basedOn w:val="26"/>
    <w:link w:val="32"/>
    <w:unhideWhenUsed/>
    <w:qFormat/>
    <w:uiPriority w:val="99"/>
    <w:rPr>
      <w:vertAlign w:val="superscript"/>
    </w:rPr>
  </w:style>
  <w:style w:type="paragraph" w:customStyle="1" w:styleId="32">
    <w:name w:val="ftref"/>
    <w:basedOn w:val="1"/>
    <w:link w:val="31"/>
    <w:uiPriority w:val="99"/>
    <w:pPr>
      <w:spacing w:after="160" w:line="240" w:lineRule="exact"/>
      <w:jc w:val="both"/>
    </w:pPr>
    <w:rPr>
      <w:rFonts w:asciiTheme="minorHAnsi" w:hAnsiTheme="minorHAnsi" w:eastAsiaTheme="minorHAnsi" w:cstheme="minorBidi"/>
      <w:vertAlign w:val="superscript"/>
      <w:lang w:val="en-US"/>
    </w:rPr>
  </w:style>
  <w:style w:type="character" w:styleId="33">
    <w:name w:val="Hyperlink"/>
    <w:basedOn w:val="26"/>
    <w:unhideWhenUsed/>
    <w:uiPriority w:val="99"/>
    <w:rPr>
      <w:color w:val="0563C1" w:themeColor="hyperlink"/>
      <w:u w:val="single"/>
      <w14:textFill>
        <w14:solidFill>
          <w14:schemeClr w14:val="hlink"/>
        </w14:solidFill>
      </w14:textFill>
    </w:rPr>
  </w:style>
  <w:style w:type="character" w:styleId="34">
    <w:name w:val="page number"/>
    <w:basedOn w:val="26"/>
    <w:semiHidden/>
    <w:unhideWhenUsed/>
    <w:uiPriority w:val="0"/>
  </w:style>
  <w:style w:type="character" w:styleId="35">
    <w:name w:val="Strong"/>
    <w:basedOn w:val="26"/>
    <w:qFormat/>
    <w:uiPriority w:val="22"/>
    <w:rPr>
      <w:b/>
      <w:bCs/>
    </w:rPr>
  </w:style>
  <w:style w:type="table" w:styleId="37">
    <w:name w:val="Table Grid"/>
    <w:basedOn w:val="3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8">
    <w:name w:val="Light Shading Accent 5"/>
    <w:basedOn w:val="36"/>
    <w:uiPriority w:val="60"/>
    <w:pPr>
      <w:spacing w:after="0" w:line="240" w:lineRule="auto"/>
    </w:pPr>
    <w:rPr>
      <w:color w:val="2F5597" w:themeColor="accent5" w:themeShade="BF"/>
    </w:rPr>
    <w:tblPr>
      <w:tblBorders>
        <w:top w:val="single" w:color="4472C4" w:themeColor="accent5" w:sz="8" w:space="0"/>
        <w:bottom w:val="single" w:color="4472C4" w:themeColor="accent5" w:sz="8" w:space="0"/>
      </w:tblBorders>
      <w:tblLayout w:type="fixed"/>
    </w:tblPr>
    <w:tblStylePr w:type="firstRow">
      <w:pPr>
        <w:spacing w:before="0" w:after="0" w:line="240" w:lineRule="auto"/>
      </w:pPr>
      <w:rPr>
        <w:b/>
        <w:bCs/>
      </w:rPr>
      <w:tblPr>
        <w:tblLayout w:type="fixed"/>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blLayout w:type="fixed"/>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0DCF0" w:themeFill="accent5" w:themeFillTint="3F"/>
      </w:tcPr>
    </w:tblStylePr>
    <w:tblStylePr w:type="band1Horz">
      <w:tblPr>
        <w:tblLayout w:type="fixed"/>
      </w:tblPr>
      <w:tcPr>
        <w:tcBorders>
          <w:left w:val="nil"/>
          <w:right w:val="nil"/>
          <w:insideH w:val="nil"/>
          <w:insideV w:val="nil"/>
        </w:tcBorders>
        <w:shd w:val="clear" w:color="auto" w:fill="D0DCF0" w:themeFill="accent5" w:themeFillTint="3F"/>
      </w:tcPr>
    </w:tblStylePr>
  </w:style>
  <w:style w:type="table" w:styleId="39">
    <w:name w:val="Light List Accent 2"/>
    <w:basedOn w:val="36"/>
    <w:uiPriority w:val="61"/>
    <w:pPr>
      <w:spacing w:after="0" w:line="240" w:lineRule="auto"/>
    </w:pPr>
    <w:rPr>
      <w:lang w:val="hr-HR"/>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ED7D31" w:themeFill="accent2"/>
      </w:tcPr>
    </w:tblStylePr>
    <w:tblStylePr w:type="lastRow">
      <w:pPr>
        <w:spacing w:before="0" w:after="0" w:line="240" w:lineRule="auto"/>
      </w:pPr>
      <w:rPr>
        <w:b/>
        <w:bCs/>
      </w:rPr>
      <w:tblPr>
        <w:tblLayout w:type="fixed"/>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blLayout w:type="fixed"/>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blLayout w:type="fixed"/>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40">
    <w:name w:val="Medium Shading 2 Accent 1"/>
    <w:basedOn w:val="36"/>
    <w:uiPriority w:val="64"/>
    <w:pPr>
      <w:spacing w:after="0" w:line="240" w:lineRule="auto"/>
    </w:pPr>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5B9BD5" w:themeFill="accent1"/>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character" w:customStyle="1" w:styleId="41">
    <w:name w:val="Heading 1 Char"/>
    <w:basedOn w:val="26"/>
    <w:link w:val="2"/>
    <w:uiPriority w:val="99"/>
    <w:rPr>
      <w:rFonts w:ascii="Calibri" w:hAnsi="Calibri" w:eastAsia="Times New Roman" w:cs="Times New Roman"/>
      <w:b/>
      <w:bCs/>
      <w:kern w:val="32"/>
      <w:sz w:val="32"/>
      <w:szCs w:val="32"/>
    </w:rPr>
  </w:style>
  <w:style w:type="character" w:customStyle="1" w:styleId="42">
    <w:name w:val="Heading 2 Char"/>
    <w:basedOn w:val="26"/>
    <w:link w:val="3"/>
    <w:uiPriority w:val="99"/>
    <w:rPr>
      <w:rFonts w:eastAsia="Times New Roman" w:cstheme="minorHAnsi"/>
      <w:b/>
      <w:bCs/>
      <w:i/>
      <w:iCs/>
      <w:w w:val="102"/>
      <w:lang w:val="sr-Cyrl-RS"/>
    </w:rPr>
  </w:style>
  <w:style w:type="character" w:customStyle="1" w:styleId="43">
    <w:name w:val="Heading 3 Char"/>
    <w:basedOn w:val="26"/>
    <w:link w:val="4"/>
    <w:uiPriority w:val="99"/>
    <w:rPr>
      <w:rFonts w:ascii="Calibri" w:hAnsi="Calibri" w:eastAsia="Times New Roman" w:cs="Times New Roman"/>
      <w:b/>
      <w:bCs/>
      <w:szCs w:val="26"/>
    </w:rPr>
  </w:style>
  <w:style w:type="character" w:customStyle="1" w:styleId="44">
    <w:name w:val="Footer Char"/>
    <w:basedOn w:val="26"/>
    <w:link w:val="16"/>
    <w:uiPriority w:val="99"/>
    <w:rPr>
      <w:rFonts w:ascii="Calibri" w:hAnsi="Calibri" w:eastAsia="Calibri" w:cs="Times New Roman"/>
      <w:lang w:val="sr-Latn-BA"/>
    </w:rPr>
  </w:style>
  <w:style w:type="character" w:customStyle="1" w:styleId="45">
    <w:name w:val="Comment Text Char"/>
    <w:basedOn w:val="26"/>
    <w:link w:val="13"/>
    <w:uiPriority w:val="99"/>
    <w:rPr>
      <w:rFonts w:ascii="Calibri" w:hAnsi="Calibri" w:eastAsia="Calibri" w:cs="Times New Roman"/>
      <w:sz w:val="20"/>
      <w:szCs w:val="20"/>
      <w:lang w:val="sr-Latn-BA"/>
    </w:rPr>
  </w:style>
  <w:style w:type="paragraph" w:styleId="46">
    <w:name w:val="List Paragraph"/>
    <w:basedOn w:val="1"/>
    <w:link w:val="47"/>
    <w:qFormat/>
    <w:uiPriority w:val="34"/>
    <w:pPr>
      <w:spacing w:before="120" w:line="276" w:lineRule="auto"/>
      <w:ind w:left="720"/>
      <w:contextualSpacing/>
      <w:jc w:val="both"/>
    </w:pPr>
    <w:rPr>
      <w:rFonts w:eastAsia="Times New Roman"/>
      <w:lang w:val="en-US"/>
    </w:rPr>
  </w:style>
  <w:style w:type="character" w:customStyle="1" w:styleId="47">
    <w:name w:val="List Paragraph Char"/>
    <w:link w:val="46"/>
    <w:locked/>
    <w:uiPriority w:val="34"/>
    <w:rPr>
      <w:rFonts w:ascii="Calibri" w:hAnsi="Calibri" w:eastAsia="Times New Roman" w:cs="Times New Roman"/>
    </w:rPr>
  </w:style>
  <w:style w:type="character" w:customStyle="1" w:styleId="48">
    <w:name w:val="Balloon Text Char"/>
    <w:basedOn w:val="26"/>
    <w:link w:val="7"/>
    <w:semiHidden/>
    <w:uiPriority w:val="0"/>
    <w:rPr>
      <w:rFonts w:ascii="Segoe UI" w:hAnsi="Segoe UI" w:eastAsia="Calibri" w:cs="Segoe UI"/>
      <w:sz w:val="18"/>
      <w:szCs w:val="18"/>
      <w:lang w:val="sr-Latn-BA"/>
    </w:rPr>
  </w:style>
  <w:style w:type="character" w:customStyle="1" w:styleId="49">
    <w:name w:val="Comment Subject Char"/>
    <w:basedOn w:val="45"/>
    <w:link w:val="14"/>
    <w:semiHidden/>
    <w:uiPriority w:val="99"/>
    <w:rPr>
      <w:rFonts w:ascii="Calibri" w:hAnsi="Calibri" w:eastAsia="Calibri" w:cs="Times New Roman"/>
      <w:b/>
      <w:bCs/>
      <w:sz w:val="20"/>
      <w:szCs w:val="20"/>
      <w:lang w:val="sr-Latn-BA"/>
    </w:rPr>
  </w:style>
  <w:style w:type="character" w:customStyle="1" w:styleId="50">
    <w:name w:val="Header Char"/>
    <w:basedOn w:val="26"/>
    <w:link w:val="18"/>
    <w:uiPriority w:val="0"/>
    <w:rPr>
      <w:rFonts w:ascii="Calibri" w:hAnsi="Calibri" w:eastAsia="Calibri" w:cs="Times New Roman"/>
      <w:lang w:val="sr-Latn-BA"/>
    </w:rPr>
  </w:style>
  <w:style w:type="character" w:customStyle="1" w:styleId="51">
    <w:name w:val="Footnote Text Char"/>
    <w:basedOn w:val="26"/>
    <w:link w:val="17"/>
    <w:uiPriority w:val="99"/>
    <w:rPr>
      <w:rFonts w:ascii="Calibri" w:hAnsi="Calibri" w:eastAsia="Calibri" w:cs="Times New Roman"/>
      <w:sz w:val="20"/>
      <w:szCs w:val="20"/>
      <w:lang w:val="sr-Latn-BA"/>
    </w:rPr>
  </w:style>
  <w:style w:type="character" w:customStyle="1" w:styleId="52">
    <w:name w:val="apple-converted-space"/>
    <w:basedOn w:val="26"/>
    <w:uiPriority w:val="0"/>
  </w:style>
  <w:style w:type="paragraph" w:customStyle="1" w:styleId="53">
    <w:name w:val="Default"/>
    <w:qFormat/>
    <w:uiPriority w:val="0"/>
    <w:pPr>
      <w:autoSpaceDE w:val="0"/>
      <w:autoSpaceDN w:val="0"/>
      <w:adjustRightInd w:val="0"/>
      <w:spacing w:after="0" w:line="240" w:lineRule="auto"/>
    </w:pPr>
    <w:rPr>
      <w:rFonts w:ascii="Trebuchet MS" w:hAnsi="Trebuchet MS" w:eastAsia="Calibri" w:cs="Trebuchet MS"/>
      <w:color w:val="000000"/>
      <w:sz w:val="24"/>
      <w:szCs w:val="24"/>
      <w:lang w:val="hr-HR" w:eastAsia="hr-HR" w:bidi="ar-SA"/>
    </w:rPr>
  </w:style>
  <w:style w:type="paragraph" w:styleId="54">
    <w:name w:val="No Spacing"/>
    <w:link w:val="55"/>
    <w:qFormat/>
    <w:uiPriority w:val="1"/>
    <w:pPr>
      <w:spacing w:after="0" w:line="240" w:lineRule="auto"/>
    </w:pPr>
    <w:rPr>
      <w:rFonts w:ascii="Calibri" w:hAnsi="Calibri" w:eastAsia="Calibri" w:cs="Times New Roman"/>
      <w:sz w:val="22"/>
      <w:szCs w:val="22"/>
      <w:lang w:val="sr-Latn-CS" w:eastAsia="en-US" w:bidi="ar-SA"/>
    </w:rPr>
  </w:style>
  <w:style w:type="character" w:customStyle="1" w:styleId="55">
    <w:name w:val="No Spacing Char"/>
    <w:link w:val="54"/>
    <w:uiPriority w:val="1"/>
    <w:rPr>
      <w:rFonts w:ascii="Calibri" w:hAnsi="Calibri" w:eastAsia="Calibri" w:cs="Times New Roman"/>
      <w:lang w:val="sr-Latn-CS"/>
    </w:rPr>
  </w:style>
  <w:style w:type="character" w:customStyle="1" w:styleId="56">
    <w:name w:val="Heading 4 Char"/>
    <w:basedOn w:val="26"/>
    <w:link w:val="5"/>
    <w:uiPriority w:val="9"/>
    <w:rPr>
      <w:rFonts w:eastAsia="Times New Roman" w:cstheme="minorHAnsi"/>
      <w:b/>
      <w:bCs/>
      <w:i/>
      <w:iCs/>
      <w:kern w:val="32"/>
      <w:lang w:val="sr-Latn-RS"/>
    </w:rPr>
  </w:style>
  <w:style w:type="character" w:customStyle="1" w:styleId="57">
    <w:name w:val="Intense Emphasis"/>
    <w:basedOn w:val="26"/>
    <w:qFormat/>
    <w:uiPriority w:val="21"/>
    <w:rPr>
      <w:b/>
      <w:bCs/>
      <w:i/>
      <w:iCs/>
      <w:color w:val="5B9BD5" w:themeColor="accent1"/>
      <w14:textFill>
        <w14:solidFill>
          <w14:schemeClr w14:val="accent1"/>
        </w14:solidFill>
      </w14:textFill>
    </w:rPr>
  </w:style>
  <w:style w:type="paragraph" w:customStyle="1" w:styleId="58">
    <w:name w:val="font0"/>
    <w:basedOn w:val="1"/>
    <w:uiPriority w:val="0"/>
    <w:pPr>
      <w:spacing w:before="100" w:beforeAutospacing="1" w:after="100" w:afterAutospacing="1"/>
    </w:pPr>
    <w:rPr>
      <w:rFonts w:eastAsia="Times New Roman"/>
      <w:color w:val="000000"/>
      <w:lang w:val="hr-HR" w:eastAsia="hr-HR"/>
    </w:rPr>
  </w:style>
  <w:style w:type="paragraph" w:customStyle="1" w:styleId="59">
    <w:name w:val="font5"/>
    <w:basedOn w:val="1"/>
    <w:uiPriority w:val="0"/>
    <w:pPr>
      <w:spacing w:before="100" w:beforeAutospacing="1" w:after="100" w:afterAutospacing="1"/>
    </w:pPr>
    <w:rPr>
      <w:rFonts w:eastAsia="Times New Roman"/>
      <w:color w:val="FF0000"/>
      <w:sz w:val="20"/>
      <w:szCs w:val="20"/>
      <w:lang w:val="hr-HR" w:eastAsia="hr-HR"/>
    </w:rPr>
  </w:style>
  <w:style w:type="paragraph" w:customStyle="1" w:styleId="60">
    <w:name w:val="font6"/>
    <w:basedOn w:val="1"/>
    <w:uiPriority w:val="0"/>
    <w:pPr>
      <w:spacing w:before="100" w:beforeAutospacing="1" w:after="100" w:afterAutospacing="1"/>
    </w:pPr>
    <w:rPr>
      <w:rFonts w:eastAsia="Times New Roman"/>
      <w:sz w:val="20"/>
      <w:szCs w:val="20"/>
      <w:lang w:val="hr-HR" w:eastAsia="hr-HR"/>
    </w:rPr>
  </w:style>
  <w:style w:type="paragraph" w:customStyle="1" w:styleId="61">
    <w:name w:val="font7"/>
    <w:basedOn w:val="1"/>
    <w:uiPriority w:val="0"/>
    <w:pPr>
      <w:spacing w:before="100" w:beforeAutospacing="1" w:after="100" w:afterAutospacing="1"/>
    </w:pPr>
    <w:rPr>
      <w:rFonts w:eastAsia="Times New Roman"/>
      <w:color w:val="000000"/>
      <w:sz w:val="20"/>
      <w:szCs w:val="20"/>
      <w:lang w:val="hr-HR" w:eastAsia="hr-HR"/>
    </w:rPr>
  </w:style>
  <w:style w:type="paragraph" w:customStyle="1" w:styleId="62">
    <w:name w:val="font8"/>
    <w:basedOn w:val="1"/>
    <w:uiPriority w:val="0"/>
    <w:pPr>
      <w:spacing w:before="100" w:beforeAutospacing="1" w:after="100" w:afterAutospacing="1"/>
    </w:pPr>
    <w:rPr>
      <w:rFonts w:eastAsia="Times New Roman"/>
      <w:color w:val="000000"/>
      <w:sz w:val="20"/>
      <w:szCs w:val="20"/>
      <w:lang w:val="hr-HR" w:eastAsia="hr-HR"/>
    </w:rPr>
  </w:style>
  <w:style w:type="paragraph" w:customStyle="1" w:styleId="63">
    <w:name w:val="font9"/>
    <w:basedOn w:val="1"/>
    <w:uiPriority w:val="0"/>
    <w:pPr>
      <w:spacing w:before="100" w:beforeAutospacing="1" w:after="100" w:afterAutospacing="1"/>
    </w:pPr>
    <w:rPr>
      <w:rFonts w:eastAsia="Times New Roman"/>
      <w:color w:val="000000"/>
      <w:sz w:val="20"/>
      <w:szCs w:val="20"/>
      <w:lang w:val="hr-HR" w:eastAsia="hr-HR"/>
    </w:rPr>
  </w:style>
  <w:style w:type="paragraph" w:customStyle="1" w:styleId="64">
    <w:name w:val="font10"/>
    <w:basedOn w:val="1"/>
    <w:uiPriority w:val="0"/>
    <w:pPr>
      <w:spacing w:before="100" w:beforeAutospacing="1" w:after="100" w:afterAutospacing="1"/>
    </w:pPr>
    <w:rPr>
      <w:rFonts w:eastAsia="Times New Roman"/>
      <w:color w:val="2C2C2C"/>
      <w:sz w:val="20"/>
      <w:szCs w:val="20"/>
      <w:lang w:val="hr-HR" w:eastAsia="hr-HR"/>
    </w:rPr>
  </w:style>
  <w:style w:type="paragraph" w:customStyle="1" w:styleId="65">
    <w:name w:val="font11"/>
    <w:basedOn w:val="1"/>
    <w:uiPriority w:val="0"/>
    <w:pPr>
      <w:spacing w:before="100" w:beforeAutospacing="1" w:after="100" w:afterAutospacing="1"/>
    </w:pPr>
    <w:rPr>
      <w:rFonts w:eastAsia="Times New Roman"/>
      <w:sz w:val="20"/>
      <w:szCs w:val="20"/>
      <w:lang w:val="hr-HR" w:eastAsia="hr-HR"/>
    </w:rPr>
  </w:style>
  <w:style w:type="paragraph" w:customStyle="1" w:styleId="66">
    <w:name w:val="font12"/>
    <w:basedOn w:val="1"/>
    <w:uiPriority w:val="0"/>
    <w:pPr>
      <w:spacing w:before="100" w:beforeAutospacing="1" w:after="100" w:afterAutospacing="1"/>
    </w:pPr>
    <w:rPr>
      <w:rFonts w:eastAsia="Times New Roman"/>
      <w:sz w:val="18"/>
      <w:szCs w:val="18"/>
      <w:lang w:val="hr-HR" w:eastAsia="hr-HR"/>
    </w:rPr>
  </w:style>
  <w:style w:type="paragraph" w:customStyle="1" w:styleId="67">
    <w:name w:val="font13"/>
    <w:basedOn w:val="1"/>
    <w:uiPriority w:val="0"/>
    <w:pPr>
      <w:spacing w:before="100" w:beforeAutospacing="1" w:after="100" w:afterAutospacing="1"/>
    </w:pPr>
    <w:rPr>
      <w:rFonts w:eastAsia="Times New Roman"/>
      <w:sz w:val="17"/>
      <w:szCs w:val="17"/>
      <w:lang w:val="hr-HR" w:eastAsia="hr-HR"/>
    </w:rPr>
  </w:style>
  <w:style w:type="paragraph" w:customStyle="1" w:styleId="68">
    <w:name w:val="xl76"/>
    <w:basedOn w:val="1"/>
    <w:uiPriority w:val="0"/>
    <w:pPr>
      <w:spacing w:before="100" w:beforeAutospacing="1" w:after="100" w:afterAutospacing="1"/>
    </w:pPr>
    <w:rPr>
      <w:rFonts w:ascii="Times New Roman" w:hAnsi="Times New Roman" w:eastAsia="Times New Roman"/>
      <w:sz w:val="18"/>
      <w:szCs w:val="18"/>
      <w:lang w:val="hr-HR" w:eastAsia="hr-HR"/>
    </w:rPr>
  </w:style>
  <w:style w:type="paragraph" w:customStyle="1" w:styleId="69">
    <w:name w:val="xl77"/>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Times New Roman"/>
      <w:b/>
      <w:bCs/>
      <w:sz w:val="15"/>
      <w:szCs w:val="15"/>
      <w:lang w:val="hr-HR" w:eastAsia="hr-HR"/>
    </w:rPr>
  </w:style>
  <w:style w:type="paragraph" w:customStyle="1" w:styleId="70">
    <w:name w:val="xl78"/>
    <w:basedOn w:val="1"/>
    <w:uiPriority w:val="0"/>
    <w:pPr>
      <w:shd w:val="clear" w:color="000000" w:fill="FFFFFF"/>
      <w:spacing w:before="100" w:beforeAutospacing="1" w:after="100" w:afterAutospacing="1"/>
    </w:pPr>
    <w:rPr>
      <w:rFonts w:ascii="Times New Roman" w:hAnsi="Times New Roman" w:eastAsia="Times New Roman"/>
      <w:sz w:val="16"/>
      <w:szCs w:val="16"/>
      <w:lang w:val="hr-HR" w:eastAsia="hr-HR"/>
    </w:rPr>
  </w:style>
  <w:style w:type="paragraph" w:customStyle="1" w:styleId="71">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18"/>
      <w:szCs w:val="18"/>
      <w:lang w:val="hr-HR" w:eastAsia="hr-HR"/>
    </w:rPr>
  </w:style>
  <w:style w:type="paragraph" w:customStyle="1" w:styleId="72">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Times New Roman"/>
      <w:sz w:val="18"/>
      <w:szCs w:val="18"/>
      <w:lang w:val="hr-HR" w:eastAsia="hr-HR"/>
    </w:rPr>
  </w:style>
  <w:style w:type="paragraph" w:customStyle="1" w:styleId="73">
    <w:name w:val="xl81"/>
    <w:basedOn w:val="1"/>
    <w:uiPriority w:val="0"/>
    <w:pPr>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right"/>
      <w:textAlignment w:val="center"/>
    </w:pPr>
    <w:rPr>
      <w:rFonts w:ascii="Times New Roman" w:hAnsi="Times New Roman" w:eastAsia="Times New Roman"/>
      <w:b/>
      <w:bCs/>
      <w:sz w:val="18"/>
      <w:szCs w:val="18"/>
      <w:lang w:val="hr-HR" w:eastAsia="hr-HR"/>
    </w:rPr>
  </w:style>
  <w:style w:type="paragraph" w:customStyle="1" w:styleId="74">
    <w:name w:val="xl82"/>
    <w:basedOn w:val="1"/>
    <w:uiPriority w:val="0"/>
    <w:pPr>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right"/>
      <w:textAlignment w:val="center"/>
    </w:pPr>
    <w:rPr>
      <w:rFonts w:ascii="Times New Roman" w:hAnsi="Times New Roman" w:eastAsia="Times New Roman"/>
      <w:sz w:val="18"/>
      <w:szCs w:val="18"/>
      <w:lang w:val="hr-HR" w:eastAsia="hr-HR"/>
    </w:rPr>
  </w:style>
  <w:style w:type="paragraph" w:customStyle="1" w:styleId="75">
    <w:name w:val="xl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Times New Roman" w:hAnsi="Times New Roman" w:eastAsia="Times New Roman"/>
      <w:sz w:val="17"/>
      <w:szCs w:val="17"/>
      <w:lang w:val="hr-HR" w:eastAsia="hr-HR"/>
    </w:rPr>
  </w:style>
  <w:style w:type="paragraph" w:customStyle="1" w:styleId="76">
    <w:name w:val="xl84"/>
    <w:basedOn w:val="1"/>
    <w:uiPriority w:val="0"/>
    <w:pPr>
      <w:shd w:val="clear" w:color="000000" w:fill="FFFFFF"/>
      <w:spacing w:before="100" w:beforeAutospacing="1" w:after="100" w:afterAutospacing="1"/>
    </w:pPr>
    <w:rPr>
      <w:rFonts w:ascii="Times New Roman" w:hAnsi="Times New Roman" w:eastAsia="Times New Roman"/>
      <w:sz w:val="18"/>
      <w:szCs w:val="18"/>
      <w:lang w:val="hr-HR" w:eastAsia="hr-HR"/>
    </w:rPr>
  </w:style>
  <w:style w:type="paragraph" w:customStyle="1" w:styleId="77">
    <w:name w:val="xl85"/>
    <w:basedOn w:val="1"/>
    <w:uiPriority w:val="0"/>
    <w:pPr>
      <w:spacing w:before="100" w:beforeAutospacing="1" w:after="100" w:afterAutospacing="1"/>
      <w:textAlignment w:val="top"/>
    </w:pPr>
    <w:rPr>
      <w:rFonts w:ascii="Times New Roman" w:hAnsi="Times New Roman" w:eastAsia="Times New Roman"/>
      <w:sz w:val="18"/>
      <w:szCs w:val="18"/>
      <w:lang w:val="hr-HR" w:eastAsia="hr-HR"/>
    </w:rPr>
  </w:style>
  <w:style w:type="paragraph" w:customStyle="1" w:styleId="78">
    <w:name w:val="xl86"/>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Times New Roman"/>
      <w:sz w:val="18"/>
      <w:szCs w:val="18"/>
      <w:lang w:val="hr-HR" w:eastAsia="hr-HR"/>
    </w:rPr>
  </w:style>
  <w:style w:type="paragraph" w:customStyle="1" w:styleId="79">
    <w:name w:val="xl87"/>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rFonts w:ascii="Times New Roman" w:hAnsi="Times New Roman" w:eastAsia="Times New Roman"/>
      <w:sz w:val="20"/>
      <w:szCs w:val="20"/>
      <w:lang w:val="hr-HR" w:eastAsia="hr-HR"/>
    </w:rPr>
  </w:style>
  <w:style w:type="paragraph" w:customStyle="1" w:styleId="80">
    <w:name w:val="xl88"/>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rFonts w:ascii="Times New Roman" w:hAnsi="Times New Roman" w:eastAsia="Times New Roman"/>
      <w:sz w:val="18"/>
      <w:szCs w:val="18"/>
      <w:lang w:val="hr-HR" w:eastAsia="hr-HR"/>
    </w:rPr>
  </w:style>
  <w:style w:type="paragraph" w:customStyle="1" w:styleId="81">
    <w:name w:val="xl89"/>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ascii="Times New Roman" w:hAnsi="Times New Roman" w:eastAsia="Times New Roman"/>
      <w:color w:val="FF0000"/>
      <w:sz w:val="18"/>
      <w:szCs w:val="18"/>
      <w:lang w:val="hr-HR" w:eastAsia="hr-HR"/>
    </w:rPr>
  </w:style>
  <w:style w:type="paragraph" w:customStyle="1" w:styleId="82">
    <w:name w:val="xl90"/>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ascii="Times New Roman" w:hAnsi="Times New Roman" w:eastAsia="Times New Roman"/>
      <w:sz w:val="18"/>
      <w:szCs w:val="18"/>
      <w:lang w:val="hr-HR" w:eastAsia="hr-HR"/>
    </w:rPr>
  </w:style>
  <w:style w:type="paragraph" w:customStyle="1" w:styleId="83">
    <w:name w:val="xl91"/>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pPr>
    <w:rPr>
      <w:rFonts w:ascii="Times New Roman" w:hAnsi="Times New Roman" w:eastAsia="Times New Roman"/>
      <w:sz w:val="18"/>
      <w:szCs w:val="18"/>
      <w:lang w:val="hr-HR" w:eastAsia="hr-HR"/>
    </w:rPr>
  </w:style>
  <w:style w:type="paragraph" w:customStyle="1" w:styleId="84">
    <w:name w:val="xl92"/>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rFonts w:ascii="Times New Roman" w:hAnsi="Times New Roman" w:eastAsia="Times New Roman"/>
      <w:sz w:val="17"/>
      <w:szCs w:val="17"/>
      <w:lang w:val="hr-HR" w:eastAsia="hr-HR"/>
    </w:rPr>
  </w:style>
  <w:style w:type="paragraph" w:customStyle="1" w:styleId="85">
    <w:name w:val="xl93"/>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rFonts w:ascii="Times New Roman" w:hAnsi="Times New Roman" w:eastAsia="Times New Roman"/>
      <w:color w:val="FF0000"/>
      <w:sz w:val="17"/>
      <w:szCs w:val="17"/>
      <w:lang w:val="hr-HR" w:eastAsia="hr-HR"/>
    </w:rPr>
  </w:style>
  <w:style w:type="paragraph" w:customStyle="1" w:styleId="86">
    <w:name w:val="xl94"/>
    <w:basedOn w:val="1"/>
    <w:uiPriority w:val="0"/>
    <w:pPr>
      <w:pBdr>
        <w:top w:val="single" w:color="auto" w:sz="4" w:space="0"/>
        <w:left w:val="single" w:color="auto" w:sz="4" w:space="0"/>
        <w:bottom w:val="single" w:color="auto" w:sz="4" w:space="0"/>
        <w:right w:val="single" w:color="auto" w:sz="4" w:space="0"/>
      </w:pBdr>
      <w:shd w:val="clear" w:color="000000" w:fill="DBE5F1"/>
      <w:spacing w:before="100" w:beforeAutospacing="1" w:after="100" w:afterAutospacing="1"/>
    </w:pPr>
    <w:rPr>
      <w:rFonts w:ascii="Times New Roman" w:hAnsi="Times New Roman" w:eastAsia="Times New Roman"/>
      <w:color w:val="FFFF00"/>
      <w:sz w:val="18"/>
      <w:szCs w:val="18"/>
      <w:lang w:val="hr-HR" w:eastAsia="hr-HR"/>
    </w:rPr>
  </w:style>
  <w:style w:type="paragraph" w:customStyle="1" w:styleId="87">
    <w:name w:val="xl95"/>
    <w:basedOn w:val="1"/>
    <w:uiPriority w:val="0"/>
    <w:pPr>
      <w:pBdr>
        <w:top w:val="single" w:color="auto" w:sz="4" w:space="0"/>
        <w:left w:val="single" w:color="auto" w:sz="4" w:space="0"/>
        <w:bottom w:val="single" w:color="auto" w:sz="4" w:space="0"/>
        <w:right w:val="single" w:color="auto" w:sz="4" w:space="0"/>
      </w:pBdr>
      <w:shd w:val="clear" w:color="000000" w:fill="DBE5F1"/>
      <w:spacing w:before="100" w:beforeAutospacing="1" w:after="100" w:afterAutospacing="1"/>
      <w:jc w:val="right"/>
      <w:textAlignment w:val="center"/>
    </w:pPr>
    <w:rPr>
      <w:rFonts w:ascii="Times New Roman" w:hAnsi="Times New Roman" w:eastAsia="Times New Roman"/>
      <w:b/>
      <w:bCs/>
      <w:sz w:val="18"/>
      <w:szCs w:val="18"/>
      <w:lang w:val="hr-HR" w:eastAsia="hr-HR"/>
    </w:rPr>
  </w:style>
  <w:style w:type="paragraph" w:customStyle="1" w:styleId="88">
    <w:name w:val="xl96"/>
    <w:basedOn w:val="1"/>
    <w:uiPriority w:val="0"/>
    <w:pPr>
      <w:spacing w:before="100" w:beforeAutospacing="1" w:after="100" w:afterAutospacing="1"/>
      <w:jc w:val="center"/>
      <w:textAlignment w:val="center"/>
    </w:pPr>
    <w:rPr>
      <w:rFonts w:ascii="Times New Roman" w:hAnsi="Times New Roman" w:eastAsia="Times New Roman"/>
      <w:sz w:val="18"/>
      <w:szCs w:val="18"/>
      <w:lang w:val="hr-HR" w:eastAsia="hr-HR"/>
    </w:rPr>
  </w:style>
  <w:style w:type="paragraph" w:customStyle="1" w:styleId="89">
    <w:name w:val="xl97"/>
    <w:basedOn w:val="1"/>
    <w:uiPriority w:val="0"/>
    <w:pPr>
      <w:spacing w:before="100" w:beforeAutospacing="1" w:after="100" w:afterAutospacing="1"/>
    </w:pPr>
    <w:rPr>
      <w:rFonts w:ascii="Times New Roman" w:hAnsi="Times New Roman" w:eastAsia="Times New Roman"/>
      <w:sz w:val="18"/>
      <w:szCs w:val="18"/>
      <w:lang w:val="hr-HR" w:eastAsia="hr-HR"/>
    </w:rPr>
  </w:style>
  <w:style w:type="paragraph" w:customStyle="1" w:styleId="90">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olor w:val="000000"/>
      <w:sz w:val="20"/>
      <w:szCs w:val="20"/>
      <w:lang w:val="hr-HR" w:eastAsia="hr-HR"/>
    </w:rPr>
  </w:style>
  <w:style w:type="paragraph" w:customStyle="1" w:styleId="91">
    <w:name w:val="xl99"/>
    <w:basedOn w:val="1"/>
    <w:uiPriority w:val="0"/>
    <w:pPr>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92">
    <w:name w:val="xl100"/>
    <w:basedOn w:val="1"/>
    <w:uiPriority w:val="0"/>
    <w:pPr>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Times New Roman" w:hAnsi="Times New Roman" w:eastAsia="Times New Roman"/>
      <w:sz w:val="18"/>
      <w:szCs w:val="18"/>
      <w:lang w:val="hr-HR" w:eastAsia="hr-HR"/>
    </w:rPr>
  </w:style>
  <w:style w:type="paragraph" w:customStyle="1" w:styleId="93">
    <w:name w:val="xl101"/>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olor w:val="000000"/>
      <w:sz w:val="20"/>
      <w:szCs w:val="20"/>
      <w:lang w:val="hr-HR" w:eastAsia="hr-HR"/>
    </w:rPr>
  </w:style>
  <w:style w:type="paragraph" w:customStyle="1" w:styleId="94">
    <w:name w:val="xl102"/>
    <w:basedOn w:val="1"/>
    <w:uiPriority w:val="0"/>
    <w:pPr>
      <w:pBdr>
        <w:top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Times New Roman"/>
      <w:sz w:val="18"/>
      <w:szCs w:val="18"/>
      <w:lang w:val="hr-HR" w:eastAsia="hr-HR"/>
    </w:rPr>
  </w:style>
  <w:style w:type="paragraph" w:customStyle="1" w:styleId="95">
    <w:name w:val="xl1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20"/>
      <w:szCs w:val="20"/>
      <w:lang w:val="hr-HR" w:eastAsia="hr-HR"/>
    </w:rPr>
  </w:style>
  <w:style w:type="paragraph" w:customStyle="1" w:styleId="96">
    <w:name w:val="xl1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20"/>
      <w:szCs w:val="20"/>
      <w:lang w:val="hr-HR" w:eastAsia="hr-HR"/>
    </w:rPr>
  </w:style>
  <w:style w:type="paragraph" w:customStyle="1" w:styleId="97">
    <w:name w:val="xl10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20"/>
      <w:szCs w:val="20"/>
      <w:lang w:val="hr-HR" w:eastAsia="hr-HR"/>
    </w:rPr>
  </w:style>
  <w:style w:type="paragraph" w:customStyle="1" w:styleId="98">
    <w:name w:val="xl1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eastAsia="Times New Roman"/>
      <w:sz w:val="18"/>
      <w:szCs w:val="18"/>
      <w:lang w:val="hr-HR" w:eastAsia="hr-HR"/>
    </w:rPr>
  </w:style>
  <w:style w:type="paragraph" w:customStyle="1" w:styleId="99">
    <w:name w:val="xl1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100">
    <w:name w:val="xl1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18"/>
      <w:szCs w:val="18"/>
      <w:lang w:val="hr-HR" w:eastAsia="hr-HR"/>
    </w:rPr>
  </w:style>
  <w:style w:type="paragraph" w:customStyle="1" w:styleId="101">
    <w:name w:val="xl1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18"/>
      <w:szCs w:val="18"/>
      <w:lang w:val="hr-HR" w:eastAsia="hr-HR"/>
    </w:rPr>
  </w:style>
  <w:style w:type="paragraph" w:customStyle="1" w:styleId="102">
    <w:name w:val="xl1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Times New Roman"/>
      <w:sz w:val="18"/>
      <w:szCs w:val="18"/>
      <w:lang w:val="hr-HR" w:eastAsia="hr-HR"/>
    </w:rPr>
  </w:style>
  <w:style w:type="paragraph" w:customStyle="1" w:styleId="103">
    <w:name w:val="xl1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17"/>
      <w:szCs w:val="17"/>
      <w:lang w:val="hr-HR" w:eastAsia="hr-HR"/>
    </w:rPr>
  </w:style>
  <w:style w:type="paragraph" w:customStyle="1" w:styleId="104">
    <w:name w:val="xl1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Times New Roman"/>
      <w:sz w:val="18"/>
      <w:szCs w:val="18"/>
      <w:lang w:val="hr-HR" w:eastAsia="hr-HR"/>
    </w:rPr>
  </w:style>
  <w:style w:type="paragraph" w:customStyle="1" w:styleId="105">
    <w:name w:val="xl1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Times New Roman"/>
      <w:sz w:val="17"/>
      <w:szCs w:val="17"/>
      <w:lang w:val="hr-HR" w:eastAsia="hr-HR"/>
    </w:rPr>
  </w:style>
  <w:style w:type="paragraph" w:customStyle="1" w:styleId="106">
    <w:name w:val="xl1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sz w:val="18"/>
      <w:szCs w:val="18"/>
      <w:lang w:val="hr-HR" w:eastAsia="hr-HR"/>
    </w:rPr>
  </w:style>
  <w:style w:type="paragraph" w:customStyle="1" w:styleId="107">
    <w:name w:val="xl115"/>
    <w:basedOn w:val="1"/>
    <w:uiPriority w:val="0"/>
    <w:pPr>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108">
    <w:name w:val="xl116"/>
    <w:basedOn w:val="1"/>
    <w:uiPriority w:val="0"/>
    <w:pPr>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109">
    <w:name w:val="xl117"/>
    <w:basedOn w:val="1"/>
    <w:uiPriority w:val="0"/>
    <w:pPr>
      <w:pBdr>
        <w:top w:val="single" w:color="auto" w:sz="4" w:space="0"/>
        <w:left w:val="single" w:color="auto" w:sz="4" w:space="0"/>
        <w:bottom w:val="single" w:color="auto" w:sz="4" w:space="0"/>
      </w:pBdr>
      <w:shd w:val="clear" w:color="000000" w:fill="DBE5F1"/>
      <w:spacing w:before="100" w:beforeAutospacing="1" w:after="100" w:afterAutospacing="1"/>
      <w:jc w:val="center"/>
      <w:textAlignment w:val="center"/>
    </w:pPr>
    <w:rPr>
      <w:rFonts w:ascii="Times New Roman" w:hAnsi="Times New Roman" w:eastAsia="Times New Roman"/>
      <w:b/>
      <w:bCs/>
      <w:sz w:val="24"/>
      <w:szCs w:val="24"/>
      <w:lang w:val="hr-HR" w:eastAsia="hr-HR"/>
    </w:rPr>
  </w:style>
  <w:style w:type="paragraph" w:customStyle="1" w:styleId="110">
    <w:name w:val="xl118"/>
    <w:basedOn w:val="1"/>
    <w:uiPriority w:val="0"/>
    <w:pPr>
      <w:pBdr>
        <w:top w:val="single" w:color="auto" w:sz="4" w:space="0"/>
        <w:bottom w:val="single" w:color="auto" w:sz="4" w:space="0"/>
        <w:right w:val="single" w:color="auto" w:sz="4" w:space="0"/>
      </w:pBdr>
      <w:shd w:val="clear" w:color="000000" w:fill="DBE5F1"/>
      <w:spacing w:before="100" w:beforeAutospacing="1" w:after="100" w:afterAutospacing="1"/>
      <w:jc w:val="center"/>
      <w:textAlignment w:val="center"/>
    </w:pPr>
    <w:rPr>
      <w:rFonts w:ascii="Times New Roman" w:hAnsi="Times New Roman" w:eastAsia="Times New Roman"/>
      <w:b/>
      <w:bCs/>
      <w:sz w:val="24"/>
      <w:szCs w:val="24"/>
      <w:lang w:val="hr-HR" w:eastAsia="hr-HR"/>
    </w:rPr>
  </w:style>
  <w:style w:type="paragraph" w:customStyle="1" w:styleId="111">
    <w:name w:val="xl119"/>
    <w:basedOn w:val="1"/>
    <w:uiPriority w:val="0"/>
    <w:pPr>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112">
    <w:name w:val="xl120"/>
    <w:basedOn w:val="1"/>
    <w:uiPriority w:val="0"/>
    <w:pPr>
      <w:pBdr>
        <w:top w:val="single" w:color="auto" w:sz="4" w:space="0"/>
        <w:left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sz w:val="17"/>
      <w:szCs w:val="17"/>
      <w:lang w:val="hr-HR" w:eastAsia="hr-HR"/>
    </w:rPr>
  </w:style>
  <w:style w:type="paragraph" w:customStyle="1" w:styleId="113">
    <w:name w:val="xl121"/>
    <w:basedOn w:val="1"/>
    <w:uiPriority w:val="0"/>
    <w:pPr>
      <w:pBdr>
        <w:left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sz w:val="17"/>
      <w:szCs w:val="17"/>
      <w:lang w:val="hr-HR" w:eastAsia="hr-HR"/>
    </w:rPr>
  </w:style>
  <w:style w:type="paragraph" w:customStyle="1" w:styleId="114">
    <w:name w:val="xl122"/>
    <w:basedOn w:val="1"/>
    <w:uiPriority w:val="0"/>
    <w:pPr>
      <w:pBdr>
        <w:left w:val="single" w:color="auto" w:sz="4" w:space="0"/>
        <w:bottom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sz w:val="17"/>
      <w:szCs w:val="17"/>
      <w:lang w:val="hr-HR" w:eastAsia="hr-HR"/>
    </w:rPr>
  </w:style>
  <w:style w:type="paragraph" w:customStyle="1" w:styleId="115">
    <w:name w:val="xl123"/>
    <w:basedOn w:val="1"/>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sz w:val="20"/>
      <w:szCs w:val="20"/>
      <w:lang w:val="hr-HR" w:eastAsia="hr-HR"/>
    </w:rPr>
  </w:style>
  <w:style w:type="paragraph" w:customStyle="1" w:styleId="116">
    <w:name w:val="xl124"/>
    <w:basedOn w:val="1"/>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117">
    <w:name w:val="xl125"/>
    <w:basedOn w:val="1"/>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118">
    <w:name w:val="xl126"/>
    <w:basedOn w:val="1"/>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color w:val="000000"/>
      <w:sz w:val="20"/>
      <w:szCs w:val="20"/>
      <w:lang w:val="hr-HR" w:eastAsia="hr-HR"/>
    </w:rPr>
  </w:style>
  <w:style w:type="paragraph" w:customStyle="1" w:styleId="119">
    <w:name w:val="xl127"/>
    <w:basedOn w:val="1"/>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color w:val="000000"/>
      <w:sz w:val="18"/>
      <w:szCs w:val="18"/>
      <w:lang w:val="hr-HR" w:eastAsia="hr-HR"/>
    </w:rPr>
  </w:style>
  <w:style w:type="paragraph" w:customStyle="1" w:styleId="120">
    <w:name w:val="xl128"/>
    <w:basedOn w:val="1"/>
    <w:uiPriority w:val="0"/>
    <w:pPr>
      <w:pBdr>
        <w:top w:val="single" w:color="auto" w:sz="4" w:space="0"/>
        <w:left w:val="single" w:color="auto" w:sz="4" w:space="0"/>
        <w:bottom w:val="single" w:color="auto" w:sz="4" w:space="0"/>
        <w:right w:val="single" w:color="auto" w:sz="4" w:space="0"/>
      </w:pBdr>
      <w:shd w:val="clear" w:color="000000" w:fill="DBE5F1"/>
      <w:spacing w:before="100" w:beforeAutospacing="1" w:after="100" w:afterAutospacing="1"/>
      <w:jc w:val="center"/>
      <w:textAlignment w:val="top"/>
    </w:pPr>
    <w:rPr>
      <w:rFonts w:ascii="Times New Roman" w:hAnsi="Times New Roman" w:eastAsia="Times New Roman"/>
      <w:color w:val="FFFF00"/>
      <w:sz w:val="18"/>
      <w:szCs w:val="18"/>
      <w:lang w:val="hr-HR" w:eastAsia="hr-HR"/>
    </w:rPr>
  </w:style>
  <w:style w:type="paragraph" w:customStyle="1" w:styleId="121">
    <w:name w:val="xl129"/>
    <w:basedOn w:val="1"/>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sz w:val="18"/>
      <w:szCs w:val="18"/>
      <w:lang w:val="hr-HR" w:eastAsia="hr-HR"/>
    </w:rPr>
  </w:style>
  <w:style w:type="paragraph" w:customStyle="1" w:styleId="122">
    <w:name w:val="xl130"/>
    <w:basedOn w:val="1"/>
    <w:uiPriority w:val="0"/>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textAlignment w:val="center"/>
    </w:pPr>
    <w:rPr>
      <w:rFonts w:ascii="Times New Roman" w:hAnsi="Times New Roman" w:eastAsia="Times New Roman"/>
      <w:b/>
      <w:bCs/>
      <w:sz w:val="20"/>
      <w:szCs w:val="20"/>
      <w:lang w:val="hr-HR" w:eastAsia="hr-HR"/>
    </w:rPr>
  </w:style>
  <w:style w:type="table" w:customStyle="1" w:styleId="123">
    <w:name w:val="Grid Table 5 Dark - Accent 11"/>
    <w:basedOn w:val="36"/>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character" w:customStyle="1" w:styleId="124">
    <w:name w:val="Body Text Char"/>
    <w:basedOn w:val="26"/>
    <w:link w:val="8"/>
    <w:uiPriority w:val="0"/>
    <w:rPr>
      <w:rFonts w:ascii="Times New Roman" w:hAnsi="Times New Roman" w:eastAsia="Times New Roman" w:cs="Times New Roman"/>
      <w:sz w:val="24"/>
      <w:szCs w:val="24"/>
      <w:lang w:val="en-CA"/>
    </w:rPr>
  </w:style>
  <w:style w:type="character" w:customStyle="1" w:styleId="125">
    <w:name w:val="Message Header Label"/>
    <w:uiPriority w:val="0"/>
    <w:rPr>
      <w:b/>
      <w:sz w:val="18"/>
    </w:rPr>
  </w:style>
  <w:style w:type="table" w:customStyle="1" w:styleId="126">
    <w:name w:val="Table Grid1"/>
    <w:basedOn w:val="36"/>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7">
    <w:name w:val="Revision"/>
    <w:hidden/>
    <w:semiHidden/>
    <w:uiPriority w:val="99"/>
    <w:pPr>
      <w:spacing w:after="0" w:line="240" w:lineRule="auto"/>
    </w:pPr>
    <w:rPr>
      <w:rFonts w:ascii="Calibri" w:hAnsi="Calibri" w:eastAsia="Calibri" w:cs="Times New Roman"/>
      <w:sz w:val="22"/>
      <w:szCs w:val="22"/>
      <w:lang w:val="hr-BA" w:eastAsia="en-US" w:bidi="ar-SA"/>
    </w:rPr>
  </w:style>
  <w:style w:type="character" w:customStyle="1" w:styleId="128">
    <w:name w:val="hps"/>
    <w:basedOn w:val="26"/>
    <w:uiPriority w:val="0"/>
  </w:style>
  <w:style w:type="table" w:customStyle="1" w:styleId="129">
    <w:name w:val="Table Grid2"/>
    <w:basedOn w:val="3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0">
    <w:name w:val="Unresolved Mention1"/>
    <w:basedOn w:val="26"/>
    <w:semiHidden/>
    <w:unhideWhenUsed/>
    <w:uiPriority w:val="99"/>
    <w:rPr>
      <w:color w:val="808080"/>
      <w:shd w:val="clear" w:color="auto" w:fill="E6E6E6"/>
    </w:rPr>
  </w:style>
  <w:style w:type="table" w:customStyle="1" w:styleId="131">
    <w:name w:val="Table Grid3"/>
    <w:basedOn w:val="3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2">
    <w:name w:val="911Pasus Char"/>
    <w:basedOn w:val="26"/>
    <w:link w:val="133"/>
    <w:locked/>
    <w:uiPriority w:val="0"/>
    <w:rPr>
      <w:rFonts w:ascii="Times New Roman" w:hAnsi="Times New Roman" w:eastAsia="Times New Roman" w:cs="Times New Roman"/>
      <w:szCs w:val="20"/>
      <w:lang w:eastAsia="hr-HR"/>
    </w:rPr>
  </w:style>
  <w:style w:type="paragraph" w:customStyle="1" w:styleId="133">
    <w:name w:val="911Pasus"/>
    <w:basedOn w:val="1"/>
    <w:link w:val="132"/>
    <w:qFormat/>
    <w:uiPriority w:val="0"/>
    <w:pPr>
      <w:spacing w:before="120" w:after="120" w:line="312" w:lineRule="auto"/>
      <w:ind w:firstLine="709"/>
      <w:jc w:val="both"/>
    </w:pPr>
    <w:rPr>
      <w:rFonts w:ascii="Times New Roman" w:hAnsi="Times New Roman" w:eastAsia="Times New Roman"/>
      <w:szCs w:val="20"/>
      <w:lang w:val="en-US" w:eastAsia="hr-HR"/>
    </w:rPr>
  </w:style>
  <w:style w:type="character" w:customStyle="1" w:styleId="134">
    <w:name w:val="Body Text Indent Char"/>
    <w:basedOn w:val="26"/>
    <w:link w:val="10"/>
    <w:semiHidden/>
    <w:uiPriority w:val="99"/>
    <w:rPr>
      <w:rFonts w:ascii="Cir Times Roman" w:hAnsi="Cir Times Roman" w:eastAsia="Times New Roman" w:cs="Times New Roman"/>
      <w:sz w:val="24"/>
      <w:szCs w:val="24"/>
      <w:lang w:val="sr-Latn-CS"/>
    </w:rPr>
  </w:style>
  <w:style w:type="character" w:customStyle="1" w:styleId="135">
    <w:name w:val="Body Text 2 Char"/>
    <w:basedOn w:val="26"/>
    <w:link w:val="9"/>
    <w:uiPriority w:val="99"/>
    <w:rPr>
      <w:rFonts w:ascii="Calibri" w:hAnsi="Calibri" w:eastAsia="Calibri" w:cs="Times New Roman"/>
      <w:lang w:val="hr-BA"/>
    </w:rPr>
  </w:style>
  <w:style w:type="character" w:customStyle="1" w:styleId="136">
    <w:name w:val="Unresolved Mention2"/>
    <w:basedOn w:val="26"/>
    <w:semiHidden/>
    <w:unhideWhenUsed/>
    <w:uiPriority w:val="99"/>
    <w:rPr>
      <w:color w:val="808080"/>
      <w:shd w:val="clear" w:color="auto" w:fill="E6E6E6"/>
    </w:rPr>
  </w:style>
  <w:style w:type="paragraph" w:customStyle="1" w:styleId="137">
    <w:name w:val="Char Char Char Char Char Char Char Char Char"/>
    <w:basedOn w:val="1"/>
    <w:uiPriority w:val="0"/>
    <w:pPr>
      <w:spacing w:after="160" w:line="240" w:lineRule="exact"/>
    </w:pPr>
    <w:rPr>
      <w:rFonts w:ascii="Verdana" w:hAnsi="Verdana" w:eastAsia="Times New Roman"/>
      <w:sz w:val="20"/>
      <w:szCs w:val="20"/>
      <w:lang w:val="en-US"/>
    </w:rPr>
  </w:style>
  <w:style w:type="paragraph" w:customStyle="1" w:styleId="138">
    <w:name w:val="Char Char Char Char Char Char"/>
    <w:basedOn w:val="1"/>
    <w:uiPriority w:val="0"/>
    <w:pPr>
      <w:spacing w:after="160" w:line="240" w:lineRule="exact"/>
    </w:pPr>
    <w:rPr>
      <w:rFonts w:ascii="Verdana" w:hAnsi="Verdana" w:eastAsia="Times New Roman" w:cs="Verdana"/>
      <w:sz w:val="20"/>
      <w:szCs w:val="20"/>
      <w:lang w:val="en-US"/>
    </w:rPr>
  </w:style>
  <w:style w:type="character" w:customStyle="1" w:styleId="139">
    <w:name w:val="Endnote Text Char"/>
    <w:basedOn w:val="26"/>
    <w:link w:val="15"/>
    <w:semiHidden/>
    <w:uiPriority w:val="99"/>
    <w:rPr>
      <w:rFonts w:ascii="Times New Roman" w:hAnsi="Times New Roman" w:eastAsia="Times New Roman" w:cs="Times New Roman"/>
      <w:sz w:val="20"/>
      <w:szCs w:val="20"/>
    </w:rPr>
  </w:style>
  <w:style w:type="paragraph" w:customStyle="1" w:styleId="140">
    <w:name w:val="Char Char2 Char Char Char Char Char Char"/>
    <w:basedOn w:val="1"/>
    <w:uiPriority w:val="0"/>
    <w:pPr>
      <w:spacing w:after="160" w:line="240" w:lineRule="exact"/>
    </w:pPr>
    <w:rPr>
      <w:rFonts w:ascii="Verdana" w:hAnsi="Verdana" w:eastAsia="Times New Roman"/>
      <w:sz w:val="20"/>
      <w:szCs w:val="20"/>
      <w:lang w:val="en-US"/>
    </w:rPr>
  </w:style>
  <w:style w:type="character" w:customStyle="1" w:styleId="141">
    <w:name w:val="Footnote Text Char2"/>
    <w:basedOn w:val="26"/>
    <w:semiHidden/>
    <w:uiPriority w:val="99"/>
    <w:rPr>
      <w:rFonts w:ascii="Calibri" w:hAnsi="Calibri" w:eastAsia="Calibri" w:cs="Times New Roman"/>
      <w:lang w:val="hr-BA"/>
    </w:rPr>
  </w:style>
  <w:style w:type="character" w:customStyle="1" w:styleId="142">
    <w:name w:val="Comment Text Char1"/>
    <w:basedOn w:val="26"/>
    <w:semiHidden/>
    <w:uiPriority w:val="99"/>
    <w:rPr>
      <w:rFonts w:ascii="Calibri" w:hAnsi="Calibri" w:eastAsia="Calibri" w:cs="Times New Roman"/>
      <w:sz w:val="20"/>
      <w:szCs w:val="20"/>
      <w:lang w:val="hr-BA"/>
    </w:rPr>
  </w:style>
  <w:style w:type="character" w:customStyle="1" w:styleId="143">
    <w:name w:val="Unresolved Mention3"/>
    <w:basedOn w:val="26"/>
    <w:semiHidden/>
    <w:unhideWhenUsed/>
    <w:uiPriority w:val="99"/>
    <w:rPr>
      <w:color w:val="808080"/>
      <w:shd w:val="clear" w:color="auto" w:fill="E6E6E6"/>
    </w:rPr>
  </w:style>
  <w:style w:type="paragraph" w:customStyle="1" w:styleId="144">
    <w:name w:val="НАСЛОВ"/>
    <w:basedOn w:val="1"/>
    <w:link w:val="145"/>
    <w:qFormat/>
    <w:uiPriority w:val="0"/>
    <w:pPr>
      <w:numPr>
        <w:ilvl w:val="0"/>
        <w:numId w:val="2"/>
      </w:numPr>
      <w:jc w:val="both"/>
    </w:pPr>
    <w:rPr>
      <w:rFonts w:ascii="Times New Roman" w:hAnsi="Times New Roman"/>
      <w:sz w:val="24"/>
      <w:szCs w:val="24"/>
      <w:lang w:val="sr-Cyrl-BA"/>
    </w:rPr>
  </w:style>
  <w:style w:type="character" w:customStyle="1" w:styleId="145">
    <w:name w:val="НАСЛОВ Char"/>
    <w:link w:val="144"/>
    <w:uiPriority w:val="0"/>
    <w:rPr>
      <w:rFonts w:ascii="Times New Roman" w:hAnsi="Times New Roman" w:eastAsia="Calibri" w:cs="Times New Roman"/>
      <w:sz w:val="24"/>
      <w:szCs w:val="24"/>
      <w:lang w:val="sr-Cyrl-BA"/>
    </w:rPr>
  </w:style>
  <w:style w:type="character" w:customStyle="1" w:styleId="146">
    <w:name w:val="Heading 6 Char"/>
    <w:basedOn w:val="26"/>
    <w:link w:val="6"/>
    <w:semiHidden/>
    <w:uiPriority w:val="9"/>
    <w:rPr>
      <w:rFonts w:asciiTheme="majorHAnsi" w:hAnsiTheme="majorHAnsi" w:eastAsiaTheme="majorEastAsia" w:cstheme="majorBidi"/>
      <w:color w:val="1F4E79" w:themeColor="accent1" w:themeShade="80"/>
      <w:lang w:val="hr-BA"/>
    </w:rPr>
  </w:style>
  <w:style w:type="character" w:customStyle="1" w:styleId="147">
    <w:name w:val="Body Text Indent 3 Char"/>
    <w:basedOn w:val="26"/>
    <w:link w:val="11"/>
    <w:semiHidden/>
    <w:uiPriority w:val="99"/>
    <w:rPr>
      <w:rFonts w:ascii="Calibri" w:hAnsi="Calibri" w:eastAsia="Calibri" w:cs="Times New Roman"/>
      <w:sz w:val="16"/>
      <w:szCs w:val="16"/>
      <w:lang w:val="hr-BA"/>
    </w:rPr>
  </w:style>
  <w:style w:type="paragraph" w:customStyle="1" w:styleId="148">
    <w:name w:val="1GlavniN1"/>
    <w:basedOn w:val="2"/>
    <w:qFormat/>
    <w:uiPriority w:val="99"/>
    <w:pPr>
      <w:pageBreakBefore/>
      <w:numPr>
        <w:ilvl w:val="0"/>
        <w:numId w:val="3"/>
      </w:numPr>
      <w:pBdr>
        <w:bottom w:val="single" w:color="auto" w:sz="4" w:space="1"/>
      </w:pBdr>
      <w:tabs>
        <w:tab w:val="left" w:pos="360"/>
      </w:tabs>
      <w:spacing w:before="360" w:after="600" w:line="240" w:lineRule="auto"/>
      <w:ind w:left="720" w:hanging="360"/>
      <w:jc w:val="left"/>
    </w:pPr>
    <w:rPr>
      <w:rFonts w:ascii="Times New Roman" w:hAnsi="Times New Roman"/>
      <w:bCs w:val="0"/>
      <w:smallCaps/>
      <w:spacing w:val="20"/>
      <w:kern w:val="0"/>
      <w:sz w:val="36"/>
      <w:szCs w:val="40"/>
      <w:lang w:val="sr-Latn-CS" w:eastAsia="hr-HR"/>
    </w:rPr>
  </w:style>
  <w:style w:type="paragraph" w:customStyle="1" w:styleId="149">
    <w:name w:val="2PodN2"/>
    <w:basedOn w:val="3"/>
    <w:qFormat/>
    <w:uiPriority w:val="99"/>
    <w:pPr>
      <w:numPr>
        <w:ilvl w:val="1"/>
        <w:numId w:val="3"/>
      </w:numPr>
      <w:spacing w:before="360" w:after="360"/>
    </w:pPr>
    <w:rPr>
      <w:rFonts w:ascii="Times New Roman" w:hAnsi="Times New Roman" w:cs="Times New Roman"/>
      <w:bCs w:val="0"/>
      <w:iCs w:val="0"/>
      <w:w w:val="100"/>
      <w:sz w:val="32"/>
      <w:lang w:val="sr-Latn-CS" w:eastAsia="hr-HR"/>
    </w:rPr>
  </w:style>
  <w:style w:type="paragraph" w:customStyle="1" w:styleId="150">
    <w:name w:val="3PodPodN3"/>
    <w:basedOn w:val="4"/>
    <w:qFormat/>
    <w:uiPriority w:val="99"/>
    <w:pPr>
      <w:numPr>
        <w:ilvl w:val="2"/>
        <w:numId w:val="3"/>
      </w:numPr>
      <w:tabs>
        <w:tab w:val="left" w:pos="360"/>
      </w:tabs>
      <w:spacing w:after="240" w:line="240" w:lineRule="auto"/>
      <w:ind w:left="2160" w:hanging="180"/>
      <w:jc w:val="left"/>
    </w:pPr>
    <w:rPr>
      <w:rFonts w:ascii="Times New Roman" w:hAnsi="Times New Roman"/>
      <w:bCs w:val="0"/>
      <w:sz w:val="28"/>
      <w:szCs w:val="40"/>
      <w:lang w:val="sr-Latn-CS"/>
    </w:rPr>
  </w:style>
  <w:style w:type="paragraph" w:customStyle="1" w:styleId="151">
    <w:name w:val="4PodPodPodN4"/>
    <w:basedOn w:val="5"/>
    <w:qFormat/>
    <w:uiPriority w:val="99"/>
    <w:pPr>
      <w:numPr>
        <w:ilvl w:val="3"/>
        <w:numId w:val="3"/>
      </w:numPr>
      <w:tabs>
        <w:tab w:val="left" w:pos="360"/>
      </w:tabs>
      <w:spacing w:before="160" w:after="240"/>
      <w:ind w:left="2880" w:hanging="360"/>
      <w:jc w:val="left"/>
    </w:pPr>
    <w:rPr>
      <w:rFonts w:ascii="Times New Roman" w:hAnsi="Times New Roman" w:cs="Times New Roman"/>
      <w:i w:val="0"/>
      <w:iCs w:val="0"/>
      <w:kern w:val="0"/>
      <w:sz w:val="24"/>
      <w:szCs w:val="32"/>
      <w:u w:val="single"/>
      <w:lang w:val="sr-Latn-CS"/>
    </w:rPr>
  </w:style>
  <w:style w:type="paragraph" w:customStyle="1" w:styleId="152">
    <w:name w:val="5PodPodPodPodN5"/>
    <w:basedOn w:val="1"/>
    <w:qFormat/>
    <w:uiPriority w:val="99"/>
    <w:pPr>
      <w:numPr>
        <w:ilvl w:val="4"/>
        <w:numId w:val="3"/>
      </w:numPr>
      <w:spacing w:before="160" w:after="160"/>
      <w:ind w:left="3600" w:hanging="360"/>
    </w:pPr>
    <w:rPr>
      <w:rFonts w:ascii="Times New Roman" w:hAnsi="Times New Roman" w:eastAsia="Times New Roman"/>
      <w:i/>
      <w:sz w:val="24"/>
      <w:u w:val="single"/>
      <w:lang w:val="sr-Latn-CS" w:eastAsia="hr-HR"/>
    </w:rPr>
  </w:style>
  <w:style w:type="table" w:customStyle="1" w:styleId="153">
    <w:name w:val="Table Grid4"/>
    <w:basedOn w:val="36"/>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4">
    <w:name w:val="921Nabrajanje Char"/>
    <w:basedOn w:val="26"/>
    <w:link w:val="155"/>
    <w:locked/>
    <w:uiPriority w:val="0"/>
    <w:rPr>
      <w:sz w:val="24"/>
      <w:szCs w:val="24"/>
      <w:shd w:val="clear" w:color="auto" w:fill="FFFFFF"/>
    </w:rPr>
  </w:style>
  <w:style w:type="paragraph" w:customStyle="1" w:styleId="155">
    <w:name w:val="921Nabrajanje"/>
    <w:basedOn w:val="46"/>
    <w:link w:val="154"/>
    <w:qFormat/>
    <w:uiPriority w:val="0"/>
    <w:pPr>
      <w:shd w:val="clear" w:color="auto" w:fill="FFFFFF"/>
      <w:spacing w:before="240" w:after="240" w:line="240" w:lineRule="auto"/>
      <w:ind w:left="1361" w:hanging="510"/>
    </w:pPr>
    <w:rPr>
      <w:rFonts w:asciiTheme="minorHAnsi" w:hAnsiTheme="minorHAnsi" w:eastAsiaTheme="minorHAnsi" w:cstheme="minorBidi"/>
      <w:sz w:val="24"/>
      <w:szCs w:val="24"/>
    </w:rPr>
  </w:style>
  <w:style w:type="paragraph" w:customStyle="1" w:styleId="156">
    <w:name w:val="yiv6788497779msonormal"/>
    <w:basedOn w:val="1"/>
    <w:uiPriority w:val="0"/>
    <w:pPr>
      <w:spacing w:before="100" w:beforeAutospacing="1" w:after="100" w:afterAutospacing="1"/>
    </w:pPr>
    <w:rPr>
      <w:rFonts w:ascii="Times New Roman" w:hAnsi="Times New Roman" w:eastAsia="Times New Roman"/>
      <w:sz w:val="24"/>
      <w:szCs w:val="24"/>
      <w:lang w:val="en-US"/>
    </w:rPr>
  </w:style>
  <w:style w:type="table" w:customStyle="1" w:styleId="157">
    <w:name w:val="Grid Table 5 Dark - Accent 31"/>
    <w:basedOn w:val="36"/>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158">
    <w:name w:val="Grid Table 6 Colorful1"/>
    <w:basedOn w:val="36"/>
    <w:uiPriority w:val="51"/>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159">
    <w:name w:val="Plain Table 31"/>
    <w:basedOn w:val="36"/>
    <w:uiPriority w:val="43"/>
    <w:pPr>
      <w:spacing w:after="0" w:line="240" w:lineRule="auto"/>
    </w:p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60">
    <w:name w:val="List Table 3 - Accent 61"/>
    <w:basedOn w:val="36"/>
    <w:uiPriority w:val="48"/>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Layout w:type="fixed"/>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161">
    <w:name w:val="List Table 2 - Accent 61"/>
    <w:basedOn w:val="36"/>
    <w:uiPriority w:val="47"/>
    <w:pPr>
      <w:spacing w:after="0" w:line="240" w:lineRule="auto"/>
    </w:pPr>
    <w:tblPr>
      <w:tblBorders>
        <w:top w:val="single" w:color="A8D08D" w:themeColor="accent6" w:themeTint="99" w:sz="4" w:space="0"/>
        <w:bottom w:val="single" w:color="A8D08D" w:themeColor="accent6" w:themeTint="99" w:sz="4" w:space="0"/>
        <w:insideH w:val="single" w:color="A8D08D" w:themeColor="accent6" w:themeTint="99" w:sz="4" w:space="0"/>
      </w:tblBorders>
      <w:tblLayout w:type="fixed"/>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162">
    <w:name w:val="List Table 1 Light - Accent 21"/>
    <w:basedOn w:val="36"/>
    <w:uiPriority w:val="46"/>
    <w:pPr>
      <w:spacing w:after="0" w:line="240" w:lineRule="auto"/>
    </w:p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character" w:customStyle="1" w:styleId="163">
    <w:name w:val="Unresolved Mention4"/>
    <w:basedOn w:val="2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7.emf"/><Relationship Id="rId3" Type="http://schemas.openxmlformats.org/officeDocument/2006/relationships/footnotes" Target="footnotes.xml"/><Relationship Id="rId29" Type="http://schemas.openxmlformats.org/officeDocument/2006/relationships/image" Target="media/image6.emf"/><Relationship Id="rId28" Type="http://schemas.openxmlformats.org/officeDocument/2006/relationships/chart" Target="charts/chart15.xml"/><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chart" Target="charts/chart11.xml"/><Relationship Id="rId23" Type="http://schemas.openxmlformats.org/officeDocument/2006/relationships/chart" Target="charts/chart10.xml"/><Relationship Id="rId22" Type="http://schemas.openxmlformats.org/officeDocument/2006/relationships/chart" Target="charts/chart9.xml"/><Relationship Id="rId21" Type="http://schemas.openxmlformats.org/officeDocument/2006/relationships/chart" Target="charts/chart8.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chart" Target="charts/chart1.xml"/><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D:\Documents\2017\UNDP_Strategija%20BL\Radni%20materijal\Kalkulacije%20BL.xlsx" TargetMode="External"/></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Documents\2017\UNDP_Strategija%20BL\Radni%20materijal\Kalkulacije%20BL.xlsx" TargetMode="External"/></Relationships>
</file>

<file path=word/charts/_rels/chart12.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Documents\2017\UNDP_Strategija%20BL\Radni%20materijal\Kalkulacije%20BL.xlsx" TargetMode="External"/></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D:\Documents\2017\UNDP_Strategija%20BL\Radni%20materijal\Kalkulacije%20BL.xlsx" TargetMode="External"/></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Documents\2017\UNDP_Strategija%20BL\Tabele%20za%20prikupljanje%20podataka_radna%20tabela.xlsx" TargetMode="External"/></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Documents\2017\UNDP_Strategija%20BL\Radni%20materijal\Kalkulacije%20B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EJA\Desktop\Mateja%20-%20Strategija%20razvoja%20Banja%20Luka\Kretanje%20broja%20nezaposlenih%20i%20zaposleni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ankica\Downloads\Grafikoni%20-%20obrazovanje.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Brankica\Downloads\Grafikoni%20-%20obrazovanj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ankica\Downloads\Grafikoni%20-%20obrazovanje.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Documents\2017\UNDP_Strategija%20BL\Tabele%20za%20prikupljanje%20podataka_radna%20tabe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sr-Cyrl-RS" sz="1300" b="1"/>
              <a:t>Графикон бр. 1 Број отворених и затворених привредних субјеката  2012-2016.</a:t>
            </a:r>
            <a:endParaRPr lang="en-US" sz="1300" b="1"/>
          </a:p>
        </c:rich>
      </c:tx>
      <c:layout>
        <c:manualLayout>
          <c:xMode val="edge"/>
          <c:yMode val="edge"/>
          <c:x val="0.136062335958005"/>
          <c:y val="0"/>
        </c:manualLayout>
      </c:layout>
      <c:overlay val="0"/>
      <c:spPr>
        <a:noFill/>
        <a:ln>
          <a:noFill/>
        </a:ln>
        <a:effectLst/>
      </c:spPr>
    </c:title>
    <c:autoTitleDeleted val="0"/>
    <c:plotArea>
      <c:layout>
        <c:manualLayout>
          <c:layoutTarget val="inner"/>
          <c:xMode val="edge"/>
          <c:yMode val="edge"/>
          <c:x val="0.0820253718285214"/>
          <c:y val="0.156805555555556"/>
          <c:w val="0.890196850393701"/>
          <c:h val="0.620632473024205"/>
        </c:manualLayout>
      </c:layout>
      <c:lineChart>
        <c:grouping val="standard"/>
        <c:varyColors val="0"/>
        <c:ser>
          <c:idx val="0"/>
          <c:order val="0"/>
          <c:tx>
            <c:strRef>
              <c:f>Sheet1!$B$1</c:f>
              <c:strCache>
                <c:ptCount val="1"/>
                <c:pt idx="0">
                  <c:v>Нова</c:v>
                </c:pt>
              </c:strCache>
            </c:strRef>
          </c:tx>
          <c:spPr>
            <a:ln w="28575" cap="rnd" cmpd="sng" algn="ctr">
              <a:solidFill>
                <a:srgbClr val="00B050"/>
              </a:solidFill>
              <a:prstDash val="solid"/>
              <a:round/>
            </a:ln>
            <a:effectLst/>
          </c:spPr>
          <c:marker>
            <c:symbol val="none"/>
          </c:marker>
          <c:dLbls>
            <c:dLbl>
              <c:idx val="0"/>
              <c:layout>
                <c:manualLayout>
                  <c:x val="-0.0426111111111111"/>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3888888888889"/>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26111111111111"/>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26111111111112"/>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98333333333334"/>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391</c:v>
                </c:pt>
                <c:pt idx="1">
                  <c:v>341</c:v>
                </c:pt>
                <c:pt idx="2">
                  <c:v>367</c:v>
                </c:pt>
                <c:pt idx="3">
                  <c:v>289</c:v>
                </c:pt>
                <c:pt idx="4">
                  <c:v>335</c:v>
                </c:pt>
              </c:numCache>
            </c:numRef>
          </c:val>
          <c:smooth val="0"/>
        </c:ser>
        <c:ser>
          <c:idx val="1"/>
          <c:order val="1"/>
          <c:tx>
            <c:strRef>
              <c:f>Sheet1!$C$1</c:f>
              <c:strCache>
                <c:ptCount val="1"/>
                <c:pt idx="0">
                  <c:v>Затворена</c:v>
                </c:pt>
              </c:strCache>
            </c:strRef>
          </c:tx>
          <c:spPr>
            <a:ln w="28575" cap="rnd" cmpd="sng" algn="ctr">
              <a:solidFill>
                <a:srgbClr val="FF0000"/>
              </a:solidFill>
              <a:prstDash val="solid"/>
              <a:round/>
            </a:ln>
            <a:effectLst/>
          </c:spPr>
          <c:marker>
            <c:symbol val="none"/>
          </c:marker>
          <c:dLbls>
            <c:dLbl>
              <c:idx val="0"/>
              <c:layout>
                <c:manualLayout>
                  <c:x val="-0.0362777777777778"/>
                  <c:y val="0.064814814814814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90555555555556"/>
                  <c:y val="0.07407407407407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5000000000001"/>
                  <c:y val="0.064814814814814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26111111111112"/>
                  <c:y val="0.06018518518518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8166666666666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68</c:v>
                </c:pt>
                <c:pt idx="1">
                  <c:v>72</c:v>
                </c:pt>
                <c:pt idx="2">
                  <c:v>89</c:v>
                </c:pt>
                <c:pt idx="3">
                  <c:v>107</c:v>
                </c:pt>
                <c:pt idx="4">
                  <c:v>219</c:v>
                </c:pt>
              </c:numCache>
            </c:numRef>
          </c:val>
          <c:smooth val="0"/>
        </c:ser>
        <c:ser>
          <c:idx val="2"/>
          <c:order val="2"/>
          <c:tx>
            <c:strRef>
              <c:f>Sheet1!$D$1</c:f>
              <c:strCache>
                <c:ptCount val="1"/>
                <c:pt idx="0">
                  <c:v>Разлика</c:v>
                </c:pt>
              </c:strCache>
            </c:strRef>
          </c:tx>
          <c:spPr>
            <a:ln w="28575" cap="rnd" cmpd="sng" algn="ctr">
              <a:solidFill>
                <a:srgbClr val="FFC000"/>
              </a:solidFill>
              <a:prstDash val="solid"/>
              <a:round/>
            </a:ln>
            <a:effectLst/>
          </c:spPr>
          <c:marker>
            <c:symbol val="none"/>
          </c:marker>
          <c:dLbls>
            <c:dLbl>
              <c:idx val="0"/>
              <c:layout>
                <c:manualLayout>
                  <c:x val="-0.0453888888888889"/>
                  <c:y val="0.06018518518518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26111111111111"/>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26111111111111"/>
                  <c:y val="0.04629629629629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5388888888889"/>
                  <c:y val="-0.05555555555555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26111111111111"/>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323</c:v>
                </c:pt>
                <c:pt idx="1">
                  <c:v>269</c:v>
                </c:pt>
                <c:pt idx="2">
                  <c:v>278</c:v>
                </c:pt>
                <c:pt idx="3">
                  <c:v>182</c:v>
                </c:pt>
                <c:pt idx="4">
                  <c:v>116</c:v>
                </c:pt>
              </c:numCache>
            </c:numRef>
          </c:val>
          <c:smooth val="0"/>
        </c:ser>
        <c:dLbls>
          <c:showLegendKey val="0"/>
          <c:showVal val="1"/>
          <c:showCatName val="0"/>
          <c:showSerName val="0"/>
          <c:showPercent val="0"/>
          <c:showBubbleSize val="0"/>
        </c:dLbls>
        <c:marker val="0"/>
        <c:smooth val="0"/>
        <c:axId val="98993280"/>
        <c:axId val="98995584"/>
      </c:lineChart>
      <c:catAx>
        <c:axId val="989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8995584"/>
        <c:crosses val="autoZero"/>
        <c:auto val="1"/>
        <c:lblAlgn val="ctr"/>
        <c:lblOffset val="100"/>
        <c:noMultiLvlLbl val="0"/>
      </c:catAx>
      <c:valAx>
        <c:axId val="989955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899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sr-Cyrl-RS" sz="1000" b="1" i="0" u="none" strike="noStrike" baseline="0">
                <a:effectLst/>
              </a:rPr>
              <a:t>Графикон </a:t>
            </a:r>
            <a:r>
              <a:rPr lang="hr-HR" sz="1000" b="1" i="0" u="none" strike="noStrike" baseline="0">
                <a:effectLst/>
              </a:rPr>
              <a:t>xx</a:t>
            </a:r>
            <a:r>
              <a:rPr lang="sr-Cyrl-RS" sz="1000" b="1" i="0" u="none" strike="noStrike" baseline="0">
                <a:effectLst/>
              </a:rPr>
              <a:t>: </a:t>
            </a:r>
            <a:r>
              <a:rPr lang="sr-Cyrl-RS" sz="1000"/>
              <a:t>Улагања Града</a:t>
            </a:r>
            <a:r>
              <a:rPr lang="sr-Cyrl-RS" sz="1000" baseline="0"/>
              <a:t> Бања Лука</a:t>
            </a:r>
            <a:r>
              <a:rPr lang="sr-Cyrl-RS" sz="1000"/>
              <a:t> у</a:t>
            </a:r>
            <a:r>
              <a:rPr lang="sr-Cyrl-RS" sz="1000" baseline="0"/>
              <a:t> саобраћајну инфраструктуру (КМ)</a:t>
            </a:r>
            <a:endParaRPr lang="hr-HR" sz="1000"/>
          </a:p>
        </c:rich>
      </c:tx>
      <c:layout/>
      <c:overlay val="0"/>
    </c:title>
    <c:autoTitleDeleted val="0"/>
    <c:plotArea>
      <c:layout>
        <c:manualLayout>
          <c:layoutTarget val="inner"/>
          <c:xMode val="edge"/>
          <c:yMode val="edge"/>
          <c:x val="0.146781129793455"/>
          <c:y val="0.213766546329723"/>
          <c:w val="0.818381182162206"/>
          <c:h val="0.592845352814653"/>
        </c:manualLayout>
      </c:layout>
      <c:lineChart>
        <c:grouping val="standard"/>
        <c:varyColors val="0"/>
        <c:ser>
          <c:idx val="0"/>
          <c:order val="0"/>
          <c:tx>
            <c:strRef>
              <c:f>Saobraćaj!$A$2</c:f>
              <c:strCache>
                <c:ptCount val="1"/>
                <c:pt idx="0">
                  <c:v>Санација и изградња саобраћајница </c:v>
                </c:pt>
              </c:strCache>
            </c:strRef>
          </c:tx>
          <c:spPr>
            <a:ln w="19050" cap="rnd" cmpd="sng" algn="ctr">
              <a:solidFill>
                <a:srgbClr val="0070C0"/>
              </a:solidFill>
              <a:prstDash val="solid"/>
              <a:round/>
            </a:ln>
          </c:spPr>
          <c:marker>
            <c:spPr>
              <a:solidFill>
                <a:srgbClr val="0070C0"/>
              </a:solidFill>
              <a:ln w="6350" cap="flat" cmpd="sng" algn="ctr">
                <a:solidFill>
                  <a:srgbClr val="0070C0"/>
                </a:solidFill>
                <a:prstDash val="solid"/>
                <a:round/>
              </a:ln>
            </c:spPr>
          </c:marker>
          <c:dLbls>
            <c:dLbl>
              <c:idx val="1"/>
              <c:layout>
                <c:manualLayout>
                  <c:x val="-0.0416666666666667"/>
                  <c:y val="0.05092592592592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44444444444445"/>
                  <c:y val="0.05092592592592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3888888888889"/>
                  <c:y val="-0.04629629629629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44444444444447"/>
                  <c:y val="0.04629629629629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0070C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Saobraćaj!$B$1:$F$1</c:f>
              <c:numCache>
                <c:formatCode>General</c:formatCode>
                <c:ptCount val="5"/>
                <c:pt idx="0">
                  <c:v>2012</c:v>
                </c:pt>
                <c:pt idx="1">
                  <c:v>2013</c:v>
                </c:pt>
                <c:pt idx="2">
                  <c:v>2014</c:v>
                </c:pt>
                <c:pt idx="3">
                  <c:v>2015</c:v>
                </c:pt>
                <c:pt idx="4">
                  <c:v>2016</c:v>
                </c:pt>
              </c:numCache>
            </c:numRef>
          </c:cat>
          <c:val>
            <c:numRef>
              <c:f>Saobraćaj!$B$2:$F$2</c:f>
              <c:numCache>
                <c:formatCode>#,##0</c:formatCode>
                <c:ptCount val="5"/>
                <c:pt idx="0">
                  <c:v>2500000</c:v>
                </c:pt>
                <c:pt idx="1">
                  <c:v>728047.179999999</c:v>
                </c:pt>
                <c:pt idx="2">
                  <c:v>643500</c:v>
                </c:pt>
                <c:pt idx="3">
                  <c:v>1011000</c:v>
                </c:pt>
                <c:pt idx="4">
                  <c:v>883363.43</c:v>
                </c:pt>
              </c:numCache>
            </c:numRef>
          </c:val>
          <c:smooth val="0"/>
        </c:ser>
        <c:ser>
          <c:idx val="1"/>
          <c:order val="1"/>
          <c:tx>
            <c:strRef>
              <c:f>Saobraćaj!$A$3</c:f>
              <c:strCache>
                <c:ptCount val="1"/>
                <c:pt idx="0">
                  <c:v>Редовно одржавање саобраћајница </c:v>
                </c:pt>
              </c:strCache>
            </c:strRef>
          </c:tx>
          <c:spPr>
            <a:ln w="19050" cap="rnd" cmpd="sng" algn="ctr">
              <a:solidFill>
                <a:srgbClr val="C00000"/>
              </a:solidFill>
              <a:prstDash val="solid"/>
              <a:round/>
            </a:ln>
          </c:spPr>
          <c:marker>
            <c:spPr>
              <a:solidFill>
                <a:srgbClr val="C00000"/>
              </a:solidFill>
              <a:ln w="6350" cap="flat" cmpd="sng" algn="ctr">
                <a:solidFill>
                  <a:srgbClr val="C00000"/>
                </a:solidFill>
                <a:prstDash val="solid"/>
                <a:round/>
              </a:ln>
            </c:spPr>
          </c:marker>
          <c:dLbls>
            <c:dLbl>
              <c:idx val="1"/>
              <c:layout>
                <c:manualLayout>
                  <c:x val="-0.0313642656243149"/>
                  <c:y val="-0.05505579788137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111111111111"/>
                  <c:y val="-0.05092592592592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16666666666668"/>
                  <c:y val="0.04629629629629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83333333333335"/>
                  <c:y val="-0.05555555555555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rgbClr val="C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Saobraćaj!$B$1:$F$1</c:f>
              <c:numCache>
                <c:formatCode>General</c:formatCode>
                <c:ptCount val="5"/>
                <c:pt idx="0">
                  <c:v>2012</c:v>
                </c:pt>
                <c:pt idx="1">
                  <c:v>2013</c:v>
                </c:pt>
                <c:pt idx="2">
                  <c:v>2014</c:v>
                </c:pt>
                <c:pt idx="3">
                  <c:v>2015</c:v>
                </c:pt>
                <c:pt idx="4">
                  <c:v>2016</c:v>
                </c:pt>
              </c:numCache>
            </c:numRef>
          </c:cat>
          <c:val>
            <c:numRef>
              <c:f>Saobraćaj!$B$3:$F$3</c:f>
              <c:numCache>
                <c:formatCode>#,##0</c:formatCode>
                <c:ptCount val="5"/>
                <c:pt idx="0">
                  <c:v>1500000</c:v>
                </c:pt>
                <c:pt idx="1">
                  <c:v>822727.74</c:v>
                </c:pt>
                <c:pt idx="2">
                  <c:v>880000</c:v>
                </c:pt>
                <c:pt idx="3">
                  <c:v>520000</c:v>
                </c:pt>
                <c:pt idx="4">
                  <c:v>949757.289999999</c:v>
                </c:pt>
              </c:numCache>
            </c:numRef>
          </c:val>
          <c:smooth val="0"/>
        </c:ser>
        <c:dLbls>
          <c:showLegendKey val="0"/>
          <c:showVal val="0"/>
          <c:showCatName val="0"/>
          <c:showSerName val="0"/>
          <c:showPercent val="0"/>
          <c:showBubbleSize val="0"/>
        </c:dLbls>
        <c:marker val="1"/>
        <c:smooth val="0"/>
        <c:axId val="143548800"/>
        <c:axId val="143550336"/>
      </c:lineChart>
      <c:catAx>
        <c:axId val="143548800"/>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3550336"/>
        <c:crosses val="autoZero"/>
        <c:auto val="1"/>
        <c:lblAlgn val="ctr"/>
        <c:lblOffset val="100"/>
        <c:noMultiLvlLbl val="0"/>
      </c:catAx>
      <c:valAx>
        <c:axId val="143550336"/>
        <c:scaling>
          <c:orientation val="minMax"/>
        </c:scaling>
        <c:delete val="0"/>
        <c:axPos val="l"/>
        <c:majorGridlines/>
        <c:numFmt formatCode="#,##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3548800"/>
        <c:crosses val="autoZero"/>
        <c:crossBetween val="between"/>
      </c:valAx>
    </c:plotArea>
    <c:legend>
      <c:legendPos val="b"/>
      <c:layout>
        <c:manualLayout>
          <c:xMode val="edge"/>
          <c:yMode val="edge"/>
          <c:x val="0"/>
          <c:y val="0.885272463685722"/>
          <c:w val="0.999604241868817"/>
          <c:h val="0.0954736253636165"/>
        </c:manualLayout>
      </c:layout>
      <c:overlay val="0"/>
      <c:txPr>
        <a:bodyPr rot="0" spcFirstLastPara="0" vertOverflow="ellipsis" vert="horz" wrap="square" anchor="ctr" anchorCtr="1"/>
        <a:lstStyle/>
        <a:p>
          <a:pPr>
            <a:defRPr lang="en-US" sz="800" b="0" i="0" u="none" strike="noStrike" kern="3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sr-Cyrl-RS" sz="1000" b="1" i="0" baseline="0">
                <a:effectLst/>
              </a:rPr>
              <a:t>Графикон: Доступност услуге водоснабдијевања</a:t>
            </a:r>
            <a:endParaRPr lang="hr-HR" sz="1000">
              <a:effectLst/>
            </a:endParaRPr>
          </a:p>
        </c:rich>
      </c:tx>
      <c:layout/>
      <c:overlay val="0"/>
    </c:title>
    <c:autoTitleDeleted val="0"/>
    <c:plotArea>
      <c:layout>
        <c:manualLayout>
          <c:layoutTarget val="inner"/>
          <c:xMode val="edge"/>
          <c:yMode val="edge"/>
          <c:x val="0.121326844194727"/>
          <c:y val="0.136751759533243"/>
          <c:w val="0.841822234532241"/>
          <c:h val="0.600642292324925"/>
        </c:manualLayout>
      </c:layout>
      <c:barChart>
        <c:barDir val="col"/>
        <c:grouping val="clustered"/>
        <c:varyColors val="0"/>
        <c:ser>
          <c:idx val="0"/>
          <c:order val="0"/>
          <c:tx>
            <c:strRef>
              <c:f>'[Kalkulacije BL.xlsx]Vodovod'!$A$2</c:f>
              <c:strCache>
                <c:ptCount val="1"/>
                <c:pt idx="0">
                  <c:v>Бр.прикључака на јавни водовод - домаћинства и стамб.зграде</c:v>
                </c:pt>
              </c:strCache>
            </c:strRef>
          </c:tx>
          <c:spPr>
            <a:solidFill>
              <a:srgbClr val="0070C0"/>
            </a:solidFill>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'[Kalkulacije BL.xlsx]Vodovod'!$B$1:$F$1</c:f>
              <c:numCache>
                <c:formatCode>General</c:formatCode>
                <c:ptCount val="5"/>
                <c:pt idx="0">
                  <c:v>2012</c:v>
                </c:pt>
                <c:pt idx="1">
                  <c:v>2013</c:v>
                </c:pt>
                <c:pt idx="2">
                  <c:v>2014</c:v>
                </c:pt>
                <c:pt idx="3">
                  <c:v>2015</c:v>
                </c:pt>
                <c:pt idx="4">
                  <c:v>2016</c:v>
                </c:pt>
              </c:numCache>
            </c:numRef>
          </c:cat>
          <c:val>
            <c:numRef>
              <c:f>'[Kalkulacije BL.xlsx]Vodovod'!$B$2:$F$2</c:f>
              <c:numCache>
                <c:formatCode>#,##0</c:formatCode>
                <c:ptCount val="5"/>
                <c:pt idx="0">
                  <c:v>28303</c:v>
                </c:pt>
                <c:pt idx="1">
                  <c:v>29038</c:v>
                </c:pt>
                <c:pt idx="2">
                  <c:v>29795</c:v>
                </c:pt>
                <c:pt idx="3">
                  <c:v>29910</c:v>
                </c:pt>
                <c:pt idx="4">
                  <c:v>30187</c:v>
                </c:pt>
              </c:numCache>
            </c:numRef>
          </c:val>
        </c:ser>
        <c:ser>
          <c:idx val="1"/>
          <c:order val="1"/>
          <c:tx>
            <c:strRef>
              <c:f>'[Kalkulacije BL.xlsx]Vodovod'!$A$3</c:f>
              <c:strCache>
                <c:ptCount val="1"/>
                <c:pt idx="0">
                  <c:v>Бр.прикључака на јавни водовод - мала привреда и друш.предузећа</c:v>
                </c:pt>
              </c:strCache>
            </c:strRef>
          </c:tx>
          <c:spPr>
            <a:solidFill>
              <a:srgbClr val="C00000"/>
            </a:solidFill>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'[Kalkulacije BL.xlsx]Vodovod'!$B$1:$F$1</c:f>
              <c:numCache>
                <c:formatCode>General</c:formatCode>
                <c:ptCount val="5"/>
                <c:pt idx="0">
                  <c:v>2012</c:v>
                </c:pt>
                <c:pt idx="1">
                  <c:v>2013</c:v>
                </c:pt>
                <c:pt idx="2">
                  <c:v>2014</c:v>
                </c:pt>
                <c:pt idx="3">
                  <c:v>2015</c:v>
                </c:pt>
                <c:pt idx="4">
                  <c:v>2016</c:v>
                </c:pt>
              </c:numCache>
            </c:numRef>
          </c:cat>
          <c:val>
            <c:numRef>
              <c:f>'[Kalkulacije BL.xlsx]Vodovod'!$B$3:$F$3</c:f>
              <c:numCache>
                <c:formatCode>#,##0</c:formatCode>
                <c:ptCount val="5"/>
                <c:pt idx="0">
                  <c:v>4120</c:v>
                </c:pt>
                <c:pt idx="1">
                  <c:v>4290</c:v>
                </c:pt>
                <c:pt idx="2">
                  <c:v>4243</c:v>
                </c:pt>
                <c:pt idx="3">
                  <c:v>4597</c:v>
                </c:pt>
                <c:pt idx="4">
                  <c:v>4649</c:v>
                </c:pt>
              </c:numCache>
            </c:numRef>
          </c:val>
        </c:ser>
        <c:ser>
          <c:idx val="2"/>
          <c:order val="2"/>
          <c:tx>
            <c:strRef>
              <c:f>'[Kalkulacije BL.xlsx]Vodovod'!$A$4</c:f>
              <c:strCache>
                <c:ptCount val="1"/>
                <c:pt idx="0">
                  <c:v>Бр.домаћ. који користе воду из лок.водовода - процјена</c:v>
                </c:pt>
              </c:strCache>
            </c:strRef>
          </c:tx>
          <c:spPr>
            <a:solidFill>
              <a:srgbClr val="00B050"/>
            </a:solidFill>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'[Kalkulacije BL.xlsx]Vodovod'!$B$1:$F$1</c:f>
              <c:numCache>
                <c:formatCode>General</c:formatCode>
                <c:ptCount val="5"/>
                <c:pt idx="0">
                  <c:v>2012</c:v>
                </c:pt>
                <c:pt idx="1">
                  <c:v>2013</c:v>
                </c:pt>
                <c:pt idx="2">
                  <c:v>2014</c:v>
                </c:pt>
                <c:pt idx="3">
                  <c:v>2015</c:v>
                </c:pt>
                <c:pt idx="4">
                  <c:v>2016</c:v>
                </c:pt>
              </c:numCache>
            </c:numRef>
          </c:cat>
          <c:val>
            <c:numRef>
              <c:f>'[Kalkulacije BL.xlsx]Vodovod'!$B$4:$F$4</c:f>
              <c:numCache>
                <c:formatCode>#,##0</c:formatCode>
                <c:ptCount val="5"/>
                <c:pt idx="0">
                  <c:v>21000</c:v>
                </c:pt>
                <c:pt idx="1">
                  <c:v>20000</c:v>
                </c:pt>
                <c:pt idx="2">
                  <c:v>19000</c:v>
                </c:pt>
                <c:pt idx="3">
                  <c:v>18500</c:v>
                </c:pt>
                <c:pt idx="4">
                  <c:v>18000</c:v>
                </c:pt>
              </c:numCache>
            </c:numRef>
          </c:val>
        </c:ser>
        <c:dLbls>
          <c:showLegendKey val="0"/>
          <c:showVal val="0"/>
          <c:showCatName val="0"/>
          <c:showSerName val="0"/>
          <c:showPercent val="0"/>
          <c:showBubbleSize val="0"/>
        </c:dLbls>
        <c:gapWidth val="75"/>
        <c:overlap val="-25"/>
        <c:axId val="143583488"/>
        <c:axId val="144138240"/>
      </c:barChart>
      <c:catAx>
        <c:axId val="14358348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4138240"/>
        <c:crosses val="autoZero"/>
        <c:auto val="1"/>
        <c:lblAlgn val="ctr"/>
        <c:lblOffset val="100"/>
        <c:noMultiLvlLbl val="0"/>
      </c:catAx>
      <c:valAx>
        <c:axId val="144138240"/>
        <c:scaling>
          <c:orientation val="minMax"/>
        </c:scaling>
        <c:delete val="0"/>
        <c:axPos val="l"/>
        <c:majorGridlines/>
        <c:numFmt formatCode="#,##0" sourceLinked="1"/>
        <c:majorTickMark val="none"/>
        <c:minorTickMark val="none"/>
        <c:tickLblPos val="nextTo"/>
        <c:spPr>
          <a:ln w="6350" cap="flat" cmpd="sng" algn="ctr">
            <a:no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3583488"/>
        <c:crosses val="autoZero"/>
        <c:crossBetween val="between"/>
      </c:valAx>
    </c:plotArea>
    <c:legend>
      <c:legendPos val="b"/>
      <c:layout>
        <c:manualLayout>
          <c:xMode val="edge"/>
          <c:yMode val="edge"/>
          <c:x val="0.0305551378941954"/>
          <c:y val="0.811031980875002"/>
          <c:w val="0.935539376673394"/>
          <c:h val="0.163490312118628"/>
        </c:manualLayout>
      </c:layout>
      <c:overlay val="0"/>
      <c:txPr>
        <a:bodyPr rot="0" spcFirstLastPara="0" vertOverflow="ellipsis" vert="horz" wrap="square" anchor="ctr" anchorCtr="1"/>
        <a:lstStyle/>
        <a:p>
          <a:pPr>
            <a:defRPr lang="en-US" sz="800" b="0" i="0" u="none" strike="noStrike" kern="3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sr-Cyrl-RS" sz="1000"/>
              <a:t>Графикон</a:t>
            </a:r>
            <a:r>
              <a:rPr lang="hr-HR" sz="1000"/>
              <a:t> xx: </a:t>
            </a:r>
            <a:r>
              <a:rPr lang="sr-Cyrl-RS" sz="1000"/>
              <a:t>Доступност услуге одводње отпадних вода</a:t>
            </a:r>
            <a:endParaRPr lang="hr-HR" sz="1000"/>
          </a:p>
        </c:rich>
      </c:tx>
      <c:layout>
        <c:manualLayout>
          <c:xMode val="edge"/>
          <c:yMode val="edge"/>
          <c:x val="0.147223951657206"/>
          <c:y val="0.0238094652230971"/>
        </c:manualLayout>
      </c:layout>
      <c:overlay val="0"/>
    </c:title>
    <c:autoTitleDeleted val="0"/>
    <c:plotArea>
      <c:layout>
        <c:manualLayout>
          <c:layoutTarget val="inner"/>
          <c:xMode val="edge"/>
          <c:yMode val="edge"/>
          <c:x val="0.130862016231711"/>
          <c:y val="0.221142200974878"/>
          <c:w val="0.829390919630982"/>
          <c:h val="0.603665635545558"/>
        </c:manualLayout>
      </c:layout>
      <c:barChart>
        <c:barDir val="col"/>
        <c:grouping val="clustered"/>
        <c:varyColors val="0"/>
        <c:ser>
          <c:idx val="0"/>
          <c:order val="0"/>
          <c:tx>
            <c:strRef>
              <c:f>ViK!$A$22</c:f>
              <c:strCache>
                <c:ptCount val="1"/>
                <c:pt idx="0">
                  <c:v>Домаћ. - прикључци</c:v>
                </c:pt>
              </c:strCache>
            </c:strRef>
          </c:tx>
          <c:spPr>
            <a:solidFill>
              <a:srgbClr val="0070C0"/>
            </a:solidFill>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ViK!$B$21:$F$21</c:f>
              <c:numCache>
                <c:formatCode>General</c:formatCode>
                <c:ptCount val="5"/>
                <c:pt idx="0">
                  <c:v>2012</c:v>
                </c:pt>
                <c:pt idx="1">
                  <c:v>2013</c:v>
                </c:pt>
                <c:pt idx="2">
                  <c:v>2014</c:v>
                </c:pt>
                <c:pt idx="3">
                  <c:v>2015</c:v>
                </c:pt>
                <c:pt idx="4">
                  <c:v>2016</c:v>
                </c:pt>
              </c:numCache>
            </c:numRef>
          </c:cat>
          <c:val>
            <c:numRef>
              <c:f>ViK!$B$22:$F$22</c:f>
              <c:numCache>
                <c:formatCode>#,##0</c:formatCode>
                <c:ptCount val="5"/>
                <c:pt idx="0">
                  <c:v>13467</c:v>
                </c:pt>
                <c:pt idx="1">
                  <c:v>13872</c:v>
                </c:pt>
                <c:pt idx="2">
                  <c:v>14166</c:v>
                </c:pt>
                <c:pt idx="3">
                  <c:v>14329</c:v>
                </c:pt>
                <c:pt idx="4">
                  <c:v>14427</c:v>
                </c:pt>
              </c:numCache>
            </c:numRef>
          </c:val>
        </c:ser>
        <c:ser>
          <c:idx val="1"/>
          <c:order val="1"/>
          <c:tx>
            <c:strRef>
              <c:f>ViK!$A$23</c:f>
              <c:strCache>
                <c:ptCount val="1"/>
                <c:pt idx="0">
                  <c:v>Правна лица - прикључци</c:v>
                </c:pt>
              </c:strCache>
            </c:strRef>
          </c:tx>
          <c:spPr>
            <a:solidFill>
              <a:srgbClr val="C00000"/>
            </a:solidFill>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ViK!$B$21:$F$21</c:f>
              <c:numCache>
                <c:formatCode>General</c:formatCode>
                <c:ptCount val="5"/>
                <c:pt idx="0">
                  <c:v>2012</c:v>
                </c:pt>
                <c:pt idx="1">
                  <c:v>2013</c:v>
                </c:pt>
                <c:pt idx="2">
                  <c:v>2014</c:v>
                </c:pt>
                <c:pt idx="3">
                  <c:v>2015</c:v>
                </c:pt>
                <c:pt idx="4">
                  <c:v>2016</c:v>
                </c:pt>
              </c:numCache>
            </c:numRef>
          </c:cat>
          <c:val>
            <c:numRef>
              <c:f>ViK!$B$23:$F$23</c:f>
              <c:numCache>
                <c:formatCode>#,##0</c:formatCode>
                <c:ptCount val="5"/>
                <c:pt idx="0">
                  <c:v>6391</c:v>
                </c:pt>
                <c:pt idx="1">
                  <c:v>6421</c:v>
                </c:pt>
                <c:pt idx="2">
                  <c:v>6407</c:v>
                </c:pt>
                <c:pt idx="3">
                  <c:v>6482</c:v>
                </c:pt>
                <c:pt idx="4">
                  <c:v>6525</c:v>
                </c:pt>
              </c:numCache>
            </c:numRef>
          </c:val>
        </c:ser>
        <c:dLbls>
          <c:showLegendKey val="0"/>
          <c:showVal val="0"/>
          <c:showCatName val="0"/>
          <c:showSerName val="0"/>
          <c:showPercent val="0"/>
          <c:showBubbleSize val="0"/>
        </c:dLbls>
        <c:gapWidth val="75"/>
        <c:overlap val="-25"/>
        <c:axId val="144177024"/>
        <c:axId val="144178560"/>
      </c:barChart>
      <c:catAx>
        <c:axId val="144177024"/>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4178560"/>
        <c:crosses val="autoZero"/>
        <c:auto val="1"/>
        <c:lblAlgn val="ctr"/>
        <c:lblOffset val="100"/>
        <c:noMultiLvlLbl val="0"/>
      </c:catAx>
      <c:valAx>
        <c:axId val="144178560"/>
        <c:scaling>
          <c:orientation val="minMax"/>
        </c:scaling>
        <c:delete val="0"/>
        <c:axPos val="l"/>
        <c:majorGridlines/>
        <c:numFmt formatCode="#,##0" sourceLinked="1"/>
        <c:majorTickMark val="none"/>
        <c:minorTickMark val="none"/>
        <c:tickLblPos val="nextTo"/>
        <c:spPr>
          <a:ln w="6350" cap="flat" cmpd="sng" algn="ctr">
            <a:no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4177024"/>
        <c:crosses val="autoZero"/>
        <c:crossBetween val="between"/>
      </c:valAx>
    </c:plotArea>
    <c:legend>
      <c:legendPos val="b"/>
      <c:layout>
        <c:manualLayout>
          <c:xMode val="edge"/>
          <c:yMode val="edge"/>
          <c:x val="0.121014588623577"/>
          <c:y val="0.911484051781662"/>
          <c:w val="0.757970538235567"/>
          <c:h val="0.0885159482183373"/>
        </c:manualLayout>
      </c:layout>
      <c:overlay val="0"/>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sz="800"/>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sr-Cyrl-RS" sz="1000"/>
              <a:t>Графикон</a:t>
            </a:r>
            <a:r>
              <a:rPr lang="hr-HR" sz="1000"/>
              <a:t>: </a:t>
            </a:r>
            <a:r>
              <a:rPr lang="sr-Cyrl-RS" sz="1000"/>
              <a:t>Улагања Града у јавну расвјету (КМ)</a:t>
            </a:r>
            <a:endParaRPr lang="hr-HR" sz="1000"/>
          </a:p>
        </c:rich>
      </c:tx>
      <c:layout/>
      <c:overlay val="0"/>
    </c:title>
    <c:autoTitleDeleted val="0"/>
    <c:plotArea>
      <c:layout/>
      <c:lineChart>
        <c:grouping val="standard"/>
        <c:varyColors val="0"/>
        <c:ser>
          <c:idx val="0"/>
          <c:order val="0"/>
          <c:tx>
            <c:strRef>
              <c:f>Rasvjeta!$A$3</c:f>
              <c:strCache>
                <c:ptCount val="1"/>
                <c:pt idx="0">
                  <c:v>Изградња</c:v>
                </c:pt>
              </c:strCache>
            </c:strRef>
          </c:tx>
          <c:spPr>
            <a:ln w="19050" cap="rnd" cmpd="sng" algn="ctr">
              <a:solidFill>
                <a:srgbClr val="0070C0"/>
              </a:solidFill>
              <a:prstDash val="solid"/>
              <a:round/>
            </a:ln>
          </c:spPr>
          <c:marker>
            <c:spPr>
              <a:solidFill>
                <a:srgbClr val="0070C0"/>
              </a:solidFill>
              <a:ln w="6350" cap="flat" cmpd="sng" algn="ctr">
                <a:solidFill>
                  <a:srgbClr val="0070C0"/>
                </a:solidFill>
                <a:prstDash val="solid"/>
                <a:round/>
              </a:ln>
            </c:spPr>
          </c:marker>
          <c:dLbls>
            <c:dLbl>
              <c:idx val="0"/>
              <c:layout>
                <c:manualLayout>
                  <c:x val="-0.0907504363001745"/>
                  <c:y val="0.068085106382978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32984293193718"/>
                  <c:y val="0.05106382978723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49040139616057"/>
                  <c:y val="-0.034042553191489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23560209424086"/>
                  <c:y val="0.03971631205673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93368237347296"/>
                  <c:y val="-0.05106382978723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Rasvjeta!$B$2:$F$2</c:f>
              <c:numCache>
                <c:formatCode>General</c:formatCode>
                <c:ptCount val="5"/>
                <c:pt idx="0">
                  <c:v>2012</c:v>
                </c:pt>
                <c:pt idx="1">
                  <c:v>2013</c:v>
                </c:pt>
                <c:pt idx="2">
                  <c:v>2014</c:v>
                </c:pt>
                <c:pt idx="3">
                  <c:v>2015</c:v>
                </c:pt>
                <c:pt idx="4">
                  <c:v>2016</c:v>
                </c:pt>
              </c:numCache>
            </c:numRef>
          </c:cat>
          <c:val>
            <c:numRef>
              <c:f>Rasvjeta!$B$3:$F$3</c:f>
              <c:numCache>
                <c:formatCode>#,##0</c:formatCode>
                <c:ptCount val="5"/>
                <c:pt idx="0">
                  <c:v>365000</c:v>
                </c:pt>
                <c:pt idx="1">
                  <c:v>80680.86</c:v>
                </c:pt>
                <c:pt idx="2">
                  <c:v>127271.1</c:v>
                </c:pt>
                <c:pt idx="3">
                  <c:v>69139.47</c:v>
                </c:pt>
                <c:pt idx="4">
                  <c:v>90000</c:v>
                </c:pt>
              </c:numCache>
            </c:numRef>
          </c:val>
          <c:smooth val="0"/>
        </c:ser>
        <c:ser>
          <c:idx val="1"/>
          <c:order val="1"/>
          <c:tx>
            <c:strRef>
              <c:f>Rasvjeta!$A$4</c:f>
              <c:strCache>
                <c:ptCount val="1"/>
                <c:pt idx="0">
                  <c:v>Одржавање </c:v>
                </c:pt>
              </c:strCache>
            </c:strRef>
          </c:tx>
          <c:spPr>
            <a:ln w="19050" cap="rnd" cmpd="sng" algn="ctr">
              <a:solidFill>
                <a:srgbClr val="C00000"/>
              </a:solidFill>
              <a:prstDash val="solid"/>
              <a:round/>
            </a:ln>
          </c:spPr>
          <c:marker>
            <c:spPr>
              <a:solidFill>
                <a:srgbClr val="C00000"/>
              </a:solidFill>
              <a:ln w="6350" cap="flat" cmpd="sng" algn="ctr">
                <a:solidFill>
                  <a:srgbClr val="C00000"/>
                </a:solidFill>
                <a:prstDash val="solid"/>
                <a:round/>
              </a:ln>
            </c:spPr>
          </c:marker>
          <c:dLbls>
            <c:dLbl>
              <c:idx val="1"/>
              <c:layout>
                <c:manualLayout>
                  <c:x val="-0.0209424083769634"/>
                  <c:y val="0.039716312056737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4330846078795"/>
                  <c:y val="-0.04539007092198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9424083769635"/>
                  <c:y val="-0.03971631205673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74520069808029"/>
                  <c:y val="-0.05106382978723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Rasvjeta!$B$2:$F$2</c:f>
              <c:numCache>
                <c:formatCode>General</c:formatCode>
                <c:ptCount val="5"/>
                <c:pt idx="0">
                  <c:v>2012</c:v>
                </c:pt>
                <c:pt idx="1">
                  <c:v>2013</c:v>
                </c:pt>
                <c:pt idx="2">
                  <c:v>2014</c:v>
                </c:pt>
                <c:pt idx="3">
                  <c:v>2015</c:v>
                </c:pt>
                <c:pt idx="4">
                  <c:v>2016</c:v>
                </c:pt>
              </c:numCache>
            </c:numRef>
          </c:cat>
          <c:val>
            <c:numRef>
              <c:f>Rasvjeta!$B$4:$F$4</c:f>
              <c:numCache>
                <c:formatCode>#,##0</c:formatCode>
                <c:ptCount val="5"/>
                <c:pt idx="0">
                  <c:v>423451</c:v>
                </c:pt>
                <c:pt idx="1">
                  <c:v>253361.27</c:v>
                </c:pt>
                <c:pt idx="2">
                  <c:v>313989.12</c:v>
                </c:pt>
                <c:pt idx="3">
                  <c:v>264863.07</c:v>
                </c:pt>
                <c:pt idx="4">
                  <c:v>237446.46</c:v>
                </c:pt>
              </c:numCache>
            </c:numRef>
          </c:val>
          <c:smooth val="0"/>
        </c:ser>
        <c:dLbls>
          <c:showLegendKey val="0"/>
          <c:showVal val="0"/>
          <c:showCatName val="0"/>
          <c:showSerName val="0"/>
          <c:showPercent val="0"/>
          <c:showBubbleSize val="0"/>
        </c:dLbls>
        <c:marker val="1"/>
        <c:smooth val="0"/>
        <c:axId val="144479744"/>
        <c:axId val="144481280"/>
      </c:lineChart>
      <c:catAx>
        <c:axId val="144479744"/>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4481280"/>
        <c:crosses val="autoZero"/>
        <c:auto val="1"/>
        <c:lblAlgn val="ctr"/>
        <c:lblOffset val="100"/>
        <c:noMultiLvlLbl val="0"/>
      </c:catAx>
      <c:valAx>
        <c:axId val="144481280"/>
        <c:scaling>
          <c:orientation val="minMax"/>
        </c:scaling>
        <c:delete val="0"/>
        <c:axPos val="l"/>
        <c:majorGridlines/>
        <c:numFmt formatCode="#,##0" sourceLinked="1"/>
        <c:majorTickMark val="none"/>
        <c:minorTickMark val="none"/>
        <c:tickLblPos val="nextTo"/>
        <c:spPr>
          <a:ln w="6350" cap="flat" cmpd="sng" algn="ctr">
            <a:no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4479744"/>
        <c:crosses val="autoZero"/>
        <c:crossBetween val="between"/>
      </c:valAx>
    </c:plotArea>
    <c:legend>
      <c:legendPos val="b"/>
      <c:layout/>
      <c:overlay val="0"/>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sr-Cyrl-RS" sz="1000"/>
              <a:t>Графикон </a:t>
            </a:r>
            <a:r>
              <a:rPr lang="hr-HR" sz="1000"/>
              <a:t>xx</a:t>
            </a:r>
            <a:r>
              <a:rPr lang="sr-Cyrl-RS" sz="1000"/>
              <a:t>:</a:t>
            </a:r>
            <a:r>
              <a:rPr lang="sr-Cyrl-RS" sz="1000" baseline="0"/>
              <a:t> </a:t>
            </a:r>
            <a:r>
              <a:rPr lang="sr-Cyrl-RS" sz="1000"/>
              <a:t>Структура шумског земљишта</a:t>
            </a:r>
            <a:endParaRPr lang="hr-HR" sz="1000"/>
          </a:p>
        </c:rich>
      </c:tx>
      <c:layout>
        <c:manualLayout>
          <c:xMode val="edge"/>
          <c:yMode val="edge"/>
          <c:x val="0.205155640591655"/>
          <c:y val="0.016260162601626"/>
        </c:manualLayout>
      </c:layout>
      <c:overlay val="0"/>
    </c:title>
    <c:autoTitleDeleted val="0"/>
    <c:plotArea>
      <c:layout>
        <c:manualLayout>
          <c:layoutTarget val="inner"/>
          <c:xMode val="edge"/>
          <c:yMode val="edge"/>
          <c:x val="0.0783121151912086"/>
          <c:y val="0.217209218710675"/>
          <c:w val="0.875000148509097"/>
          <c:h val="0.77970201010609"/>
        </c:manualLayout>
      </c:layout>
      <c:pieChart>
        <c:varyColors val="1"/>
        <c:ser>
          <c:idx val="0"/>
          <c:order val="0"/>
          <c:explosion val="25"/>
          <c:dPt>
            <c:idx val="0"/>
            <c:bubble3D val="0"/>
            <c:explosion val="17"/>
            <c:spPr>
              <a:solidFill>
                <a:srgbClr val="0070C0"/>
              </a:solidFill>
            </c:spPr>
          </c:dPt>
          <c:dPt>
            <c:idx val="1"/>
            <c:bubble3D val="0"/>
            <c:explosion val="17"/>
            <c:spPr>
              <a:solidFill>
                <a:srgbClr val="FFFF00"/>
              </a:solidFill>
            </c:spPr>
          </c:dPt>
          <c:dPt>
            <c:idx val="2"/>
            <c:bubble3D val="0"/>
            <c:explosion val="13"/>
            <c:spPr>
              <a:solidFill>
                <a:srgbClr val="CC0000"/>
              </a:solidFill>
            </c:spPr>
          </c:dPt>
          <c:dPt>
            <c:idx val="3"/>
            <c:bubble3D val="0"/>
          </c:dPt>
          <c:dPt>
            <c:idx val="4"/>
            <c:bubble3D val="0"/>
            <c:spPr>
              <a:solidFill>
                <a:srgbClr val="00B050"/>
              </a:solidFill>
            </c:spPr>
          </c:dPt>
          <c:dLbls>
            <c:dLbl>
              <c:idx val="0"/>
              <c:layout>
                <c:manualLayout>
                  <c:x val="-0.201027792086737"/>
                  <c:y val="-0.221188293244166"/>
                </c:manualLayout>
              </c:layout>
              <c:numFmt formatCode="0.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20985862855523"/>
                  <c:y val="0.111172917629762"/>
                </c:manualLayout>
              </c:layout>
              <c:numFmt formatCode="0.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bg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19313905855226"/>
                  <c:y val="0.010021213101786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34467584075355"/>
                  <c:y val="0.058625462913026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'5. EKONOMIJA'!$A$56:$A$60</c:f>
              <c:strCache>
                <c:ptCount val="5"/>
                <c:pt idx="0">
                  <c:v>Изданичке шуме</c:v>
                </c:pt>
                <c:pt idx="1">
                  <c:v>Шумске голети</c:v>
                </c:pt>
                <c:pt idx="2">
                  <c:v>Вискока шума са природном обновом</c:v>
                </c:pt>
                <c:pt idx="3">
                  <c:v>Шумски засади</c:v>
                </c:pt>
                <c:pt idx="4">
                  <c:v>Непродуктивне шуме</c:v>
                </c:pt>
              </c:strCache>
            </c:strRef>
          </c:cat>
          <c:val>
            <c:numRef>
              <c:f>'5. EKONOMIJA'!$B$56:$B$60</c:f>
              <c:numCache>
                <c:formatCode>#,##0.00</c:formatCode>
                <c:ptCount val="5"/>
                <c:pt idx="0">
                  <c:v>11973</c:v>
                </c:pt>
                <c:pt idx="1" c:formatCode="General">
                  <c:v>81.1</c:v>
                </c:pt>
                <c:pt idx="2">
                  <c:v>5285.41</c:v>
                </c:pt>
                <c:pt idx="3" c:formatCode="General">
                  <c:v>11</c:v>
                </c:pt>
                <c:pt idx="4" c:formatCode="General">
                  <c:v>51.02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txPr>
    <a:bodyPr/>
    <a:lstStyle/>
    <a:p>
      <a:pPr>
        <a:defRPr lang="en-US"/>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sr-Cyrl-RS" sz="1000"/>
              <a:t>Графикон </a:t>
            </a:r>
            <a:r>
              <a:rPr lang="hr-HR" sz="1000"/>
              <a:t>xx</a:t>
            </a:r>
            <a:r>
              <a:rPr lang="sr-Cyrl-RS" sz="1000"/>
              <a:t>: Количина прикупљеног отпада у</a:t>
            </a:r>
            <a:r>
              <a:rPr lang="sr-Cyrl-RS" sz="1000" baseline="0"/>
              <a:t> граду Бања Лу</a:t>
            </a:r>
            <a:r>
              <a:rPr lang="bs-Latn-BA" sz="1000" baseline="0"/>
              <a:t>ka</a:t>
            </a:r>
            <a:r>
              <a:rPr lang="sr-Cyrl-RS" sz="1000"/>
              <a:t> (у тонама)</a:t>
            </a:r>
            <a:endParaRPr lang="sr-Cyrl-RS" sz="1000"/>
          </a:p>
        </c:rich>
      </c:tx>
      <c:layout/>
      <c:overlay val="0"/>
    </c:title>
    <c:autoTitleDeleted val="0"/>
    <c:plotArea>
      <c:layout/>
      <c:lineChart>
        <c:grouping val="standard"/>
        <c:varyColors val="0"/>
        <c:ser>
          <c:idx val="0"/>
          <c:order val="0"/>
          <c:tx>
            <c:strRef>
              <c:f>Otpad!$A$2</c:f>
              <c:strCache>
                <c:ptCount val="1"/>
                <c:pt idx="0">
                  <c:v>Количина прикупљеног отпада (у тонама)</c:v>
                </c:pt>
              </c:strCache>
            </c:strRef>
          </c:tx>
          <c:dLbls>
            <c:dLbl>
              <c:idx val="0"/>
              <c:layout>
                <c:manualLayout>
                  <c:x val="-0.0342857142857143"/>
                  <c:y val="-0.07272727272727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47619047619048"/>
                  <c:y val="-0.066666666666666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71428571428571"/>
                  <c:y val="-0.04242424242424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Otpad!$B$1:$F$1</c:f>
              <c:numCache>
                <c:formatCode>General</c:formatCode>
                <c:ptCount val="5"/>
                <c:pt idx="0">
                  <c:v>2012</c:v>
                </c:pt>
                <c:pt idx="1">
                  <c:v>2013</c:v>
                </c:pt>
                <c:pt idx="2">
                  <c:v>2014</c:v>
                </c:pt>
                <c:pt idx="3">
                  <c:v>2015</c:v>
                </c:pt>
                <c:pt idx="4">
                  <c:v>2016</c:v>
                </c:pt>
              </c:numCache>
            </c:numRef>
          </c:cat>
          <c:val>
            <c:numRef>
              <c:f>Otpad!$B$2:$F$2</c:f>
              <c:numCache>
                <c:formatCode>#,##0</c:formatCode>
                <c:ptCount val="5"/>
                <c:pt idx="0">
                  <c:v>55848.33</c:v>
                </c:pt>
                <c:pt idx="1">
                  <c:v>53663</c:v>
                </c:pt>
                <c:pt idx="2">
                  <c:v>55900.26</c:v>
                </c:pt>
                <c:pt idx="3">
                  <c:v>55658.1</c:v>
                </c:pt>
                <c:pt idx="4">
                  <c:v>59686</c:v>
                </c:pt>
              </c:numCache>
            </c:numRef>
          </c:val>
          <c:smooth val="0"/>
        </c:ser>
        <c:dLbls>
          <c:showLegendKey val="0"/>
          <c:showVal val="0"/>
          <c:showCatName val="0"/>
          <c:showSerName val="0"/>
          <c:showPercent val="0"/>
          <c:showBubbleSize val="0"/>
        </c:dLbls>
        <c:marker val="1"/>
        <c:smooth val="0"/>
        <c:axId val="144619008"/>
        <c:axId val="144620544"/>
      </c:lineChart>
      <c:catAx>
        <c:axId val="14461900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4620544"/>
        <c:crosses val="autoZero"/>
        <c:auto val="1"/>
        <c:lblAlgn val="ctr"/>
        <c:lblOffset val="100"/>
        <c:noMultiLvlLbl val="0"/>
      </c:catAx>
      <c:valAx>
        <c:axId val="144620544"/>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4619008"/>
        <c:crosses val="autoZero"/>
        <c:crossBetween val="between"/>
      </c:valAx>
    </c:plotArea>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Sheet1!$A$2:$A$19</c:f>
              <c:strCache>
                <c:ptCount val="12"/>
                <c:pt idx="0">
                  <c:v>Србија</c:v>
                </c:pt>
                <c:pt idx="1">
                  <c:v>Словенија</c:v>
                </c:pt>
                <c:pt idx="2">
                  <c:v>Хрватска</c:v>
                </c:pt>
                <c:pt idx="3">
                  <c:v>Аустрија</c:v>
                </c:pt>
                <c:pt idx="4">
                  <c:v>Италија</c:v>
                </c:pt>
                <c:pt idx="5">
                  <c:v>Њемачка</c:v>
                </c:pt>
                <c:pt idx="6">
                  <c:v>Црна Гора</c:v>
                </c:pt>
                <c:pt idx="7">
                  <c:v>САД</c:v>
                </c:pt>
                <c:pt idx="8">
                  <c:v>Швицарска</c:v>
                </c:pt>
                <c:pt idx="9">
                  <c:v>Пољска</c:v>
                </c:pt>
                <c:pt idx="10">
                  <c:v>Бугарска </c:v>
                </c:pt>
                <c:pt idx="11">
                  <c:v>Турска</c:v>
                </c:pt>
              </c:strCache>
            </c:strRef>
          </c:cat>
          <c:val>
            <c:numRef>
              <c:f>Sheet1!$B$2:$B$19</c:f>
              <c:numCache>
                <c:formatCode>General</c:formatCode>
                <c:ptCount val="18"/>
                <c:pt idx="0">
                  <c:v>32</c:v>
                </c:pt>
                <c:pt idx="1">
                  <c:v>18</c:v>
                </c:pt>
                <c:pt idx="2">
                  <c:v>8</c:v>
                </c:pt>
                <c:pt idx="3">
                  <c:v>5</c:v>
                </c:pt>
                <c:pt idx="4">
                  <c:v>4</c:v>
                </c:pt>
                <c:pt idx="5">
                  <c:v>4</c:v>
                </c:pt>
                <c:pt idx="6">
                  <c:v>3</c:v>
                </c:pt>
                <c:pt idx="7">
                  <c:v>2</c:v>
                </c:pt>
                <c:pt idx="8">
                  <c:v>1.5</c:v>
                </c:pt>
                <c:pt idx="9">
                  <c:v>1.5</c:v>
                </c:pt>
                <c:pt idx="10">
                  <c:v>1.4</c:v>
                </c:pt>
                <c:pt idx="11">
                  <c:v>1.4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sr-Cyrl-RS"/>
              <a:t>Кретање</a:t>
            </a:r>
            <a:r>
              <a:rPr lang="sr-Cyrl-RS" baseline="0"/>
              <a:t> броја запослених и незапослених</a:t>
            </a:r>
            <a:endParaRPr lang="en-US"/>
          </a:p>
        </c:rich>
      </c:tx>
      <c:layout/>
      <c:overlay val="0"/>
      <c:spPr>
        <a:noFill/>
        <a:ln>
          <a:noFill/>
        </a:ln>
        <a:effectLst/>
      </c:spPr>
    </c:title>
    <c:autoTitleDeleted val="0"/>
    <c:plotArea>
      <c:layout/>
      <c:lineChart>
        <c:grouping val="stacked"/>
        <c:varyColors val="0"/>
        <c:ser>
          <c:idx val="0"/>
          <c:order val="0"/>
          <c:tx>
            <c:strRef>
              <c:f>Sheet1!$B$1</c:f>
              <c:strCache>
                <c:ptCount val="1"/>
                <c:pt idx="0">
                  <c:v>Незапослени</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18135</c:v>
                </c:pt>
                <c:pt idx="1">
                  <c:v>18205</c:v>
                </c:pt>
                <c:pt idx="2">
                  <c:v>17598</c:v>
                </c:pt>
                <c:pt idx="3">
                  <c:v>16273</c:v>
                </c:pt>
                <c:pt idx="4">
                  <c:v>14192</c:v>
                </c:pt>
              </c:numCache>
            </c:numRef>
          </c:val>
          <c:smooth val="0"/>
        </c:ser>
        <c:ser>
          <c:idx val="1"/>
          <c:order val="1"/>
          <c:tx>
            <c:strRef>
              <c:f>Sheet1!$C$1</c:f>
              <c:strCache>
                <c:ptCount val="1"/>
                <c:pt idx="0">
                  <c:v>Запослени</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Sheet1!$C$2:$C$6</c:f>
              <c:numCache>
                <c:formatCode>General</c:formatCode>
                <c:ptCount val="5"/>
                <c:pt idx="0">
                  <c:v>60320</c:v>
                </c:pt>
                <c:pt idx="1">
                  <c:v>61470</c:v>
                </c:pt>
                <c:pt idx="2">
                  <c:v>61820</c:v>
                </c:pt>
                <c:pt idx="3">
                  <c:v>63677</c:v>
                </c:pt>
                <c:pt idx="4">
                  <c:v>65330</c:v>
                </c:pt>
              </c:numCache>
            </c:numRef>
          </c:val>
          <c:smooth val="0"/>
        </c:ser>
        <c:dLbls>
          <c:showLegendKey val="0"/>
          <c:showVal val="0"/>
          <c:showCatName val="0"/>
          <c:showSerName val="0"/>
          <c:showPercent val="0"/>
          <c:showBubbleSize val="0"/>
        </c:dLbls>
        <c:marker val="1"/>
        <c:smooth val="0"/>
        <c:axId val="190385536"/>
        <c:axId val="128355328"/>
      </c:lineChart>
      <c:catAx>
        <c:axId val="1903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28355328"/>
        <c:crosses val="autoZero"/>
        <c:auto val="1"/>
        <c:lblAlgn val="ctr"/>
        <c:lblOffset val="100"/>
        <c:noMultiLvlLbl val="0"/>
      </c:catAx>
      <c:valAx>
        <c:axId val="128355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90385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mn-lt"/>
                <a:ea typeface="+mn-ea"/>
                <a:cs typeface="+mn-cs"/>
              </a:defRPr>
            </a:pPr>
            <a:r>
              <a:rPr lang="sr-Cyrl-RS" sz="1050"/>
              <a:t>Графикон</a:t>
            </a:r>
            <a:r>
              <a:rPr lang="sr-Cyrl-RS" sz="1050" baseline="0"/>
              <a:t> бр. </a:t>
            </a:r>
            <a:r>
              <a:rPr lang="sr-Cyrl-RS" sz="1050"/>
              <a:t>Извори</a:t>
            </a:r>
            <a:r>
              <a:rPr lang="sr-Cyrl-RS" sz="1050" baseline="0"/>
              <a:t> финансирања ЈУ Центар  тренд 2011-2016</a:t>
            </a:r>
            <a:endParaRPr lang="en-US" sz="1050"/>
          </a:p>
        </c:rich>
      </c:tx>
      <c:layout/>
      <c:overlay val="0"/>
    </c:title>
    <c:autoTitleDeleted val="0"/>
    <c:plotArea>
      <c:layout/>
      <c:barChart>
        <c:barDir val="bar"/>
        <c:grouping val="clustered"/>
        <c:varyColors val="0"/>
        <c:ser>
          <c:idx val="0"/>
          <c:order val="0"/>
          <c:tx>
            <c:strRef>
              <c:f>'[Grafikoni - obrazovanje.xlsx]Sheet1'!$L$7</c:f>
              <c:strCache>
                <c:ptCount val="1"/>
                <c:pt idx="0">
                  <c:v>Средства града </c:v>
                </c:pt>
              </c:strCache>
            </c:strRef>
          </c:tx>
          <c:invertIfNegative val="0"/>
          <c:dLbls>
            <c:delete val="1"/>
          </c:dLbls>
          <c:cat>
            <c:numRef>
              <c:f>'[Grafikoni - obrazovanje.xlsx]Sheet1'!$M$6:$R$6</c:f>
              <c:numCache>
                <c:formatCode>General</c:formatCode>
                <c:ptCount val="6"/>
                <c:pt idx="0">
                  <c:v>2011</c:v>
                </c:pt>
                <c:pt idx="1">
                  <c:v>2012</c:v>
                </c:pt>
                <c:pt idx="2">
                  <c:v>2013</c:v>
                </c:pt>
                <c:pt idx="3">
                  <c:v>2014</c:v>
                </c:pt>
                <c:pt idx="4">
                  <c:v>2015</c:v>
                </c:pt>
                <c:pt idx="5">
                  <c:v>2016</c:v>
                </c:pt>
              </c:numCache>
            </c:numRef>
          </c:cat>
          <c:val>
            <c:numRef>
              <c:f>'[Grafikoni - obrazovanje.xlsx]Sheet1'!$M$7:$R$7</c:f>
              <c:numCache>
                <c:formatCode>General</c:formatCode>
                <c:ptCount val="6"/>
                <c:pt idx="0">
                  <c:v>62.13</c:v>
                </c:pt>
                <c:pt idx="1" c:formatCode="_(* #,##0.00_);_(* \(#,##0.00\);_(* &quot;-&quot;??_);_(@_)">
                  <c:v>61.0866239667358</c:v>
                </c:pt>
                <c:pt idx="2" c:formatCode="_(* #,##0.00_);_(* \(#,##0.00\);_(* &quot;-&quot;??_);_(@_)">
                  <c:v>60.7352664490067</c:v>
                </c:pt>
                <c:pt idx="3" c:formatCode="_(* #,##0.00_);_(* \(#,##0.00\);_(* &quot;-&quot;??_);_(@_)">
                  <c:v>62.9186981214504</c:v>
                </c:pt>
                <c:pt idx="4" c:formatCode="_(* #,##0.00_);_(* \(#,##0.00\);_(* &quot;-&quot;??_);_(@_)">
                  <c:v>62.8104193410355</c:v>
                </c:pt>
                <c:pt idx="5" c:formatCode="_(* #,##0.00_);_(* \(#,##0.00\);_(* &quot;-&quot;??_);_(@_)">
                  <c:v>62.1368371514957</c:v>
                </c:pt>
              </c:numCache>
            </c:numRef>
          </c:val>
        </c:ser>
        <c:ser>
          <c:idx val="1"/>
          <c:order val="1"/>
          <c:tx>
            <c:strRef>
              <c:f>'[Grafikoni - obrazovanje.xlsx]Sheet1'!$L$8</c:f>
              <c:strCache>
                <c:ptCount val="1"/>
                <c:pt idx="0">
                  <c:v>Приходи од родитеља</c:v>
                </c:pt>
              </c:strCache>
            </c:strRef>
          </c:tx>
          <c:invertIfNegative val="0"/>
          <c:dLbls>
            <c:delete val="1"/>
          </c:dLbls>
          <c:cat>
            <c:numRef>
              <c:f>'[Grafikoni - obrazovanje.xlsx]Sheet1'!$M$6:$R$6</c:f>
              <c:numCache>
                <c:formatCode>General</c:formatCode>
                <c:ptCount val="6"/>
                <c:pt idx="0">
                  <c:v>2011</c:v>
                </c:pt>
                <c:pt idx="1">
                  <c:v>2012</c:v>
                </c:pt>
                <c:pt idx="2">
                  <c:v>2013</c:v>
                </c:pt>
                <c:pt idx="3">
                  <c:v>2014</c:v>
                </c:pt>
                <c:pt idx="4">
                  <c:v>2015</c:v>
                </c:pt>
                <c:pt idx="5">
                  <c:v>2016</c:v>
                </c:pt>
              </c:numCache>
            </c:numRef>
          </c:cat>
          <c:val>
            <c:numRef>
              <c:f>'[Grafikoni - obrazovanje.xlsx]Sheet1'!$M$8:$R$8</c:f>
              <c:numCache>
                <c:formatCode>General</c:formatCode>
                <c:ptCount val="6"/>
                <c:pt idx="0">
                  <c:v>36.94</c:v>
                </c:pt>
                <c:pt idx="1" c:formatCode="_(* #,##0.00_);_(* \(#,##0.00\);_(* &quot;-&quot;??_);_(@_)">
                  <c:v>36.7685442833992</c:v>
                </c:pt>
                <c:pt idx="2" c:formatCode="_(* #,##0.00_);_(* \(#,##0.00\);_(* &quot;-&quot;??_);_(@_)">
                  <c:v>36.2660284433623</c:v>
                </c:pt>
                <c:pt idx="3" c:formatCode="_(* #,##0.00_);_(* \(#,##0.00\);_(* &quot;-&quot;??_);_(@_)">
                  <c:v>35.1489078200087</c:v>
                </c:pt>
                <c:pt idx="4" c:formatCode="_(* #,##0.00_);_(* \(#,##0.00\);_(* &quot;-&quot;??_);_(@_)">
                  <c:v>35.729567821994</c:v>
                </c:pt>
                <c:pt idx="5" c:formatCode="_(* #,##0.00_);_(* \(#,##0.00\);_(* &quot;-&quot;??_);_(@_)">
                  <c:v>34.8676243290739</c:v>
                </c:pt>
              </c:numCache>
            </c:numRef>
          </c:val>
        </c:ser>
        <c:ser>
          <c:idx val="2"/>
          <c:order val="2"/>
          <c:tx>
            <c:strRef>
              <c:f>'[Grafikoni - obrazovanje.xlsx]Sheet1'!$L$9</c:f>
              <c:strCache>
                <c:ptCount val="1"/>
                <c:pt idx="0">
                  <c:v>Остали властити приходи </c:v>
                </c:pt>
              </c:strCache>
            </c:strRef>
          </c:tx>
          <c:invertIfNegative val="0"/>
          <c:dLbls>
            <c:delete val="1"/>
          </c:dLbls>
          <c:cat>
            <c:numRef>
              <c:f>'[Grafikoni - obrazovanje.xlsx]Sheet1'!$M$6:$R$6</c:f>
              <c:numCache>
                <c:formatCode>General</c:formatCode>
                <c:ptCount val="6"/>
                <c:pt idx="0">
                  <c:v>2011</c:v>
                </c:pt>
                <c:pt idx="1">
                  <c:v>2012</c:v>
                </c:pt>
                <c:pt idx="2">
                  <c:v>2013</c:v>
                </c:pt>
                <c:pt idx="3">
                  <c:v>2014</c:v>
                </c:pt>
                <c:pt idx="4">
                  <c:v>2015</c:v>
                </c:pt>
                <c:pt idx="5">
                  <c:v>2016</c:v>
                </c:pt>
              </c:numCache>
            </c:numRef>
          </c:cat>
          <c:val>
            <c:numRef>
              <c:f>'[Grafikoni - obrazovanje.xlsx]Sheet1'!$M$9:$R$9</c:f>
              <c:numCache>
                <c:formatCode>General</c:formatCode>
                <c:ptCount val="6"/>
                <c:pt idx="0">
                  <c:v>0.94</c:v>
                </c:pt>
                <c:pt idx="1" c:formatCode="_(* #,##0.00_);_(* \(#,##0.00\);_(* &quot;-&quot;??_);_(@_)">
                  <c:v>2.14483174986495</c:v>
                </c:pt>
                <c:pt idx="2" c:formatCode="_(* #,##0.00_);_(* \(#,##0.00\);_(* &quot;-&quot;??_);_(@_)">
                  <c:v>2.99870510763101</c:v>
                </c:pt>
                <c:pt idx="3" c:formatCode="_(* #,##0.00_);_(* \(#,##0.00\);_(* &quot;-&quot;??_);_(@_)">
                  <c:v>1.93239405854085</c:v>
                </c:pt>
                <c:pt idx="4" c:formatCode="_(* #,##0.00_);_(* \(#,##0.00\);_(* &quot;-&quot;??_);_(@_)">
                  <c:v>1.46001283697048</c:v>
                </c:pt>
                <c:pt idx="5" c:formatCode="_(* #,##0.00_);_(* \(#,##0.00\);_(* &quot;-&quot;??_);_(@_)">
                  <c:v>2.99553851943035</c:v>
                </c:pt>
              </c:numCache>
            </c:numRef>
          </c:val>
        </c:ser>
        <c:dLbls>
          <c:showLegendKey val="0"/>
          <c:showVal val="0"/>
          <c:showCatName val="0"/>
          <c:showSerName val="0"/>
          <c:showPercent val="0"/>
          <c:showBubbleSize val="0"/>
        </c:dLbls>
        <c:gapWidth val="150"/>
        <c:axId val="128374656"/>
        <c:axId val="128376192"/>
      </c:barChart>
      <c:catAx>
        <c:axId val="12837465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28376192"/>
        <c:crosses val="autoZero"/>
        <c:auto val="1"/>
        <c:lblAlgn val="ctr"/>
        <c:lblOffset val="100"/>
        <c:noMultiLvlLbl val="0"/>
      </c:catAx>
      <c:valAx>
        <c:axId val="128376192"/>
        <c:scaling>
          <c:orientation val="minMax"/>
        </c:scaling>
        <c:delete val="0"/>
        <c:axPos val="b"/>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28374656"/>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ysClr val="windowText" lastClr="000000"/>
                </a:solidFill>
                <a:latin typeface="+mn-lt"/>
                <a:ea typeface="+mn-ea"/>
                <a:cs typeface="+mn-cs"/>
              </a:defRPr>
            </a:pPr>
          </a:p>
        </c:txPr>
      </c:dTable>
    </c:plotArea>
    <c:plotVisOnly val="1"/>
    <c:dispBlanksAs val="gap"/>
    <c:showDLblsOverMax val="0"/>
  </c:chart>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lang="en-US" sz="1050" b="1" i="0" u="none" strike="noStrike" kern="1200" baseline="0">
                <a:solidFill>
                  <a:schemeClr val="tx1">
                    <a:lumMod val="65000"/>
                    <a:lumOff val="35000"/>
                  </a:schemeClr>
                </a:solidFill>
                <a:latin typeface="+mn-lt"/>
                <a:ea typeface="+mn-ea"/>
                <a:cs typeface="+mn-cs"/>
              </a:defRPr>
            </a:pPr>
            <a:r>
              <a:rPr lang="sr-Cyrl-RS" sz="1050">
                <a:solidFill>
                  <a:sysClr val="windowText" lastClr="000000"/>
                </a:solidFill>
              </a:rPr>
              <a:t>Графикон бр. Број ученика у основним школама од првог до деветог разреда</a:t>
            </a:r>
            <a:endParaRPr lang="sr-Cyrl-RS" sz="1050">
              <a:solidFill>
                <a:sysClr val="windowText" lastClr="000000"/>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2011/2012</c:v>
                </c:pt>
                <c:pt idx="1">
                  <c:v>2012/2013</c:v>
                </c:pt>
                <c:pt idx="2">
                  <c:v>2014/2015</c:v>
                </c:pt>
                <c:pt idx="3">
                  <c:v>2015/2016</c:v>
                </c:pt>
                <c:pt idx="4">
                  <c:v>2016/2017</c:v>
                </c:pt>
              </c:strCache>
            </c:strRef>
          </c:cat>
          <c:val>
            <c:numRef>
              <c:f>Sheet1!$B$2:$B$6</c:f>
              <c:numCache>
                <c:formatCode>General</c:formatCode>
                <c:ptCount val="5"/>
                <c:pt idx="0">
                  <c:v>15586</c:v>
                </c:pt>
                <c:pt idx="1">
                  <c:v>15461</c:v>
                </c:pt>
                <c:pt idx="2">
                  <c:v>15649</c:v>
                </c:pt>
                <c:pt idx="3">
                  <c:v>15770</c:v>
                </c:pt>
                <c:pt idx="4">
                  <c:v>15940</c:v>
                </c:pt>
              </c:numCache>
            </c:numRef>
          </c:val>
        </c:ser>
        <c:ser>
          <c:idx val="1"/>
          <c:order val="1"/>
          <c:tx>
            <c:strRef>
              <c:f>Sheet1!$C$1</c:f>
              <c:strCache>
                <c:ptCount val="1"/>
                <c:pt idx="0">
                  <c:v>Series 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2011/2012</c:v>
                </c:pt>
                <c:pt idx="1">
                  <c:v>2012/2013</c:v>
                </c:pt>
                <c:pt idx="2">
                  <c:v>2014/2015</c:v>
                </c:pt>
                <c:pt idx="3">
                  <c:v>2015/2016</c:v>
                </c:pt>
                <c:pt idx="4">
                  <c:v>2016/2017</c:v>
                </c:pt>
              </c:strCache>
            </c:strRef>
          </c:cat>
          <c:val>
            <c:numRef>
              <c:f>Sheet1!$C$2:$C$6</c:f>
              <c:numCache>
                <c:formatCode>General</c:formatCode>
                <c:ptCount val="5"/>
              </c:numCache>
            </c:numRef>
          </c:val>
        </c:ser>
        <c:ser>
          <c:idx val="2"/>
          <c:order val="2"/>
          <c:tx>
            <c:strRef>
              <c:f>Sheet1!$D$1</c:f>
              <c:strCache>
                <c:ptCount val="1"/>
                <c:pt idx="0">
                  <c:v>Series 3</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2011/2012</c:v>
                </c:pt>
                <c:pt idx="1">
                  <c:v>2012/2013</c:v>
                </c:pt>
                <c:pt idx="2">
                  <c:v>2014/2015</c:v>
                </c:pt>
                <c:pt idx="3">
                  <c:v>2015/2016</c:v>
                </c:pt>
                <c:pt idx="4">
                  <c:v>2016/2017</c:v>
                </c:pt>
              </c:strCache>
            </c:strRef>
          </c:cat>
          <c:val>
            <c:numRef>
              <c:f>Sheet1!$D$2:$D$6</c:f>
              <c:numCache>
                <c:formatCode>General</c:formatCode>
                <c:ptCount val="5"/>
              </c:numCache>
            </c:numRef>
          </c:val>
        </c:ser>
        <c:dLbls>
          <c:showLegendKey val="0"/>
          <c:showVal val="0"/>
          <c:showCatName val="0"/>
          <c:showSerName val="0"/>
          <c:showPercent val="0"/>
          <c:showBubbleSize val="0"/>
        </c:dLbls>
        <c:gapWidth val="100"/>
        <c:overlap val="-24"/>
        <c:axId val="127501056"/>
        <c:axId val="127502592"/>
      </c:barChart>
      <c:catAx>
        <c:axId val="1275010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p>
        </c:txPr>
        <c:crossAx val="127502592"/>
        <c:crosses val="autoZero"/>
        <c:auto val="1"/>
        <c:lblAlgn val="l"/>
        <c:lblOffset val="100"/>
        <c:noMultiLvlLbl val="0"/>
      </c:catAx>
      <c:valAx>
        <c:axId val="127502592"/>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2750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mn-lt"/>
                <a:ea typeface="+mn-ea"/>
                <a:cs typeface="+mn-cs"/>
              </a:defRPr>
            </a:pPr>
            <a:r>
              <a:rPr lang="sr-Cyrl-RS" sz="1050"/>
              <a:t>Графикон бр. Тренд буџетских издвајања за основно образовање</a:t>
            </a:r>
            <a:endParaRPr lang="sr-Cyrl-RS" sz="1050"/>
          </a:p>
        </c:rich>
      </c:tx>
      <c:layout/>
      <c:overlay val="0"/>
    </c:title>
    <c:autoTitleDeleted val="0"/>
    <c:plotArea>
      <c:layout/>
      <c:barChart>
        <c:barDir val="col"/>
        <c:grouping val="clustered"/>
        <c:varyColors val="0"/>
        <c:ser>
          <c:idx val="0"/>
          <c:order val="0"/>
          <c:tx>
            <c:strRef>
              <c:f>'[Grafikoni - obrazovanje.xlsx]Sheet6'!$A$2:$B$2</c:f>
              <c:strCache>
                <c:ptCount val="1"/>
                <c:pt idx="0">
                  <c:v>Продужени боравак</c:v>
                </c:pt>
              </c:strCache>
            </c:strRef>
          </c:tx>
          <c:invertIfNegative val="0"/>
          <c:dLbls>
            <c:delete val="1"/>
          </c:dLbls>
          <c:cat>
            <c:numRef>
              <c:f>'[Grafikoni - obrazovanje.xlsx]Sheet6'!$C$1:$G$1</c:f>
              <c:numCache>
                <c:formatCode>General</c:formatCode>
                <c:ptCount val="5"/>
                <c:pt idx="0">
                  <c:v>2013</c:v>
                </c:pt>
                <c:pt idx="1">
                  <c:v>2014</c:v>
                </c:pt>
                <c:pt idx="2">
                  <c:v>2015</c:v>
                </c:pt>
                <c:pt idx="3">
                  <c:v>2016</c:v>
                </c:pt>
                <c:pt idx="4">
                  <c:v>2017</c:v>
                </c:pt>
              </c:numCache>
            </c:numRef>
          </c:cat>
          <c:val>
            <c:numRef>
              <c:f>'[Grafikoni - obrazovanje.xlsx]Sheet6'!$C$2:$G$2</c:f>
              <c:numCache>
                <c:formatCode>_(* #,##0.00_);_(* \(#,##0.00\);_(* "-"??_);_(@_)</c:formatCode>
                <c:ptCount val="5"/>
                <c:pt idx="0">
                  <c:v>5000</c:v>
                </c:pt>
                <c:pt idx="1">
                  <c:v>1600</c:v>
                </c:pt>
                <c:pt idx="2">
                  <c:v>6304</c:v>
                </c:pt>
                <c:pt idx="3">
                  <c:v>0</c:v>
                </c:pt>
                <c:pt idx="4">
                  <c:v>4700</c:v>
                </c:pt>
              </c:numCache>
            </c:numRef>
          </c:val>
        </c:ser>
        <c:ser>
          <c:idx val="1"/>
          <c:order val="1"/>
          <c:tx>
            <c:strRef>
              <c:f>'[Grafikoni - obrazovanje.xlsx]Sheet6'!$A$3:$B$3</c:f>
              <c:strCache>
                <c:ptCount val="1"/>
                <c:pt idx="0">
                  <c:v>Трошкови такмичења</c:v>
                </c:pt>
              </c:strCache>
            </c:strRef>
          </c:tx>
          <c:invertIfNegative val="0"/>
          <c:dLbls>
            <c:delete val="1"/>
          </c:dLbls>
          <c:cat>
            <c:numRef>
              <c:f>'[Grafikoni - obrazovanje.xlsx]Sheet6'!$C$1:$G$1</c:f>
              <c:numCache>
                <c:formatCode>General</c:formatCode>
                <c:ptCount val="5"/>
                <c:pt idx="0">
                  <c:v>2013</c:v>
                </c:pt>
                <c:pt idx="1">
                  <c:v>2014</c:v>
                </c:pt>
                <c:pt idx="2">
                  <c:v>2015</c:v>
                </c:pt>
                <c:pt idx="3">
                  <c:v>2016</c:v>
                </c:pt>
                <c:pt idx="4">
                  <c:v>2017</c:v>
                </c:pt>
              </c:numCache>
            </c:numRef>
          </c:cat>
          <c:val>
            <c:numRef>
              <c:f>'[Grafikoni - obrazovanje.xlsx]Sheet6'!$C$3:$G$3</c:f>
              <c:numCache>
                <c:formatCode>_(* #,##0.00_);_(* \(#,##0.00\);_(* "-"??_);_(@_)</c:formatCode>
                <c:ptCount val="5"/>
                <c:pt idx="0">
                  <c:v>4900</c:v>
                </c:pt>
                <c:pt idx="1">
                  <c:v>19100</c:v>
                </c:pt>
                <c:pt idx="2">
                  <c:v>20460</c:v>
                </c:pt>
                <c:pt idx="3">
                  <c:v>22465</c:v>
                </c:pt>
                <c:pt idx="4">
                  <c:v>28787</c:v>
                </c:pt>
              </c:numCache>
            </c:numRef>
          </c:val>
        </c:ser>
        <c:ser>
          <c:idx val="2"/>
          <c:order val="2"/>
          <c:tx>
            <c:strRef>
              <c:f>'[Grafikoni - obrazovanje.xlsx]Sheet6'!$A$4:$B$4</c:f>
              <c:strCache>
                <c:ptCount val="1"/>
                <c:pt idx="0">
                  <c:v>Суфинансирање трошкова санација </c:v>
                </c:pt>
              </c:strCache>
            </c:strRef>
          </c:tx>
          <c:invertIfNegative val="0"/>
          <c:dLbls>
            <c:delete val="1"/>
          </c:dLbls>
          <c:cat>
            <c:numRef>
              <c:f>'[Grafikoni - obrazovanje.xlsx]Sheet6'!$C$1:$G$1</c:f>
              <c:numCache>
                <c:formatCode>General</c:formatCode>
                <c:ptCount val="5"/>
                <c:pt idx="0">
                  <c:v>2013</c:v>
                </c:pt>
                <c:pt idx="1">
                  <c:v>2014</c:v>
                </c:pt>
                <c:pt idx="2">
                  <c:v>2015</c:v>
                </c:pt>
                <c:pt idx="3">
                  <c:v>2016</c:v>
                </c:pt>
                <c:pt idx="4">
                  <c:v>2017</c:v>
                </c:pt>
              </c:numCache>
            </c:numRef>
          </c:cat>
          <c:val>
            <c:numRef>
              <c:f>'[Grafikoni - obrazovanje.xlsx]Sheet6'!$C$4:$G$4</c:f>
              <c:numCache>
                <c:formatCode>_(* #,##0.00_);_(* \(#,##0.00\);_(* "-"??_);_(@_)</c:formatCode>
                <c:ptCount val="5"/>
                <c:pt idx="0">
                  <c:v>44937.5</c:v>
                </c:pt>
                <c:pt idx="1">
                  <c:v>27106</c:v>
                </c:pt>
                <c:pt idx="2">
                  <c:v>22500</c:v>
                </c:pt>
                <c:pt idx="3">
                  <c:v>27365</c:v>
                </c:pt>
                <c:pt idx="4">
                  <c:v>55300</c:v>
                </c:pt>
              </c:numCache>
            </c:numRef>
          </c:val>
        </c:ser>
        <c:dLbls>
          <c:showLegendKey val="0"/>
          <c:showVal val="0"/>
          <c:showCatName val="0"/>
          <c:showSerName val="0"/>
          <c:showPercent val="0"/>
          <c:showBubbleSize val="0"/>
        </c:dLbls>
        <c:gapWidth val="150"/>
        <c:axId val="133718784"/>
        <c:axId val="133720320"/>
      </c:barChart>
      <c:catAx>
        <c:axId val="133718784"/>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3720320"/>
        <c:crosses val="autoZero"/>
        <c:auto val="1"/>
        <c:lblAlgn val="ctr"/>
        <c:lblOffset val="100"/>
        <c:noMultiLvlLbl val="0"/>
      </c:catAx>
      <c:valAx>
        <c:axId val="133720320"/>
        <c:scaling>
          <c:orientation val="minMax"/>
        </c:scaling>
        <c:delete val="0"/>
        <c:axPos val="l"/>
        <c:majorGridlines/>
        <c:numFmt formatCode="_(* #,##0.00_);_(* \(#,##0.00\);_(* &quot;-&quot;??_);_(@_)"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3718784"/>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en-US"/>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tx1"/>
                </a:solidFill>
                <a:latin typeface="+mn-lt"/>
                <a:ea typeface="+mn-ea"/>
                <a:cs typeface="+mn-cs"/>
              </a:defRPr>
            </a:pPr>
            <a:r>
              <a:rPr lang="sr-Cyrl-RS" sz="1000"/>
              <a:t>Графикон бр. Број уписаних у средње школе по годинама</a:t>
            </a:r>
            <a:endParaRPr lang="sr-Cyrl-RS" sz="1000"/>
          </a:p>
        </c:rich>
      </c:tx>
      <c:layout/>
      <c:overlay val="0"/>
      <c:spPr>
        <a:noFill/>
        <a:ln>
          <a:noFill/>
        </a:ln>
        <a:effectLst/>
      </c:spPr>
    </c:title>
    <c:autoTitleDeleted val="0"/>
    <c:plotArea>
      <c:layout/>
      <c:barChart>
        <c:barDir val="col"/>
        <c:grouping val="clustered"/>
        <c:varyColors val="0"/>
        <c:ser>
          <c:idx val="0"/>
          <c:order val="0"/>
          <c:tx>
            <c:strRef>
              <c:f>'[Grafikoni - obrazovanje.xlsx]Sheet1'!$A$97</c:f>
              <c:strCache>
                <c:ptCount val="1"/>
                <c:pt idx="0">
                  <c:v>Број уписаних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'[Grafikoni - obrazovanje.xlsx]Sheet1'!$B$96:$I$96</c:f>
              <c:strCache>
                <c:ptCount val="8"/>
                <c:pt idx="0">
                  <c:v>2011/2012</c:v>
                </c:pt>
                <c:pt idx="3">
                  <c:v>2012/2013</c:v>
                </c:pt>
                <c:pt idx="5">
                  <c:v>2016/2017</c:v>
                </c:pt>
                <c:pt idx="7">
                  <c:v>2017/2018</c:v>
                </c:pt>
              </c:strCache>
            </c:strRef>
          </c:cat>
          <c:val>
            <c:numRef>
              <c:f>'[Grafikoni - obrazovanje.xlsx]Sheet1'!$B$97:$I$97</c:f>
              <c:numCache>
                <c:formatCode>#,##0</c:formatCode>
                <c:ptCount val="8"/>
                <c:pt idx="0">
                  <c:v>11206</c:v>
                </c:pt>
                <c:pt idx="3">
                  <c:v>10925</c:v>
                </c:pt>
                <c:pt idx="5">
                  <c:v>9927</c:v>
                </c:pt>
                <c:pt idx="7">
                  <c:v>9795</c:v>
                </c:pt>
              </c:numCache>
            </c:numRef>
          </c:val>
        </c:ser>
        <c:dLbls>
          <c:showLegendKey val="0"/>
          <c:showVal val="0"/>
          <c:showCatName val="0"/>
          <c:showSerName val="0"/>
          <c:showPercent val="0"/>
          <c:showBubbleSize val="0"/>
        </c:dLbls>
        <c:gapWidth val="150"/>
        <c:axId val="133738880"/>
        <c:axId val="133740416"/>
      </c:barChart>
      <c:catAx>
        <c:axId val="13373888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3740416"/>
        <c:crosses val="autoZero"/>
        <c:auto val="1"/>
        <c:lblAlgn val="ctr"/>
        <c:lblOffset val="100"/>
        <c:noMultiLvlLbl val="0"/>
      </c:catAx>
      <c:valAx>
        <c:axId val="133740416"/>
        <c:scaling>
          <c:orientation val="minMax"/>
        </c:scaling>
        <c:delete val="1"/>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373888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50" b="0" i="0" u="none" strike="noStrike" kern="1200" spc="0" baseline="0">
                <a:solidFill>
                  <a:sysClr val="windowText" lastClr="000000"/>
                </a:solidFill>
                <a:latin typeface="+mn-lt"/>
                <a:ea typeface="+mn-ea"/>
                <a:cs typeface="+mn-cs"/>
              </a:defRPr>
            </a:pPr>
            <a:r>
              <a:rPr lang="sr-Cyrl-RS" sz="1050">
                <a:solidFill>
                  <a:sysClr val="windowText" lastClr="000000"/>
                </a:solidFill>
              </a:rPr>
              <a:t>Графикон _ Број корисника мјера социјалне заштите </a:t>
            </a:r>
            <a:endParaRPr lang="sr-Cyrl-RS" sz="1050">
              <a:solidFill>
                <a:sysClr val="windowText" lastClr="000000"/>
              </a:solidFill>
            </a:endParaRPr>
          </a:p>
        </c:rich>
      </c:tx>
      <c:layout>
        <c:manualLayout>
          <c:xMode val="edge"/>
          <c:yMode val="edge"/>
          <c:x val="0.325125036453777"/>
          <c:y val="0.040191017789443"/>
        </c:manualLayout>
      </c:layout>
      <c:overlay val="0"/>
      <c:spPr>
        <a:noFill/>
        <a:ln>
          <a:noFill/>
        </a:ln>
        <a:effectLst/>
      </c:spPr>
    </c:title>
    <c:autoTitleDeleted val="0"/>
    <c:plotArea>
      <c:layout>
        <c:manualLayout>
          <c:layoutTarget val="inner"/>
          <c:xMode val="edge"/>
          <c:yMode val="edge"/>
          <c:x val="0.0820441769829141"/>
          <c:y val="0.417490494296578"/>
          <c:w val="0.891092156126555"/>
          <c:h val="0.428742985073634"/>
        </c:manualLayout>
      </c:layout>
      <c:lineChart>
        <c:grouping val="standard"/>
        <c:varyColors val="0"/>
        <c:ser>
          <c:idx val="0"/>
          <c:order val="0"/>
          <c:tx>
            <c:strRef>
              <c:f>'9. SOCIJALNA ZASTITA'!$Q$20</c:f>
              <c:strCache>
                <c:ptCount val="1"/>
                <c:pt idx="0">
                  <c:v>Број корисника мера социјане заштите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'9. SOCIJALNA ZASTITA'!$R$19:$V$19</c:f>
              <c:numCache>
                <c:formatCode>General</c:formatCode>
                <c:ptCount val="5"/>
                <c:pt idx="0">
                  <c:v>2012</c:v>
                </c:pt>
                <c:pt idx="1">
                  <c:v>2013</c:v>
                </c:pt>
                <c:pt idx="2">
                  <c:v>2014</c:v>
                </c:pt>
                <c:pt idx="3">
                  <c:v>2015</c:v>
                </c:pt>
                <c:pt idx="4">
                  <c:v>2016</c:v>
                </c:pt>
              </c:numCache>
            </c:numRef>
          </c:cat>
          <c:val>
            <c:numRef>
              <c:f>'9. SOCIJALNA ZASTITA'!$R$20:$V$20</c:f>
              <c:numCache>
                <c:formatCode>General</c:formatCode>
                <c:ptCount val="5"/>
                <c:pt idx="0">
                  <c:v>14070</c:v>
                </c:pt>
                <c:pt idx="1">
                  <c:v>13755</c:v>
                </c:pt>
                <c:pt idx="2">
                  <c:v>15541</c:v>
                </c:pt>
                <c:pt idx="3">
                  <c:v>15077</c:v>
                </c:pt>
                <c:pt idx="4">
                  <c:v>15308</c:v>
                </c:pt>
              </c:numCache>
            </c:numRef>
          </c:val>
          <c:smooth val="0"/>
        </c:ser>
        <c:dLbls>
          <c:showLegendKey val="0"/>
          <c:showVal val="0"/>
          <c:showCatName val="0"/>
          <c:showSerName val="0"/>
          <c:showPercent val="0"/>
          <c:showBubbleSize val="0"/>
        </c:dLbls>
        <c:marker val="1"/>
        <c:smooth val="0"/>
        <c:axId val="128542976"/>
        <c:axId val="128569344"/>
      </c:lineChart>
      <c:catAx>
        <c:axId val="1285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28569344"/>
        <c:crosses val="autoZero"/>
        <c:auto val="1"/>
        <c:lblAlgn val="ctr"/>
        <c:lblOffset val="100"/>
        <c:noMultiLvlLbl val="0"/>
      </c:catAx>
      <c:valAx>
        <c:axId val="1285693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2854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sr-Cyrl-RS" sz="900" b="1" i="0" u="none" strike="noStrike" baseline="0">
                <a:effectLst/>
              </a:rPr>
              <a:t>Графикон: </a:t>
            </a:r>
            <a:r>
              <a:rPr lang="sr-Cyrl-RS"/>
              <a:t>Дужина</a:t>
            </a:r>
            <a:r>
              <a:rPr lang="sr-Cyrl-RS" baseline="0"/>
              <a:t> </a:t>
            </a:r>
            <a:r>
              <a:rPr lang="sr-Cyrl-RS"/>
              <a:t>асфалтираних цеста на годишњем нивоу (</a:t>
            </a:r>
            <a:r>
              <a:rPr lang="hr-HR"/>
              <a:t>km)</a:t>
            </a:r>
            <a:endParaRPr lang="sr-Cyrl-RS"/>
          </a:p>
        </c:rich>
      </c:tx>
      <c:layout>
        <c:manualLayout>
          <c:xMode val="edge"/>
          <c:yMode val="edge"/>
          <c:x val="0.110359391350591"/>
          <c:y val="0.0209424083769634"/>
        </c:manualLayout>
      </c:layout>
      <c:overlay val="0"/>
    </c:title>
    <c:autoTitleDeleted val="0"/>
    <c:plotArea>
      <c:layout>
        <c:manualLayout>
          <c:layoutTarget val="inner"/>
          <c:xMode val="edge"/>
          <c:yMode val="edge"/>
          <c:x val="0.112922992469079"/>
          <c:y val="0.230872737766418"/>
          <c:w val="0.839146724306521"/>
          <c:h val="0.594246609226202"/>
        </c:manualLayout>
      </c:layout>
      <c:lineChart>
        <c:grouping val="standard"/>
        <c:varyColors val="0"/>
        <c:ser>
          <c:idx val="0"/>
          <c:order val="0"/>
          <c:tx>
            <c:strRef>
              <c:f>'2. TEHNIČKA INFRASTRUKTURA'!$A$49</c:f>
              <c:strCache>
                <c:ptCount val="1"/>
                <c:pt idx="0">
                  <c:v>Број километара асфалтираних цеста на подручју града</c:v>
                </c:pt>
              </c:strCache>
            </c:strRef>
          </c:tx>
          <c:spPr>
            <a:ln w="19050" cap="rnd" cmpd="sng" algn="ctr">
              <a:solidFill>
                <a:srgbClr val="0070C0"/>
              </a:solidFill>
              <a:prstDash val="solid"/>
              <a:round/>
            </a:ln>
          </c:spPr>
          <c:marker>
            <c:spPr>
              <a:solidFill>
                <a:srgbClr val="0070C0"/>
              </a:solidFill>
              <a:ln w="6350" cap="flat" cmpd="sng" algn="ctr">
                <a:solidFill>
                  <a:srgbClr val="0070C0"/>
                </a:solidFill>
                <a:prstDash val="solid"/>
                <a:round/>
              </a:ln>
            </c:spPr>
          </c:marker>
          <c:dLbls>
            <c:dLbl>
              <c:idx val="1"/>
              <c:layout>
                <c:manualLayout>
                  <c:x val="-0.0740740740740741"/>
                  <c:y val="0.05584642233856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10021786492375"/>
                  <c:y val="0.05584642233856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22875816993465"/>
                  <c:y val="0.04886561954624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'2. TEHNIČKA INFRASTRUKTURA'!$B$48:$F$48</c:f>
              <c:numCache>
                <c:formatCode>General</c:formatCode>
                <c:ptCount val="5"/>
                <c:pt idx="0">
                  <c:v>2012</c:v>
                </c:pt>
                <c:pt idx="1">
                  <c:v>2013</c:v>
                </c:pt>
                <c:pt idx="2">
                  <c:v>2014</c:v>
                </c:pt>
                <c:pt idx="3">
                  <c:v>2015</c:v>
                </c:pt>
                <c:pt idx="4">
                  <c:v>2016</c:v>
                </c:pt>
              </c:numCache>
            </c:numRef>
          </c:cat>
          <c:val>
            <c:numRef>
              <c:f>'2. TEHNIČKA INFRASTRUKTURA'!$B$49:$F$49</c:f>
              <c:numCache>
                <c:formatCode>General</c:formatCode>
                <c:ptCount val="5"/>
                <c:pt idx="0">
                  <c:v>25.17</c:v>
                </c:pt>
                <c:pt idx="1">
                  <c:v>6.07</c:v>
                </c:pt>
                <c:pt idx="2">
                  <c:v>5.99</c:v>
                </c:pt>
                <c:pt idx="3">
                  <c:v>5.23</c:v>
                </c:pt>
                <c:pt idx="4">
                  <c:v>7.7</c:v>
                </c:pt>
              </c:numCache>
            </c:numRef>
          </c:val>
          <c:smooth val="0"/>
        </c:ser>
        <c:dLbls>
          <c:showLegendKey val="0"/>
          <c:showVal val="0"/>
          <c:showCatName val="0"/>
          <c:showSerName val="0"/>
          <c:showPercent val="0"/>
          <c:showBubbleSize val="0"/>
        </c:dLbls>
        <c:marker val="1"/>
        <c:smooth val="0"/>
        <c:axId val="143496704"/>
        <c:axId val="143498240"/>
      </c:lineChart>
      <c:catAx>
        <c:axId val="14349670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3498240"/>
        <c:crosses val="autoZero"/>
        <c:auto val="1"/>
        <c:lblAlgn val="ctr"/>
        <c:lblOffset val="100"/>
        <c:noMultiLvlLbl val="0"/>
      </c:catAx>
      <c:valAx>
        <c:axId val="1434982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143496704"/>
        <c:crosses val="autoZero"/>
        <c:crossBetween val="between"/>
      </c:valAx>
    </c:plotArea>
    <c:plotVisOnly val="1"/>
    <c:dispBlanksAs val="gap"/>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C83EE9-CBA1-46DC-8D00-D0E0EF834128}">
  <ds:schemaRefs/>
</ds:datastoreItem>
</file>

<file path=docProps/app.xml><?xml version="1.0" encoding="utf-8"?>
<Properties xmlns="http://schemas.openxmlformats.org/officeDocument/2006/extended-properties" xmlns:vt="http://schemas.openxmlformats.org/officeDocument/2006/docPropsVTypes">
  <Template>Normal</Template>
  <Pages>175</Pages>
  <Words>67323</Words>
  <Characters>383745</Characters>
  <Lines>3197</Lines>
  <Paragraphs>900</Paragraphs>
  <TotalTime>1017</TotalTime>
  <ScaleCrop>false</ScaleCrop>
  <LinksUpToDate>false</LinksUpToDate>
  <CharactersWithSpaces>450168</CharactersWithSpaces>
  <Application>WPS Office_11.2.0.8893_F1E327BC-269C-435d-A152-05C5408002CA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2018-10-08T10:05:00Z</dcterms:created>
  <dc:creator>Marina Dimova</dc:creator>
  <cp:lastModifiedBy>Korisnik</cp:lastModifiedBy>
  <cp:lastPrinted>2018-12-12T10:45:00Z</cp:lastPrinted>
  <dcterms:modified xsi:type="dcterms:W3CDTF">2019-08-13T08:04:06Z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ies>
</file>